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2"/>
          <w:szCs w:val="32"/>
        </w:rPr>
        <w:t xml:space="preserve">TizenRT 5.5 Chipset Migration - Plan Summary</w:t>
      </w:r>
    </w:p>
    <w:p>
      <w:pPr>
        <w:pBdr>
          <w:bottom w:val="single" w:color="1F3864" w:sz="8"/>
        </w:pBdr>
        <w:spacing w:after="200"/>
      </w:pPr>
      <w:r>
        <w:rPr>
          <w:color w:val="555555"/>
          <w:sz w:val="17"/>
          <w:szCs w:val="17"/>
        </w:rPr>
        <w:t xml:space="preserve">ARMv8-M chipset  |  4.0 product branch to 5.5 product branch  |  23 September 2026  |  Draft for review</w:t>
      </w:r>
    </w:p>
    <w:p>
      <w:pPr>
        <w:pStyle w:val="Heading1"/>
        <w:spacing w:after="90" w:before="200"/>
      </w:pPr>
      <w:r>
        <w:rPr>
          <w:b/>
          <w:bCs/>
          <w:color w:val="1F3864"/>
          <w:sz w:val="22"/>
          <w:szCs w:val="22"/>
        </w:rPr>
        <w:t xml:space="preserve">1.  Objective</w:t>
      </w:r>
    </w:p>
    <w:p>
      <w:pPr>
        <w:spacing w:after="100" w:line="240"/>
      </w:pPr>
      <w:r>
        <w:rPr>
          <w:sz w:val="20"/>
          <w:szCs w:val="20"/>
        </w:rPr>
        <w:t xml:space="preserve">Migrate the ARMv8-M chipset product from the 4.0 product branch onto the 5.5 product branch, where it must co-exist with the ARMv8-M BK7239N chipset already supported there. The chipset uses flat build; the 5.5 branch today supports loadable build only, so flat build support must be restored on 5.5 before the port can begin.</w:t>
      </w:r>
    </w:p>
    <w:p>
      <w:pPr>
        <w:pStyle w:val="Heading1"/>
        <w:spacing w:after="90" w:before="200"/>
      </w:pPr>
      <w:r>
        <w:rPr>
          <w:b/>
          <w:bCs/>
          <w:color w:val="1F3864"/>
          <w:sz w:val="22"/>
          <w:szCs w:val="22"/>
        </w:rPr>
        <w:t xml:space="preserve">2.  Deliverables</w:t>
      </w:r>
    </w:p>
    <w:tbl>
      <w:tblPr>
        <w:tblW w:type="dxa" w:w="9746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520"/>
        <w:gridCol w:w="5900"/>
        <w:gridCol w:w="3326"/>
      </w:tblGrid>
      <w:tr>
        <w:trPr>
          <w:tblHeader/>
        </w:trPr>
        <w:tc>
          <w:tcPr>
            <w:tcW w:type="dxa" w:w="52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59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Deliverable</w:t>
            </w:r>
          </w:p>
        </w:tc>
        <w:tc>
          <w:tcPr>
            <w:tcW w:type="dxa" w:w="3326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Depends on</w:t>
            </w:r>
          </w:p>
        </w:tc>
      </w:tr>
      <w:tr>
        <w:tc>
          <w:tcPr>
            <w:tcW w:type="dxa" w:w="5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Flat build support restored and proven on the 5.5 product branch</w:t>
            </w:r>
          </w:p>
        </w:tc>
        <w:tc>
          <w:tcPr>
            <w:tcW w:type="dxa" w:w="33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Nothing - starts immediately</w:t>
            </w:r>
          </w:p>
        </w:tc>
      </w:tr>
      <w:tr>
        <w:tc>
          <w:tcPr>
            <w:tcW w:type="dxa" w:w="52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590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Chipset ported into 5.5, co-existing with BK7239N</w:t>
            </w:r>
          </w:p>
        </w:tc>
        <w:tc>
          <w:tcPr>
            <w:tcW w:type="dxa" w:w="3326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Deliverable 1</w:t>
            </w:r>
          </w:p>
        </w:tc>
      </w:tr>
      <w:tr>
        <w:tc>
          <w:tcPr>
            <w:tcW w:type="dxa" w:w="5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Download and flashing tools available for the chipset</w:t>
            </w:r>
          </w:p>
        </w:tc>
        <w:tc>
          <w:tcPr>
            <w:tcW w:type="dxa" w:w="33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Parallel to deliverable 2</w:t>
            </w:r>
          </w:p>
        </w:tc>
      </w:tr>
      <w:tr>
        <w:tc>
          <w:tcPr>
            <w:tcW w:type="dxa" w:w="52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590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Product build succeeds; image boots and runs on the board</w:t>
            </w:r>
          </w:p>
        </w:tc>
        <w:tc>
          <w:tcPr>
            <w:tcW w:type="dxa" w:w="3326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Deliverables 1, 2, 3</w:t>
            </w:r>
          </w:p>
        </w:tc>
      </w:tr>
    </w:tbl>
    <w:p>
      <w:pPr>
        <w:spacing w:after="40"/>
      </w:pPr>
    </w:p>
    <w:p>
      <w:pPr>
        <w:pStyle w:val="Heading1"/>
        <w:spacing w:after="90" w:before="200"/>
      </w:pPr>
      <w:r>
        <w:rPr>
          <w:b/>
          <w:bCs/>
          <w:color w:val="1F3864"/>
          <w:sz w:val="22"/>
          <w:szCs w:val="22"/>
        </w:rPr>
        <w:t xml:space="preserve">3.  Assessment: the work is lower-risk than it first appears</w:t>
      </w:r>
    </w:p>
    <w:p>
      <w:pPr>
        <w:spacing w:after="100" w:line="240"/>
      </w:pPr>
      <w:r>
        <w:rPr>
          <w:sz w:val="20"/>
          <w:szCs w:val="20"/>
        </w:rPr>
        <w:t xml:space="preserve">Verified directly against the 5.x code line from which the 5.5 product branch descends:</w:t>
      </w:r>
    </w:p>
    <w:p>
      <w:pPr>
        <w:pStyle w:val="ListParagraph"/>
        <w:numPr>
          <w:ilvl w:val="0"/>
          <w:numId w:val="2"/>
        </w:numPr>
        <w:spacing w:after="70" w:line="240"/>
      </w:pPr>
      <w:r>
        <w:rPr>
          <w:sz w:val="20"/>
          <w:szCs w:val="20"/>
        </w:rPr>
        <w:t xml:space="preserve">The exact target combination already works upstream. RTL8721CSM runs AmebaD chip plus ARMv8-M plus flat build today. We therefore have a working reference in the chipset’s own BSP family, and a second one on BK7239N. Nothing here is being invented from scratch.</w:t>
      </w:r>
    </w:p>
    <w:p>
      <w:pPr>
        <w:pStyle w:val="ListParagraph"/>
        <w:numPr>
          <w:ilvl w:val="0"/>
          <w:numId w:val="2"/>
        </w:numPr>
        <w:spacing w:after="70" w:line="240"/>
      </w:pPr>
      <w:r>
        <w:rPr>
          <w:sz w:val="20"/>
          <w:szCs w:val="20"/>
        </w:rPr>
        <w:t xml:space="preserve">Flat restoration is bounded and measurable. Only 61 files and 177 lines under os/ carry the flat-versus-loadable fork, and a complete 1,231-line flat configuration template already exists to copy from.</w:t>
      </w:r>
    </w:p>
    <w:p>
      <w:pPr>
        <w:pStyle w:val="ListParagraph"/>
        <w:numPr>
          <w:ilvl w:val="0"/>
          <w:numId w:val="2"/>
        </w:numPr>
        <w:spacing w:after="70" w:line="240"/>
      </w:pPr>
      <w:r>
        <w:rPr>
          <w:sz w:val="20"/>
          <w:szCs w:val="20"/>
        </w:rPr>
        <w:t xml:space="preserve">Co-existence is already clean. The shared ARMv8-M core is 51 files and roughly 9,900 lines with zero chip-specific conditionals. Chip selection is mutually exclusive, so the two chipsets co-exist in source and are never compiled together.</w:t>
      </w:r>
    </w:p>
    <w:p>
      <w:pPr>
        <w:pStyle w:val="ListParagraph"/>
        <w:numPr>
          <w:ilvl w:val="0"/>
          <w:numId w:val="2"/>
        </w:numPr>
        <w:spacing w:after="70" w:line="240"/>
      </w:pPr>
      <w:r>
        <w:rPr>
          <w:sz w:val="20"/>
          <w:szCs w:val="20"/>
        </w:rPr>
        <w:t xml:space="preserve">The real cost is the BSP, not the build system. Vendor BSPs in this family run 50 to 139 MB across 575 to 6,054 files. Phase 3 is the critical path and carries most of the schedule risk.</w:t>
      </w:r>
    </w:p>
    <w:p>
      <w:pPr>
        <w:pStyle w:val="Heading1"/>
        <w:spacing w:after="90" w:before="200"/>
      </w:pPr>
      <w:r>
        <w:rPr>
          <w:b/>
          <w:bCs/>
          <w:color w:val="1F3864"/>
          <w:sz w:val="22"/>
          <w:szCs w:val="22"/>
        </w:rPr>
        <w:t xml:space="preserve">4.  Plan</w:t>
      </w:r>
    </w:p>
    <w:tbl>
      <w:tblPr>
        <w:tblW w:type="dxa" w:w="9746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620"/>
        <w:gridCol w:w="4300"/>
        <w:gridCol w:w="900"/>
        <w:gridCol w:w="3926"/>
      </w:tblGrid>
      <w:tr>
        <w:trPr>
          <w:tblHeader/>
        </w:trPr>
        <w:tc>
          <w:tcPr>
            <w:tcW w:type="dxa" w:w="62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Phase</w:t>
            </w:r>
          </w:p>
        </w:tc>
        <w:tc>
          <w:tcPr>
            <w:tcW w:type="dxa" w:w="43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Work</w:t>
            </w:r>
          </w:p>
        </w:tc>
        <w:tc>
          <w:tcPr>
            <w:tcW w:type="dxa" w:w="9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Weeks</w:t>
            </w:r>
          </w:p>
        </w:tc>
        <w:tc>
          <w:tcPr>
            <w:tcW w:type="dxa" w:w="3926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Milestone</w:t>
            </w:r>
          </w:p>
        </w:tc>
      </w:tr>
      <w:tr>
        <w:tc>
          <w:tcPr>
            <w:tcW w:type="dxa" w:w="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Baseline, gap analysis, key decisions, toolchain spike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1-2</w:t>
            </w:r>
          </w:p>
        </w:tc>
        <w:tc>
          <w:tcPr>
            <w:tcW w:type="dxa" w:w="39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Vendor SDK compiles with the 5.5 toolchain</w:t>
            </w:r>
          </w:p>
        </w:tc>
      </w:tr>
      <w:tr>
        <w:tc>
          <w:tcPr>
            <w:tcW w:type="dxa" w:w="62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30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Restore flat build on 5.5, prove it on BK7239N</w:t>
            </w:r>
          </w:p>
        </w:tc>
        <w:tc>
          <w:tcPr>
            <w:tcW w:type="dxa" w:w="90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2-3</w:t>
            </w:r>
          </w:p>
        </w:tc>
        <w:tc>
          <w:tcPr>
            <w:tcW w:type="dxa" w:w="3926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Flat image boots on hardware already in hand</w:t>
            </w:r>
          </w:p>
        </w:tc>
      </w:tr>
      <w:tr>
        <w:tc>
          <w:tcPr>
            <w:tcW w:type="dxa" w:w="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Register chip and board skeleton for the new chipset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1-2</w:t>
            </w:r>
          </w:p>
        </w:tc>
        <w:tc>
          <w:tcPr>
            <w:tcW w:type="dxa" w:w="39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Clean configuration; build reaches link stage</w:t>
            </w:r>
          </w:p>
        </w:tc>
      </w:tr>
      <w:tr>
        <w:tc>
          <w:tcPr>
            <w:tcW w:type="dxa" w:w="62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30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BSP migration and 4.0 to 5.5 API modernisation (critical path)</w:t>
            </w:r>
          </w:p>
        </w:tc>
        <w:tc>
          <w:tcPr>
            <w:tcW w:type="dxa" w:w="90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4-8</w:t>
            </w:r>
          </w:p>
        </w:tc>
        <w:tc>
          <w:tcPr>
            <w:tcW w:type="dxa" w:w="3926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Boots to shell prompt on the target board</w:t>
            </w:r>
          </w:p>
        </w:tc>
      </w:tr>
      <w:tr>
        <w:tc>
          <w:tcPr>
            <w:tcW w:type="dxa" w:w="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Download and flashing tools (runs parallel to Phase 3)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9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Blank board flashed from scratch</w:t>
            </w:r>
          </w:p>
        </w:tc>
      </w:tr>
      <w:tr>
        <w:tc>
          <w:tcPr>
            <w:tcW w:type="dxa" w:w="62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30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Bring-up and functional validation</w:t>
            </w:r>
          </w:p>
        </w:tc>
        <w:tc>
          <w:tcPr>
            <w:tcW w:type="dxa" w:w="90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3-4</w:t>
            </w:r>
          </w:p>
        </w:tc>
        <w:tc>
          <w:tcPr>
            <w:tcW w:type="dxa" w:w="3926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 and acceptance matrix passing</w:t>
            </w:r>
          </w:p>
        </w:tc>
      </w:tr>
      <w:tr>
        <w:tc>
          <w:tcPr>
            <w:tcW w:type="dxa" w:w="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Co-existence hardening, CI matrix, documentation, handover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9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CI green; no regression on BK7239N</w:t>
            </w:r>
          </w:p>
        </w:tc>
      </w:tr>
    </w:tbl>
    <w:p>
      <w:pPr>
        <w:spacing w:after="40"/>
      </w:pPr>
    </w:p>
    <w:p>
      <w:pPr>
        <w:spacing w:after="100" w:before="80" w:line="240"/>
      </w:pPr>
      <w:r>
        <w:rPr>
          <w:i/>
          <w:iCs/>
          <w:color w:val="444444"/>
          <w:sz w:val="18"/>
          <w:szCs w:val="18"/>
        </w:rPr>
        <w:t xml:space="preserve">Total 13 to 17 weeks (about 3.5 to 4 months) with Phase 4 parallelised. First demonstrable milestone at roughly week 5.</w:t>
      </w:r>
    </w:p>
    <w:p>
      <w:r>
        <w:br w:type="page"/>
      </w:r>
    </w:p>
    <w:p>
      <w:pPr>
        <w:pStyle w:val="Heading1"/>
        <w:spacing w:after="90" w:before="200"/>
      </w:pPr>
      <w:r>
        <w:rPr>
          <w:b/>
          <w:bCs/>
          <w:color w:val="1F3864"/>
          <w:sz w:val="22"/>
          <w:szCs w:val="22"/>
        </w:rPr>
        <w:t xml:space="preserve">5.  Top risks</w:t>
      </w:r>
    </w:p>
    <w:tbl>
      <w:tblPr>
        <w:tblW w:type="dxa" w:w="9746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420"/>
        <w:gridCol w:w="2900"/>
        <w:gridCol w:w="800"/>
        <w:gridCol w:w="5626"/>
      </w:tblGrid>
      <w:tr>
        <w:trPr>
          <w:tblHeader/>
        </w:trPr>
        <w:tc>
          <w:tcPr>
            <w:tcW w:type="dxa" w:w="42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Risk</w:t>
            </w:r>
          </w:p>
        </w:tc>
        <w:tc>
          <w:tcPr>
            <w:tcW w:type="dxa" w:w="8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Impact</w:t>
            </w:r>
          </w:p>
        </w:tc>
        <w:tc>
          <w:tcPr>
            <w:tcW w:type="dxa" w:w="5626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4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Extent of flat-build removal on 5.5 is unknown until branch access is granted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56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Timeboxed Phase 0 spike; prove Phase 1 on BK7239N so build-mode failures stay separable from port failures</w:t>
            </w:r>
          </w:p>
        </w:tc>
      </w:tr>
      <w:tr>
        <w:tc>
          <w:tcPr>
            <w:tcW w:type="dxa" w:w="42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4.0 BSP drags 4.0-era kernel APIs into 5.5</w:t>
            </w:r>
          </w:p>
        </w:tc>
        <w:tc>
          <w:tcPr>
            <w:tcW w:type="dxa" w:w="80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5626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Migrate by three-way diff against the 4.0 baseline rather than copying directories; keep vendor code behind an adapter layer</w:t>
            </w:r>
          </w:p>
        </w:tc>
      </w:tr>
      <w:tr>
        <w:tc>
          <w:tcPr>
            <w:tcW w:type="dxa" w:w="4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4.0 code patched the shared ARMv8-M core, causing BK7239N regressions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56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Hold the zero-conditional invariant; express differences as configuration options; regression-build BK7239N on every commit</w:t>
            </w:r>
          </w:p>
        </w:tc>
      </w:tr>
      <w:tr>
        <w:tc>
          <w:tcPr>
            <w:tcW w:type="dxa" w:w="42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Toolchain divergence between the 4.0-era compiler and 5.5</w:t>
            </w:r>
          </w:p>
        </w:tc>
        <w:tc>
          <w:tcPr>
            <w:tcW w:type="dxa" w:w="80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5626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Make compiling the vendor SDK with the 5.5 toolchain the Phase 0 exit gate, before any porting effort is spent</w:t>
            </w:r>
          </w:p>
        </w:tc>
      </w:tr>
      <w:tr>
        <w:tc>
          <w:tcPr>
            <w:tcW w:type="dxa" w:w="4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Network stack jump across lwIP, network manager and the WiFi API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56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Budget as its own sub-workstream inside Phases 3 and 5 rather than absorbing it into driver work</w:t>
            </w:r>
          </w:p>
        </w:tc>
      </w:tr>
    </w:tbl>
    <w:p>
      <w:pPr>
        <w:spacing w:after="40"/>
      </w:pPr>
    </w:p>
    <w:p>
      <w:pPr>
        <w:spacing w:after="100" w:before="80" w:line="240"/>
      </w:pPr>
      <w:r>
        <w:rPr>
          <w:i/>
          <w:iCs/>
          <w:color w:val="444444"/>
          <w:sz w:val="18"/>
          <w:szCs w:val="18"/>
        </w:rPr>
        <w:t xml:space="preserve">The full twelve-entry risk register, file-level touch points and test matrix are in the detailed plan held on the work branch.</w:t>
      </w:r>
    </w:p>
    <w:p>
      <w:pPr>
        <w:pStyle w:val="Heading1"/>
        <w:spacing w:after="90" w:before="200"/>
      </w:pPr>
      <w:r>
        <w:rPr>
          <w:b/>
          <w:bCs/>
          <w:color w:val="1F3864"/>
          <w:sz w:val="22"/>
          <w:szCs w:val="22"/>
        </w:rPr>
        <w:t xml:space="preserve">6.  Decisions needed from management</w:t>
      </w:r>
    </w:p>
    <w:p>
      <w:pPr>
        <w:pStyle w:val="ListParagraph"/>
        <w:numPr>
          <w:ilvl w:val="0"/>
          <w:numId w:val="3"/>
        </w:numPr>
        <w:spacing w:after="70" w:line="240"/>
      </w:pPr>
      <w:r>
        <w:rPr>
          <w:sz w:val="20"/>
          <w:szCs w:val="20"/>
        </w:rPr>
        <w:t xml:space="preserve">Chip identity. Create a separate chip directory for the new chipset, or extend the existing AmebaD chip option. This is effectively irreversible once BSP migration starts. Recommendation: a separate chip directory, unless the silicon is genuinely AmebaD-family, because overloading the existing one collides with RTL8721CSM and makes every future upstream rebase painful.</w:t>
      </w:r>
    </w:p>
    <w:p>
      <w:pPr>
        <w:pStyle w:val="ListParagraph"/>
        <w:numPr>
          <w:ilvl w:val="0"/>
          <w:numId w:val="3"/>
        </w:numPr>
        <w:spacing w:after="70" w:line="240"/>
      </w:pPr>
      <w:r>
        <w:rPr>
          <w:sz w:val="20"/>
          <w:szCs w:val="20"/>
        </w:rPr>
        <w:t xml:space="preserve">Is loadable build required for this chipset on any roadmap? The silicon may expose only 8 MPU regions against BK7239N’s 16, which constrains loadable feasibility. Flat build is the current target and this plan assumes it stays that way.</w:t>
      </w:r>
    </w:p>
    <w:p>
      <w:pPr>
        <w:pStyle w:val="ListParagraph"/>
        <w:numPr>
          <w:ilvl w:val="0"/>
          <w:numId w:val="3"/>
        </w:numPr>
        <w:spacing w:after="70" w:line="240"/>
      </w:pPr>
      <w:r>
        <w:rPr>
          <w:sz w:val="20"/>
          <w:szCs w:val="20"/>
        </w:rPr>
        <w:t xml:space="preserve">Repository policy for a 50 to 139 MB vendor binary drop: held in-tree, or moved to large-file storage.</w:t>
      </w:r>
    </w:p>
    <w:p>
      <w:pPr>
        <w:pStyle w:val="Heading1"/>
        <w:spacing w:after="90" w:before="200"/>
      </w:pPr>
      <w:r>
        <w:rPr>
          <w:b/>
          <w:bCs/>
          <w:color w:val="1F3864"/>
          <w:sz w:val="22"/>
          <w:szCs w:val="22"/>
        </w:rPr>
        <w:t xml:space="preserve">7.  Resources required</w:t>
      </w:r>
    </w:p>
    <w:tbl>
      <w:tblPr>
        <w:tblW w:type="dxa" w:w="9746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2900"/>
        <w:gridCol w:w="1700"/>
        <w:gridCol w:w="5146"/>
      </w:tblGrid>
      <w:tr>
        <w:trPr>
          <w:tblHeader/>
        </w:trPr>
        <w:tc>
          <w:tcPr>
            <w:tcW w:type="dxa" w:w="29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17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Allocation</w:t>
            </w:r>
          </w:p>
        </w:tc>
        <w:tc>
          <w:tcPr>
            <w:tcW w:type="dxa" w:w="5146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Phases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Kernel and build engineer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1.0 FTE</w:t>
            </w:r>
          </w:p>
        </w:tc>
        <w:tc>
          <w:tcPr>
            <w:tcW w:type="dxa" w:w="514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0 to 2, and 6</w:t>
            </w:r>
          </w:p>
        </w:tc>
      </w:tr>
      <w:tr>
        <w:tc>
          <w:tcPr>
            <w:tcW w:type="dxa" w:w="290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BSP and driver engineer</w:t>
            </w:r>
          </w:p>
        </w:tc>
        <w:tc>
          <w:tcPr>
            <w:tcW w:type="dxa" w:w="170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1.0 to 1.5 FTE</w:t>
            </w:r>
          </w:p>
        </w:tc>
        <w:tc>
          <w:tcPr>
            <w:tcW w:type="dxa" w:w="5146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0, 3 and 5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Tools and release engineer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0.5 FTE</w:t>
            </w:r>
          </w:p>
        </w:tc>
        <w:tc>
          <w:tcPr>
            <w:tcW w:type="dxa" w:w="514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4 and 6</w:t>
            </w:r>
          </w:p>
        </w:tc>
      </w:tr>
      <w:tr>
        <w:tc>
          <w:tcPr>
            <w:tcW w:type="dxa" w:w="290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Validation engineer</w:t>
            </w:r>
          </w:p>
        </w:tc>
        <w:tc>
          <w:tcPr>
            <w:tcW w:type="dxa" w:w="1700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0.5 FTE</w:t>
            </w:r>
          </w:p>
        </w:tc>
        <w:tc>
          <w:tcPr>
            <w:tcW w:type="dxa" w:w="5146"/>
            <w:shd w:fill="F4F7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7"/>
                <w:szCs w:val="17"/>
              </w:rPr>
              <w:t xml:space="preserve">5 and 6</w:t>
            </w:r>
          </w:p>
        </w:tc>
      </w:tr>
    </w:tbl>
    <w:p>
      <w:pPr>
        <w:spacing w:after="40"/>
      </w:pPr>
    </w:p>
    <w:p>
      <w:pPr>
        <w:spacing w:after="100" w:line="240"/>
      </w:pPr>
      <w:r>
        <w:rPr>
          <w:sz w:val="20"/>
          <w:szCs w:val="20"/>
        </w:rPr>
        <w:t xml:space="preserve">Hardware: at least three target boards and two debug probes, in place before Phase 3 begins at roughly week 5.</w:t>
      </w:r>
    </w:p>
    <w:p>
      <w:pPr>
        <w:spacing w:after="100" w:line="240"/>
      </w:pPr>
      <w:r>
        <w:rPr>
          <w:sz w:val="20"/>
          <w:szCs w:val="20"/>
        </w:rPr>
        <w:t xml:space="preserve">Access: the 4.0 and 5.5 product branches, vendor SDK release notes, and the bootloader binaries together with the header specification.</w:t>
      </w:r>
    </w:p>
    <w:p>
      <w:pPr>
        <w:pStyle w:val="Heading1"/>
        <w:spacing w:after="90" w:before="200"/>
      </w:pPr>
      <w:r>
        <w:rPr>
          <w:b/>
          <w:bCs/>
          <w:color w:val="1F3864"/>
          <w:sz w:val="22"/>
          <w:szCs w:val="22"/>
        </w:rPr>
        <w:t xml:space="preserve">8.  Next steps</w:t>
      </w:r>
    </w:p>
    <w:p>
      <w:pPr>
        <w:pStyle w:val="ListParagraph"/>
        <w:numPr>
          <w:ilvl w:val="0"/>
          <w:numId w:val="3"/>
        </w:numPr>
        <w:spacing w:after="70" w:line="240"/>
      </w:pPr>
      <w:r>
        <w:rPr>
          <w:sz w:val="20"/>
          <w:szCs w:val="20"/>
        </w:rPr>
        <w:t xml:space="preserve">Sign off the three decisions in section 6, in particular the chip identity decision.</w:t>
      </w:r>
    </w:p>
    <w:p>
      <w:pPr>
        <w:pStyle w:val="ListParagraph"/>
        <w:numPr>
          <w:ilvl w:val="0"/>
          <w:numId w:val="3"/>
        </w:numPr>
        <w:spacing w:after="70" w:line="240"/>
      </w:pPr>
      <w:r>
        <w:rPr>
          <w:sz w:val="20"/>
          <w:szCs w:val="20"/>
        </w:rPr>
        <w:t xml:space="preserve">Run the Phase 0 toolchain spike. This single experiment retires the highest-severity risk within days.</w:t>
      </w:r>
    </w:p>
    <w:p>
      <w:pPr>
        <w:pStyle w:val="ListParagraph"/>
        <w:numPr>
          <w:ilvl w:val="0"/>
          <w:numId w:val="3"/>
        </w:numPr>
        <w:spacing w:after="70" w:line="240"/>
      </w:pPr>
      <w:r>
        <w:rPr>
          <w:sz w:val="20"/>
          <w:szCs w:val="20"/>
        </w:rPr>
        <w:t xml:space="preserve">Close the two questions carrying the largest estimate variance: was flat build removed from 5.5 or merely left untested, and is the chipset genuinely AmebaD-family silicon.</w:t>
      </w:r>
    </w:p>
    <w:p>
      <w:pPr>
        <w:pStyle w:val="ListParagraph"/>
        <w:numPr>
          <w:ilvl w:val="0"/>
          <w:numId w:val="3"/>
        </w:numPr>
        <w:spacing w:after="70" w:line="240"/>
      </w:pPr>
      <w:r>
        <w:rPr>
          <w:sz w:val="20"/>
          <w:szCs w:val="20"/>
        </w:rPr>
        <w:t xml:space="preserve">Start Phase 1 immediately. It needs no information about the new chipset and lands the first demonstrable milestone at about week 5.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TizenRT 5.5 Chipset Migration - Plan Summary</dc:title>
  <dc:creator>adbtrr_work22_migration</dc:creator>
  <dc:description>Two-page management summary of the ARMv8-M chipset migration from the 4.0 to the 5.5 product branch</dc:description>
  <cp:lastModifiedBy>Un-named</cp:lastModifiedBy>
  <cp:revision>1</cp:revision>
  <dcterms:created xsi:type="dcterms:W3CDTF">2026-09-23T05:06:48.101Z</dcterms:created>
  <dcterms:modified xsi:type="dcterms:W3CDTF">2026-09-23T05:06:48.111Z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