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ARM Stack Unwinder in Pull Request 7522</w:t>
      </w:r>
    </w:p>
    <w:p>
      <w:pPr>
        <w:spacing w:after="200"/>
      </w:pPr>
      <w:r>
        <w:rPr>
          <w:color w:val="555555"/>
          <w:sz w:val="26"/>
          <w:szCs w:val="26"/>
        </w:rPr>
        <w:t xml:space="preserve">Upstream Provenance and Attribution Review</w:t>
      </w:r>
    </w:p>
    <w:p>
      <w:pPr>
        <w:pBdr>
          <w:bottom w:val="single" w:color="BBBBBB" w:sz="6"/>
        </w:pBdr>
        <w:spacing w:after="160" w:before="60"/>
      </w:pPr>
      <w:r>
        <w:t xml:space="preserve"/>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6700"/>
      </w:tblGrid>
      <w:tr>
        <w:trPr>
          <w:tblHeader/>
        </w:trPr>
        <w:tc>
          <w:tcPr>
            <w:tcW w:type="dxa" w:w="2300"/>
            <w:shd w:fill="D9E2F3" w:val="clear"/>
            <w:tcMar>
              <w:top w:type="dxa" w:w="80"/>
              <w:left w:type="dxa" w:w="110"/>
              <w:bottom w:type="dxa" w:w="80"/>
              <w:right w:type="dxa" w:w="110"/>
            </w:tcMar>
          </w:tcPr>
          <w:p>
            <w:pPr>
              <w:spacing w:after="0" w:line="252"/>
            </w:pPr>
            <w:r>
              <w:rPr>
                <w:b/>
                <w:bCs/>
                <w:sz w:val="20"/>
                <w:szCs w:val="20"/>
              </w:rPr>
              <w:t xml:space="preserve">Field</w:t>
            </w:r>
          </w:p>
        </w:tc>
        <w:tc>
          <w:tcPr>
            <w:tcW w:type="dxa" w:w="6700"/>
            <w:shd w:fill="D9E2F3" w:val="clear"/>
            <w:tcMar>
              <w:top w:type="dxa" w:w="80"/>
              <w:left w:type="dxa" w:w="110"/>
              <w:bottom w:type="dxa" w:w="80"/>
              <w:right w:type="dxa" w:w="110"/>
            </w:tcMar>
          </w:tcPr>
          <w:p>
            <w:pPr>
              <w:spacing w:after="0" w:line="252"/>
            </w:pPr>
            <w:r>
              <w:rPr>
                <w:b/>
                <w:bCs/>
                <w:sz w:val="20"/>
                <w:szCs w:val="20"/>
              </w:rPr>
              <w:t xml:space="preserve">Value</w:t>
            </w:r>
          </w:p>
        </w:tc>
      </w:tr>
      <w:tr>
        <w:tc>
          <w:tcPr>
            <w:tcW w:type="dxa" w:w="2300"/>
            <w:tcMar>
              <w:top w:type="dxa" w:w="80"/>
              <w:left w:type="dxa" w:w="110"/>
              <w:bottom w:type="dxa" w:w="80"/>
              <w:right w:type="dxa" w:w="110"/>
            </w:tcMar>
          </w:tcPr>
          <w:p>
            <w:pPr>
              <w:spacing w:after="0" w:line="252"/>
            </w:pPr>
            <w:r>
              <w:rPr>
                <w:sz w:val="20"/>
                <w:szCs w:val="20"/>
              </w:rPr>
              <w:t xml:space="preserve">Subject</w:t>
            </w:r>
          </w:p>
        </w:tc>
        <w:tc>
          <w:tcPr>
            <w:tcW w:type="dxa" w:w="6700"/>
            <w:tcMar>
              <w:top w:type="dxa" w:w="80"/>
              <w:left w:type="dxa" w:w="110"/>
              <w:bottom w:type="dxa" w:w="80"/>
              <w:right w:type="dxa" w:w="110"/>
            </w:tcMar>
          </w:tcPr>
          <w:p>
            <w:pPr>
              <w:spacing w:after="0" w:line="252"/>
            </w:pPr>
            <w:r>
              <w:rPr>
                <w:sz w:val="20"/>
                <w:szCs w:val="20"/>
              </w:rPr>
              <w:t xml:space="preserve">TizenRT pull request 7522 - "os/arch/arm: Arm unwinder and backtrace support for TizenRT"</w:t>
            </w:r>
          </w:p>
        </w:tc>
      </w:tr>
      <w:tr>
        <w:tc>
          <w:tcPr>
            <w:tcW w:type="dxa" w:w="2300"/>
            <w:shd w:fill="FAFAFA" w:val="clear"/>
            <w:tcMar>
              <w:top w:type="dxa" w:w="80"/>
              <w:left w:type="dxa" w:w="110"/>
              <w:bottom w:type="dxa" w:w="80"/>
              <w:right w:type="dxa" w:w="110"/>
            </w:tcMar>
          </w:tcPr>
          <w:p>
            <w:pPr>
              <w:spacing w:after="0" w:line="252"/>
            </w:pPr>
            <w:r>
              <w:rPr>
                <w:sz w:val="20"/>
                <w:szCs w:val="20"/>
              </w:rPr>
              <w:t xml:space="preserve">Question addressed</w:t>
            </w:r>
          </w:p>
        </w:tc>
        <w:tc>
          <w:tcPr>
            <w:tcW w:type="dxa" w:w="6700"/>
            <w:shd w:fill="FAFAFA" w:val="clear"/>
            <w:tcMar>
              <w:top w:type="dxa" w:w="80"/>
              <w:left w:type="dxa" w:w="110"/>
              <w:bottom w:type="dxa" w:w="80"/>
              <w:right w:type="dxa" w:w="110"/>
            </w:tcMar>
          </w:tcPr>
          <w:p>
            <w:pPr>
              <w:spacing w:after="0" w:line="252"/>
            </w:pPr>
            <w:r>
              <w:rPr>
                <w:sz w:val="20"/>
                <w:szCs w:val="20"/>
              </w:rPr>
              <w:t xml:space="preserve">Is the ARM stack unwinder in this pull request derived from an upstream project?</w:t>
            </w:r>
          </w:p>
        </w:tc>
      </w:tr>
      <w:tr>
        <w:tc>
          <w:tcPr>
            <w:tcW w:type="dxa" w:w="2300"/>
            <w:tcMar>
              <w:top w:type="dxa" w:w="80"/>
              <w:left w:type="dxa" w:w="110"/>
              <w:bottom w:type="dxa" w:w="80"/>
              <w:right w:type="dxa" w:w="110"/>
            </w:tcMar>
          </w:tcPr>
          <w:p>
            <w:pPr>
              <w:spacing w:after="0" w:line="252"/>
            </w:pPr>
            <w:r>
              <w:rPr>
                <w:sz w:val="20"/>
                <w:szCs w:val="20"/>
              </w:rPr>
              <w:t xml:space="preserve">Conclusion</w:t>
            </w:r>
          </w:p>
        </w:tc>
        <w:tc>
          <w:tcPr>
            <w:tcW w:type="dxa" w:w="6700"/>
            <w:tcMar>
              <w:top w:type="dxa" w:w="80"/>
              <w:left w:type="dxa" w:w="110"/>
              <w:bottom w:type="dxa" w:w="80"/>
              <w:right w:type="dxa" w:w="110"/>
            </w:tcMar>
          </w:tcPr>
          <w:p>
            <w:pPr>
              <w:spacing w:after="0" w:line="252"/>
            </w:pPr>
            <w:r>
              <w:rPr>
                <w:sz w:val="20"/>
                <w:szCs w:val="20"/>
              </w:rPr>
              <w:t xml:space="preserve">Yes. It is derived from Apache NuttX.</w:t>
            </w:r>
          </w:p>
        </w:tc>
      </w:tr>
      <w:tr>
        <w:tc>
          <w:tcPr>
            <w:tcW w:type="dxa" w:w="2300"/>
            <w:shd w:fill="FAFAFA" w:val="clear"/>
            <w:tcMar>
              <w:top w:type="dxa" w:w="80"/>
              <w:left w:type="dxa" w:w="110"/>
              <w:bottom w:type="dxa" w:w="80"/>
              <w:right w:type="dxa" w:w="110"/>
            </w:tcMar>
          </w:tcPr>
          <w:p>
            <w:pPr>
              <w:spacing w:after="0" w:line="252"/>
            </w:pPr>
            <w:r>
              <w:rPr>
                <w:sz w:val="20"/>
                <w:szCs w:val="20"/>
              </w:rPr>
              <w:t xml:space="preserve">Status of document</w:t>
            </w:r>
          </w:p>
        </w:tc>
        <w:tc>
          <w:tcPr>
            <w:tcW w:type="dxa" w:w="6700"/>
            <w:shd w:fill="FAFAFA" w:val="clear"/>
            <w:tcMar>
              <w:top w:type="dxa" w:w="80"/>
              <w:left w:type="dxa" w:w="110"/>
              <w:bottom w:type="dxa" w:w="80"/>
              <w:right w:type="dxa" w:w="110"/>
            </w:tcMar>
          </w:tcPr>
          <w:p>
            <w:pPr>
              <w:spacing w:after="0" w:line="252"/>
            </w:pPr>
            <w:r>
              <w:rPr>
                <w:sz w:val="20"/>
                <w:szCs w:val="20"/>
              </w:rPr>
              <w:t xml:space="preserve">Review note for the pull request author and reviewers</w:t>
            </w:r>
          </w:p>
        </w:tc>
      </w:tr>
      <w:tr>
        <w:tc>
          <w:tcPr>
            <w:tcW w:type="dxa" w:w="2300"/>
            <w:tcMar>
              <w:top w:type="dxa" w:w="80"/>
              <w:left w:type="dxa" w:w="110"/>
              <w:bottom w:type="dxa" w:w="80"/>
              <w:right w:type="dxa" w:w="110"/>
            </w:tcMar>
          </w:tcPr>
          <w:p>
            <w:pPr>
              <w:spacing w:after="0" w:line="252"/>
            </w:pPr>
            <w:r>
              <w:rPr>
                <w:sz w:val="20"/>
                <w:szCs w:val="20"/>
              </w:rPr>
              <w:t xml:space="preserve">Branch</w:t>
            </w:r>
          </w:p>
        </w:tc>
        <w:tc>
          <w:tcPr>
            <w:tcW w:type="dxa" w:w="6700"/>
            <w:tcMar>
              <w:top w:type="dxa" w:w="80"/>
              <w:left w:type="dxa" w:w="110"/>
              <w:bottom w:type="dxa" w:w="80"/>
              <w:right w:type="dxa" w:w="110"/>
            </w:tcMar>
          </w:tcPr>
          <w:p>
            <w:pPr>
              <w:spacing w:after="0" w:line="252"/>
            </w:pPr>
            <w:r>
              <w:rPr>
                <w:sz w:val="20"/>
                <w:szCs w:val="20"/>
              </w:rPr>
              <w:t xml:space="preserve">adbtrr_work21_unwind</w:t>
            </w:r>
          </w:p>
        </w:tc>
      </w:tr>
    </w:tbl>
    <w:p>
      <w:pPr>
        <w:spacing w:after="140"/>
      </w:pPr>
      <w:r>
        <w:t xml:space="preserve"/>
      </w:r>
    </w:p>
    <w:p>
      <w:pPr>
        <w:pStyle w:val="Heading1"/>
        <w:spacing w:after="160" w:before="320"/>
      </w:pPr>
      <w:r>
        <w:rPr>
          <w:b/>
          <w:bCs/>
          <w:color w:val="1F3864"/>
          <w:sz w:val="30"/>
          <w:szCs w:val="30"/>
        </w:rPr>
        <w:t xml:space="preserve">1. Purpose and Scope</w:t>
      </w:r>
    </w:p>
    <w:p>
      <w:pPr>
        <w:spacing w:after="120" w:line="276"/>
      </w:pPr>
      <w:r>
        <w:rPr>
          <w:sz w:val="22"/>
          <w:szCs w:val="22"/>
        </w:rPr>
        <w:t xml:space="preserve">This note records the outcome of a source-provenance comparison carried out on the ARM stack unwinder introduced by TizenRT pull request 7522. It documents the evidence that the unwinder is derived from Apache NuttX, identifies a licence-attribution gap in the submitted files, and lists the corrective actions recommended before the change is merged.</w:t>
      </w:r>
    </w:p>
    <w:p>
      <w:pPr>
        <w:spacing w:after="120" w:line="276"/>
      </w:pPr>
      <w:r>
        <w:rPr>
          <w:sz w:val="22"/>
          <w:szCs w:val="22"/>
        </w:rPr>
        <w:t xml:space="preserve">The scope is limited to provenance and attribution. Functional review of the unwinder, and its comparison against the alternative backtrace implementation in pull request 7445, are covered separately and are not repeated here.</w:t>
      </w:r>
    </w:p>
    <w:p>
      <w:pPr>
        <w:pStyle w:val="Heading1"/>
        <w:spacing w:after="160" w:before="320"/>
      </w:pPr>
      <w:r>
        <w:rPr>
          <w:b/>
          <w:bCs/>
          <w:color w:val="1F3864"/>
          <w:sz w:val="30"/>
          <w:szCs w:val="30"/>
        </w:rPr>
        <w:t xml:space="preserve">2. Summary of Finding</w:t>
      </w:r>
    </w:p>
    <w:p>
      <w:pPr>
        <w:spacing w:after="120" w:line="276"/>
      </w:pPr>
      <w:r>
        <w:rPr>
          <w:sz w:val="22"/>
          <w:szCs w:val="22"/>
        </w:rPr>
        <w:t xml:space="preserve">The two unwinder source files added by pull request 7522 under os/arch/arm/src/common/ are derived from the corresponding files in Apache NuttX at arch/arm/src/common/. The correspondence is established by four independent checks: file naming and directory layout, symbol-set comparison, textual similarity measurement, and Kconfig option comparison. All four agree.</w:t>
      </w:r>
    </w:p>
    <w:p>
      <w:pPr>
        <w:spacing w:after="120" w:line="276"/>
      </w:pPr>
      <w:r>
        <w:rPr>
          <w:sz w:val="22"/>
          <w:szCs w:val="22"/>
        </w:rPr>
        <w:t xml:space="preserve">The derivation itself is unremarkable and appropriate. TizenRT originates from the same code base lineage, and porting a proven unwinder is preferable to writing a new one. The issue requiring action is not the reuse but the attribution: the Apache Software Foundation copyright notice present in the NuttX originals has been replaced by a Samsung Electronics notice, with no reference to the upstream source retained.</w:t>
      </w:r>
    </w:p>
    <w:p>
      <w:pPr>
        <w:spacing w:after="120" w:line="276"/>
      </w:pPr>
      <w:r>
        <w:rPr>
          <w:b/>
          <w:bCs/>
          <w:sz w:val="22"/>
          <w:szCs w:val="22"/>
        </w:rPr>
        <w:t xml:space="preserve">This departs from the convention TizenRT already applies to other files taken from the same upstream project, which retain both notices.</w:t>
      </w:r>
    </w:p>
    <w:p>
      <w:pPr>
        <w:pStyle w:val="Heading1"/>
        <w:spacing w:after="160" w:before="320"/>
      </w:pPr>
      <w:r>
        <w:rPr>
          <w:b/>
          <w:bCs/>
          <w:color w:val="1F3864"/>
          <w:sz w:val="30"/>
          <w:szCs w:val="30"/>
        </w:rPr>
        <w:t xml:space="preserve">3. Artefacts Compared</w:t>
      </w:r>
    </w:p>
    <w:p>
      <w:pPr>
        <w:spacing w:after="120" w:line="276"/>
      </w:pPr>
      <w:r>
        <w:rPr>
          <w:sz w:val="22"/>
          <w:szCs w:val="22"/>
        </w:rPr>
        <w:t xml:space="preserve">The comparison was made between the following two exact revisions.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3500"/>
        <w:gridCol w:w="3400"/>
      </w:tblGrid>
      <w:tr>
        <w:trPr>
          <w:tblHeader/>
        </w:trPr>
        <w:tc>
          <w:tcPr>
            <w:tcW w:type="dxa" w:w="2100"/>
            <w:shd w:fill="D9E2F3" w:val="clear"/>
            <w:tcMar>
              <w:top w:type="dxa" w:w="80"/>
              <w:left w:type="dxa" w:w="110"/>
              <w:bottom w:type="dxa" w:w="80"/>
              <w:right w:type="dxa" w:w="110"/>
            </w:tcMar>
          </w:tcPr>
          <w:p>
            <w:pPr>
              <w:spacing w:after="0" w:line="252"/>
            </w:pPr>
            <w:r>
              <w:rPr>
                <w:b/>
                <w:bCs/>
                <w:sz w:val="20"/>
                <w:szCs w:val="20"/>
              </w:rPr>
              <w:t xml:space="preserve">Source</w:t>
            </w:r>
          </w:p>
        </w:tc>
        <w:tc>
          <w:tcPr>
            <w:tcW w:type="dxa" w:w="3500"/>
            <w:shd w:fill="D9E2F3" w:val="clear"/>
            <w:tcMar>
              <w:top w:type="dxa" w:w="80"/>
              <w:left w:type="dxa" w:w="110"/>
              <w:bottom w:type="dxa" w:w="80"/>
              <w:right w:type="dxa" w:w="110"/>
            </w:tcMar>
          </w:tcPr>
          <w:p>
            <w:pPr>
              <w:spacing w:after="0" w:line="252"/>
            </w:pPr>
            <w:r>
              <w:rPr>
                <w:b/>
                <w:bCs/>
                <w:sz w:val="20"/>
                <w:szCs w:val="20"/>
              </w:rPr>
              <w:t xml:space="preserve">Revision</w:t>
            </w:r>
          </w:p>
        </w:tc>
        <w:tc>
          <w:tcPr>
            <w:tcW w:type="dxa" w:w="3400"/>
            <w:shd w:fill="D9E2F3" w:val="clear"/>
            <w:tcMar>
              <w:top w:type="dxa" w:w="80"/>
              <w:left w:type="dxa" w:w="110"/>
              <w:bottom w:type="dxa" w:w="80"/>
              <w:right w:type="dxa" w:w="110"/>
            </w:tcMar>
          </w:tcPr>
          <w:p>
            <w:pPr>
              <w:spacing w:after="0" w:line="252"/>
            </w:pPr>
            <w:r>
              <w:rPr>
                <w:b/>
                <w:bCs/>
                <w:sz w:val="20"/>
                <w:szCs w:val="20"/>
              </w:rPr>
              <w:t xml:space="preserve">Files examined</w:t>
            </w:r>
          </w:p>
        </w:tc>
      </w:tr>
      <w:tr>
        <w:tc>
          <w:tcPr>
            <w:tcW w:type="dxa" w:w="2100"/>
            <w:tcMar>
              <w:top w:type="dxa" w:w="80"/>
              <w:left w:type="dxa" w:w="110"/>
              <w:bottom w:type="dxa" w:w="80"/>
              <w:right w:type="dxa" w:w="110"/>
            </w:tcMar>
          </w:tcPr>
          <w:p>
            <w:pPr>
              <w:spacing w:after="0" w:line="252"/>
            </w:pPr>
            <w:r>
              <w:rPr>
                <w:sz w:val="18"/>
                <w:szCs w:val="18"/>
              </w:rPr>
              <w:t xml:space="preserve">TizenRT PR 7522</w:t>
            </w:r>
          </w:p>
        </w:tc>
        <w:tc>
          <w:tcPr>
            <w:tcW w:type="dxa" w:w="3500"/>
            <w:tcMar>
              <w:top w:type="dxa" w:w="80"/>
              <w:left w:type="dxa" w:w="110"/>
              <w:bottom w:type="dxa" w:w="80"/>
              <w:right w:type="dxa" w:w="110"/>
            </w:tcMar>
          </w:tcPr>
          <w:p>
            <w:pPr>
              <w:spacing w:after="0" w:line="252"/>
            </w:pPr>
            <w:r>
              <w:rPr>
                <w:sz w:val="18"/>
                <w:szCs w:val="18"/>
              </w:rPr>
              <w:t xml:space="preserve">f0b7319037dfee8606b7531532b0cdc480b30521 (2026-09-04)</w:t>
            </w:r>
          </w:p>
        </w:tc>
        <w:tc>
          <w:tcPr>
            <w:tcW w:type="dxa" w:w="3400"/>
            <w:tcMar>
              <w:top w:type="dxa" w:w="80"/>
              <w:left w:type="dxa" w:w="110"/>
              <w:bottom w:type="dxa" w:w="80"/>
              <w:right w:type="dxa" w:w="110"/>
            </w:tcMar>
          </w:tcPr>
          <w:p>
            <w:pPr>
              <w:spacing w:after="0" w:line="252"/>
            </w:pPr>
            <w:r>
              <w:rPr>
                <w:sz w:val="18"/>
                <w:szCs w:val="18"/>
              </w:rPr>
              <w:t xml:space="preserve">os/arch/arm/src/common/arm_backtrace_unwind.c, arm_backtrace_unwind.h, arm_backtrace_sp.c; os/arch/arm/Kconfig</w:t>
            </w:r>
          </w:p>
        </w:tc>
      </w:tr>
      <w:tr>
        <w:tc>
          <w:tcPr>
            <w:tcW w:type="dxa" w:w="2100"/>
            <w:shd w:fill="FAFAFA" w:val="clear"/>
            <w:tcMar>
              <w:top w:type="dxa" w:w="80"/>
              <w:left w:type="dxa" w:w="110"/>
              <w:bottom w:type="dxa" w:w="80"/>
              <w:right w:type="dxa" w:w="110"/>
            </w:tcMar>
          </w:tcPr>
          <w:p>
            <w:pPr>
              <w:spacing w:after="0" w:line="252"/>
            </w:pPr>
            <w:r>
              <w:rPr>
                <w:sz w:val="18"/>
                <w:szCs w:val="18"/>
              </w:rPr>
              <w:t xml:space="preserve">Apache NuttX</w:t>
            </w:r>
          </w:p>
        </w:tc>
        <w:tc>
          <w:tcPr>
            <w:tcW w:type="dxa" w:w="3500"/>
            <w:shd w:fill="FAFAFA" w:val="clear"/>
            <w:tcMar>
              <w:top w:type="dxa" w:w="80"/>
              <w:left w:type="dxa" w:w="110"/>
              <w:bottom w:type="dxa" w:w="80"/>
              <w:right w:type="dxa" w:w="110"/>
            </w:tcMar>
          </w:tcPr>
          <w:p>
            <w:pPr>
              <w:spacing w:after="0" w:line="252"/>
            </w:pPr>
            <w:r>
              <w:rPr>
                <w:sz w:val="18"/>
                <w:szCs w:val="18"/>
              </w:rPr>
              <w:t xml:space="preserve">ceace2e05ddb5ee0031f8152fe79b1c26c3bc6b2 (2026-08-26)</w:t>
            </w:r>
          </w:p>
        </w:tc>
        <w:tc>
          <w:tcPr>
            <w:tcW w:type="dxa" w:w="3400"/>
            <w:shd w:fill="FAFAFA" w:val="clear"/>
            <w:tcMar>
              <w:top w:type="dxa" w:w="80"/>
              <w:left w:type="dxa" w:w="110"/>
              <w:bottom w:type="dxa" w:w="80"/>
              <w:right w:type="dxa" w:w="110"/>
            </w:tcMar>
          </w:tcPr>
          <w:p>
            <w:pPr>
              <w:spacing w:after="0" w:line="252"/>
            </w:pPr>
            <w:r>
              <w:rPr>
                <w:sz w:val="18"/>
                <w:szCs w:val="18"/>
              </w:rPr>
              <w:t xml:space="preserve">arch/arm/src/common/arm_backtrace_unwind.c, arm_backtrace_sp.c, arm_backtrace_fp.c; arch/arm/Kconfig</w:t>
            </w:r>
          </w:p>
        </w:tc>
      </w:tr>
    </w:tbl>
    <w:p>
      <w:pPr>
        <w:spacing w:after="140"/>
      </w:pPr>
      <w:r>
        <w:t xml:space="preserve"/>
      </w:r>
    </w:p>
    <w:p>
      <w:pPr>
        <w:pStyle w:val="Heading1"/>
        <w:spacing w:after="160" w:before="320"/>
      </w:pPr>
      <w:r>
        <w:rPr>
          <w:b/>
          <w:bCs/>
          <w:color w:val="1F3864"/>
          <w:sz w:val="30"/>
          <w:szCs w:val="30"/>
        </w:rPr>
        <w:t xml:space="preserve">4. Evidence</w:t>
      </w:r>
    </w:p>
    <w:p>
      <w:pPr>
        <w:pStyle w:val="Heading2"/>
        <w:spacing w:after="130" w:before="260"/>
      </w:pPr>
      <w:r>
        <w:rPr>
          <w:b/>
          <w:bCs/>
          <w:color w:val="2E5496"/>
          <w:sz w:val="25"/>
          <w:szCs w:val="25"/>
        </w:rPr>
        <w:t xml:space="preserve">4.1 File naming and directory layout</w:t>
      </w:r>
    </w:p>
    <w:p>
      <w:pPr>
        <w:spacing w:after="120" w:line="276"/>
      </w:pPr>
      <w:r>
        <w:rPr>
          <w:sz w:val="22"/>
          <w:szCs w:val="22"/>
        </w:rPr>
        <w:t xml:space="preserve">NuttX carries three backtrace implementations in a common architecture directory. Pull request 7522 introduces two of them, under the same file names and the same relative directory.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600"/>
      </w:tblGrid>
      <w:tr>
        <w:trPr>
          <w:tblHeader/>
        </w:trPr>
        <w:tc>
          <w:tcPr>
            <w:tcW w:type="dxa" w:w="4400"/>
            <w:shd w:fill="D9E2F3" w:val="clear"/>
            <w:tcMar>
              <w:top w:type="dxa" w:w="80"/>
              <w:left w:type="dxa" w:w="110"/>
              <w:bottom w:type="dxa" w:w="80"/>
              <w:right w:type="dxa" w:w="110"/>
            </w:tcMar>
          </w:tcPr>
          <w:p>
            <w:pPr>
              <w:spacing w:after="0" w:line="252"/>
            </w:pPr>
            <w:r>
              <w:rPr>
                <w:b/>
                <w:bCs/>
                <w:sz w:val="20"/>
                <w:szCs w:val="20"/>
              </w:rPr>
              <w:t xml:space="preserve">Apache NuttX</w:t>
            </w:r>
          </w:p>
        </w:tc>
        <w:tc>
          <w:tcPr>
            <w:tcW w:type="dxa" w:w="4600"/>
            <w:shd w:fill="D9E2F3" w:val="clear"/>
            <w:tcMar>
              <w:top w:type="dxa" w:w="80"/>
              <w:left w:type="dxa" w:w="110"/>
              <w:bottom w:type="dxa" w:w="80"/>
              <w:right w:type="dxa" w:w="110"/>
            </w:tcMar>
          </w:tcPr>
          <w:p>
            <w:pPr>
              <w:spacing w:after="0" w:line="252"/>
            </w:pPr>
            <w:r>
              <w:rPr>
                <w:b/>
                <w:bCs/>
                <w:sz w:val="20"/>
                <w:szCs w:val="20"/>
              </w:rPr>
              <w:t xml:space="preserve">TizenRT PR 7522</w:t>
            </w:r>
          </w:p>
        </w:tc>
      </w:tr>
      <w:tr>
        <w:tc>
          <w:tcPr>
            <w:tcW w:type="dxa" w:w="4400"/>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arch/arm/src/common/arm_backtrace_unwind.c</w:t>
            </w:r>
          </w:p>
        </w:tc>
        <w:tc>
          <w:tcPr>
            <w:tcW w:type="dxa" w:w="4600"/>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os/arch/arm/src/common/arm_backtrace_unwind.c</w:t>
            </w:r>
          </w:p>
        </w:tc>
      </w:tr>
      <w:tr>
        <w:tc>
          <w:tcPr>
            <w:tcW w:type="dxa" w:w="4400"/>
            <w:shd w:fill="FAFAFA" w:val="clear"/>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arch/arm/src/common/arm_backtrace_sp.c</w:t>
            </w:r>
          </w:p>
        </w:tc>
        <w:tc>
          <w:tcPr>
            <w:tcW w:type="dxa" w:w="4600"/>
            <w:shd w:fill="FAFAFA" w:val="clear"/>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os/arch/arm/src/common/arm_backtrace_sp.c</w:t>
            </w:r>
          </w:p>
        </w:tc>
      </w:tr>
      <w:tr>
        <w:tc>
          <w:tcPr>
            <w:tcW w:type="dxa" w:w="4400"/>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arch/arm/src/common/arm_backtrace_fp.c</w:t>
            </w:r>
          </w:p>
        </w:tc>
        <w:tc>
          <w:tcPr>
            <w:tcW w:type="dxa" w:w="4600"/>
            <w:tcMar>
              <w:top w:type="dxa" w:w="80"/>
              <w:left w:type="dxa" w:w="110"/>
              <w:bottom w:type="dxa" w:w="80"/>
              <w:right w:type="dxa" w:w="110"/>
            </w:tcMar>
          </w:tcPr>
          <w:p>
            <w:pPr>
              <w:spacing w:after="0" w:line="252"/>
            </w:pPr>
            <w:r>
              <w:rPr>
                <w:rFonts w:ascii="Courier New" w:cs="Courier New" w:eastAsia="Courier New" w:hAnsi="Courier New"/>
                <w:sz w:val="17"/>
                <w:szCs w:val="17"/>
              </w:rPr>
              <w:t xml:space="preserve">not ported (see section 6)</w:t>
            </w:r>
          </w:p>
        </w:tc>
      </w:tr>
    </w:tbl>
    <w:p>
      <w:pPr>
        <w:spacing w:after="140"/>
      </w:pPr>
      <w:r>
        <w:t xml:space="preserve"/>
      </w:r>
    </w:p>
    <w:p>
      <w:pPr>
        <w:pStyle w:val="Heading2"/>
        <w:spacing w:after="130" w:before="260"/>
      </w:pPr>
      <w:r>
        <w:rPr>
          <w:b/>
          <w:bCs/>
          <w:color w:val="2E5496"/>
          <w:sz w:val="25"/>
          <w:szCs w:val="25"/>
        </w:rPr>
        <w:t xml:space="preserve">4.2 Symbol-set comparison</w:t>
      </w:r>
    </w:p>
    <w:p>
      <w:pPr>
        <w:spacing w:after="120" w:line="276"/>
      </w:pPr>
      <w:r>
        <w:rPr>
          <w:sz w:val="22"/>
          <w:szCs w:val="22"/>
        </w:rPr>
        <w:t xml:space="preserve">Every function, structure and macro name defined in the NuttX unwinder is present in the pull request 7522 unwinder. The set of names appearing only in NuttX is empty, which is the signature of a direct copy rather than an independent implementation.</w:t>
      </w:r>
    </w:p>
    <w:p>
      <w:pPr>
        <w:spacing w:after="120" w:line="276"/>
      </w:pPr>
      <w:r>
        <w:rPr>
          <w:sz w:val="22"/>
          <w:szCs w:val="22"/>
        </w:rPr>
        <w:t xml:space="preserve">Names common to both:</w:t>
      </w:r>
    </w:p>
    <w:p>
      <w:pPr>
        <w:shd w:fill="F2F2F2" w:val="clear"/>
        <w:spacing w:after="60" w:line="240"/>
        <w:ind w:left="360"/>
      </w:pPr>
      <w:r>
        <w:rPr>
          <w:rFonts w:ascii="Courier New" w:cs="Courier New" w:eastAsia="Courier New" w:hAnsi="Courier New"/>
          <w:sz w:val="18"/>
          <w:szCs w:val="18"/>
        </w:rPr>
        <w:t xml:space="preserve">__EIT_entry   backtrace_unwind   check_each_pop   prel31_to_addr</w:t>
      </w:r>
    </w:p>
    <w:p>
      <w:pPr>
        <w:shd w:fill="F2F2F2" w:val="clear"/>
        <w:spacing w:after="60" w:line="240"/>
        <w:ind w:left="360"/>
      </w:pPr>
      <w:r>
        <w:rPr>
          <w:rFonts w:ascii="Courier New" w:cs="Courier New" w:eastAsia="Courier New" w:hAnsi="Courier New"/>
          <w:sz w:val="18"/>
          <w:szCs w:val="18"/>
        </w:rPr>
        <w:t xml:space="preserve">search_index   unwind_ctrl_s   unwind_decode_uleb128</w:t>
      </w:r>
    </w:p>
    <w:p>
      <w:pPr>
        <w:shd w:fill="F2F2F2" w:val="clear"/>
        <w:spacing w:after="60" w:line="240"/>
        <w:ind w:left="360"/>
      </w:pPr>
      <w:r>
        <w:rPr>
          <w:rFonts w:ascii="Courier New" w:cs="Courier New" w:eastAsia="Courier New" w:hAnsi="Courier New"/>
          <w:sz w:val="18"/>
          <w:szCs w:val="18"/>
        </w:rPr>
        <w:t xml:space="preserve">unwind_exec_content   unwind_exec_pop_r4_to_rn</w:t>
      </w:r>
    </w:p>
    <w:p>
      <w:pPr>
        <w:shd w:fill="F2F2F2" w:val="clear"/>
        <w:spacing w:after="60" w:line="240"/>
        <w:ind w:left="360"/>
      </w:pPr>
      <w:r>
        <w:rPr>
          <w:rFonts w:ascii="Courier New" w:cs="Courier New" w:eastAsia="Courier New" w:hAnsi="Courier New"/>
          <w:sz w:val="18"/>
          <w:szCs w:val="18"/>
        </w:rPr>
        <w:t xml:space="preserve">unwind_exec_pop_subset_r0_to_r3   unwind_exec_pop_subset_r4_to_r13</w:t>
      </w:r>
    </w:p>
    <w:p>
      <w:pPr>
        <w:shd w:fill="F2F2F2" w:val="clear"/>
        <w:spacing w:after="60" w:line="240"/>
        <w:ind w:left="360"/>
      </w:pPr>
      <w:r>
        <w:rPr>
          <w:rFonts w:ascii="Courier New" w:cs="Courier New" w:eastAsia="Courier New" w:hAnsi="Courier New"/>
          <w:sz w:val="18"/>
          <w:szCs w:val="18"/>
        </w:rPr>
        <w:t xml:space="preserve">unwind_find_entry   unwind_find_origin   unwind_frame</w:t>
      </w:r>
    </w:p>
    <w:p>
      <w:pPr>
        <w:shd w:fill="F2F2F2" w:val="clear"/>
        <w:spacing w:after="60" w:line="240"/>
        <w:ind w:left="360"/>
      </w:pPr>
      <w:r>
        <w:rPr>
          <w:rFonts w:ascii="Courier New" w:cs="Courier New" w:eastAsia="Courier New" w:hAnsi="Courier New"/>
          <w:sz w:val="18"/>
          <w:szCs w:val="18"/>
        </w:rPr>
        <w:t xml:space="preserve">unwind_frame_s   unwind_get_byte   unwind_pop_register   up_backtrace   vrs</w:t>
      </w:r>
    </w:p>
    <w:p>
      <w:pPr>
        <w:spacing w:after="140"/>
      </w:pPr>
      <w:r>
        <w:t xml:space="preserve"/>
      </w:r>
    </w:p>
    <w:p>
      <w:pPr>
        <w:spacing w:after="120" w:line="276"/>
      </w:pPr>
      <w:r>
        <w:rPr>
          <w:sz w:val="22"/>
          <w:szCs w:val="22"/>
        </w:rPr>
        <w:t xml:space="preserve">Names present only in the TizenRT version (additions, discussed in section 5):</w:t>
      </w:r>
    </w:p>
    <w:p>
      <w:pPr>
        <w:shd w:fill="F2F2F2" w:val="clear"/>
        <w:spacing w:after="60" w:line="240"/>
        <w:ind w:left="360"/>
      </w:pPr>
      <w:r>
        <w:rPr>
          <w:rFonts w:ascii="Courier New" w:cs="Courier New" w:eastAsia="Courier New" w:hAnsi="Courier New"/>
          <w:sz w:val="18"/>
          <w:szCs w:val="18"/>
        </w:rPr>
        <w:t xml:space="preserve">up_register_exidx   up_backtrace_current</w:t>
      </w:r>
    </w:p>
    <w:p>
      <w:pPr>
        <w:spacing w:after="140"/>
      </w:pPr>
      <w:r>
        <w:t xml:space="preserve"/>
      </w:r>
    </w:p>
    <w:p>
      <w:pPr>
        <w:spacing w:after="120" w:line="276"/>
      </w:pPr>
      <w:r>
        <w:rPr>
          <w:b/>
          <w:bCs/>
          <w:sz w:val="22"/>
          <w:szCs w:val="22"/>
        </w:rPr>
        <w:t xml:space="preserve">Names present only in NuttX: none.</w:t>
      </w:r>
    </w:p>
    <w:p>
      <w:pPr>
        <w:pStyle w:val="Heading2"/>
        <w:spacing w:after="130" w:before="260"/>
      </w:pPr>
      <w:r>
        <w:rPr>
          <w:b/>
          <w:bCs/>
          <w:color w:val="2E5496"/>
          <w:sz w:val="25"/>
          <w:szCs w:val="25"/>
        </w:rPr>
        <w:t xml:space="preserve">4.3 Textual similarity</w:t>
      </w:r>
    </w:p>
    <w:p>
      <w:pPr>
        <w:spacing w:after="120" w:line="276"/>
      </w:pPr>
      <w:r>
        <w:rPr>
          <w:sz w:val="22"/>
          <w:szCs w:val="22"/>
        </w:rPr>
        <w:t xml:space="preserve">Source lines were normalised before comparison by removing comment lines and blank lines, collapsing repeated whitespace, and substituting the upstream project name for the TizenRT project name so that identifier renaming alone would not register as a difference.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1500"/>
        <w:gridCol w:w="1500"/>
        <w:gridCol w:w="3000"/>
      </w:tblGrid>
      <w:tr>
        <w:trPr>
          <w:tblHeader/>
        </w:trPr>
        <w:tc>
          <w:tcPr>
            <w:tcW w:type="dxa" w:w="3000"/>
            <w:shd w:fill="D9E2F3" w:val="clear"/>
            <w:tcMar>
              <w:top w:type="dxa" w:w="80"/>
              <w:left w:type="dxa" w:w="110"/>
              <w:bottom w:type="dxa" w:w="80"/>
              <w:right w:type="dxa" w:w="110"/>
            </w:tcMar>
          </w:tcPr>
          <w:p>
            <w:pPr>
              <w:spacing w:after="0" w:line="252"/>
            </w:pPr>
            <w:r>
              <w:rPr>
                <w:b/>
                <w:bCs/>
                <w:sz w:val="20"/>
                <w:szCs w:val="20"/>
              </w:rPr>
              <w:t xml:space="preserve">File</w:t>
            </w:r>
          </w:p>
        </w:tc>
        <w:tc>
          <w:tcPr>
            <w:tcW w:type="dxa" w:w="1500"/>
            <w:shd w:fill="D9E2F3" w:val="clear"/>
            <w:tcMar>
              <w:top w:type="dxa" w:w="80"/>
              <w:left w:type="dxa" w:w="110"/>
              <w:bottom w:type="dxa" w:w="80"/>
              <w:right w:type="dxa" w:w="110"/>
            </w:tcMar>
          </w:tcPr>
          <w:p>
            <w:pPr>
              <w:spacing w:after="0" w:line="252"/>
            </w:pPr>
            <w:r>
              <w:rPr>
                <w:b/>
                <w:bCs/>
                <w:sz w:val="20"/>
                <w:szCs w:val="20"/>
              </w:rPr>
              <w:t xml:space="preserve">NuttX lines</w:t>
            </w:r>
          </w:p>
        </w:tc>
        <w:tc>
          <w:tcPr>
            <w:tcW w:type="dxa" w:w="1500"/>
            <w:shd w:fill="D9E2F3" w:val="clear"/>
            <w:tcMar>
              <w:top w:type="dxa" w:w="80"/>
              <w:left w:type="dxa" w:w="110"/>
              <w:bottom w:type="dxa" w:w="80"/>
              <w:right w:type="dxa" w:w="110"/>
            </w:tcMar>
          </w:tcPr>
          <w:p>
            <w:pPr>
              <w:spacing w:after="0" w:line="252"/>
            </w:pPr>
            <w:r>
              <w:rPr>
                <w:b/>
                <w:bCs/>
                <w:sz w:val="20"/>
                <w:szCs w:val="20"/>
              </w:rPr>
              <w:t xml:space="preserve">Identical</w:t>
            </w:r>
          </w:p>
        </w:tc>
        <w:tc>
          <w:tcPr>
            <w:tcW w:type="dxa" w:w="3000"/>
            <w:shd w:fill="D9E2F3" w:val="clear"/>
            <w:tcMar>
              <w:top w:type="dxa" w:w="80"/>
              <w:left w:type="dxa" w:w="110"/>
              <w:bottom w:type="dxa" w:w="80"/>
              <w:right w:type="dxa" w:w="110"/>
            </w:tcMar>
          </w:tcPr>
          <w:p>
            <w:pPr>
              <w:spacing w:after="0" w:line="252"/>
            </w:pPr>
            <w:r>
              <w:rPr>
                <w:b/>
                <w:bCs/>
                <w:sz w:val="20"/>
                <w:szCs w:val="20"/>
              </w:rPr>
              <w:t xml:space="preserve">Share of NuttX file reproduced</w:t>
            </w:r>
          </w:p>
        </w:tc>
      </w:tr>
      <w:tr>
        <w:tc>
          <w:tcPr>
            <w:tcW w:type="dxa" w:w="3000"/>
            <w:tcMar>
              <w:top w:type="dxa" w:w="80"/>
              <w:left w:type="dxa" w:w="110"/>
              <w:bottom w:type="dxa" w:w="80"/>
              <w:right w:type="dxa" w:w="110"/>
            </w:tcMar>
          </w:tcPr>
          <w:p>
            <w:pPr>
              <w:spacing w:after="0" w:line="252"/>
            </w:pPr>
            <w:r>
              <w:rPr>
                <w:sz w:val="19"/>
                <w:szCs w:val="19"/>
              </w:rPr>
              <w:t xml:space="preserve">arm_backtrace_sp.c</w:t>
            </w:r>
          </w:p>
        </w:tc>
        <w:tc>
          <w:tcPr>
            <w:tcW w:type="dxa" w:w="1500"/>
            <w:tcMar>
              <w:top w:type="dxa" w:w="80"/>
              <w:left w:type="dxa" w:w="110"/>
              <w:bottom w:type="dxa" w:w="80"/>
              <w:right w:type="dxa" w:w="110"/>
            </w:tcMar>
          </w:tcPr>
          <w:p>
            <w:pPr>
              <w:spacing w:after="0" w:line="252"/>
            </w:pPr>
            <w:r>
              <w:rPr>
                <w:sz w:val="19"/>
                <w:szCs w:val="19"/>
              </w:rPr>
              <w:t xml:space="preserve">144</w:t>
            </w:r>
          </w:p>
        </w:tc>
        <w:tc>
          <w:tcPr>
            <w:tcW w:type="dxa" w:w="1500"/>
            <w:tcMar>
              <w:top w:type="dxa" w:w="80"/>
              <w:left w:type="dxa" w:w="110"/>
              <w:bottom w:type="dxa" w:w="80"/>
              <w:right w:type="dxa" w:w="110"/>
            </w:tcMar>
          </w:tcPr>
          <w:p>
            <w:pPr>
              <w:spacing w:after="0" w:line="252"/>
            </w:pPr>
            <w:r>
              <w:rPr>
                <w:sz w:val="19"/>
                <w:szCs w:val="19"/>
              </w:rPr>
              <w:t xml:space="preserve">137</w:t>
            </w:r>
          </w:p>
        </w:tc>
        <w:tc>
          <w:tcPr>
            <w:tcW w:type="dxa" w:w="3000"/>
            <w:tcMar>
              <w:top w:type="dxa" w:w="80"/>
              <w:left w:type="dxa" w:w="110"/>
              <w:bottom w:type="dxa" w:w="80"/>
              <w:right w:type="dxa" w:w="110"/>
            </w:tcMar>
          </w:tcPr>
          <w:p>
            <w:pPr>
              <w:spacing w:after="0" w:line="252"/>
            </w:pPr>
            <w:r>
              <w:rPr>
                <w:sz w:val="19"/>
                <w:szCs w:val="19"/>
              </w:rPr>
              <w:t xml:space="preserve">95.1 per cent</w:t>
            </w:r>
          </w:p>
        </w:tc>
      </w:tr>
      <w:tr>
        <w:tc>
          <w:tcPr>
            <w:tcW w:type="dxa" w:w="3000"/>
            <w:shd w:fill="FAFAFA" w:val="clear"/>
            <w:tcMar>
              <w:top w:type="dxa" w:w="80"/>
              <w:left w:type="dxa" w:w="110"/>
              <w:bottom w:type="dxa" w:w="80"/>
              <w:right w:type="dxa" w:w="110"/>
            </w:tcMar>
          </w:tcPr>
          <w:p>
            <w:pPr>
              <w:spacing w:after="0" w:line="252"/>
            </w:pPr>
            <w:r>
              <w:rPr>
                <w:sz w:val="19"/>
                <w:szCs w:val="19"/>
              </w:rPr>
              <w:t xml:space="preserve">arm_backtrace_unwind.c</w:t>
            </w:r>
          </w:p>
        </w:tc>
        <w:tc>
          <w:tcPr>
            <w:tcW w:type="dxa" w:w="1500"/>
            <w:shd w:fill="FAFAFA" w:val="clear"/>
            <w:tcMar>
              <w:top w:type="dxa" w:w="80"/>
              <w:left w:type="dxa" w:w="110"/>
              <w:bottom w:type="dxa" w:w="80"/>
              <w:right w:type="dxa" w:w="110"/>
            </w:tcMar>
          </w:tcPr>
          <w:p>
            <w:pPr>
              <w:spacing w:after="0" w:line="252"/>
            </w:pPr>
            <w:r>
              <w:rPr>
                <w:sz w:val="19"/>
                <w:szCs w:val="19"/>
              </w:rPr>
              <w:t xml:space="preserve">501</w:t>
            </w:r>
          </w:p>
        </w:tc>
        <w:tc>
          <w:tcPr>
            <w:tcW w:type="dxa" w:w="1500"/>
            <w:shd w:fill="FAFAFA" w:val="clear"/>
            <w:tcMar>
              <w:top w:type="dxa" w:w="80"/>
              <w:left w:type="dxa" w:w="110"/>
              <w:bottom w:type="dxa" w:w="80"/>
              <w:right w:type="dxa" w:w="110"/>
            </w:tcMar>
          </w:tcPr>
          <w:p>
            <w:pPr>
              <w:spacing w:after="0" w:line="252"/>
            </w:pPr>
            <w:r>
              <w:rPr>
                <w:sz w:val="19"/>
                <w:szCs w:val="19"/>
              </w:rPr>
              <w:t xml:space="preserve">287</w:t>
            </w:r>
          </w:p>
        </w:tc>
        <w:tc>
          <w:tcPr>
            <w:tcW w:type="dxa" w:w="3000"/>
            <w:shd w:fill="FAFAFA" w:val="clear"/>
            <w:tcMar>
              <w:top w:type="dxa" w:w="80"/>
              <w:left w:type="dxa" w:w="110"/>
              <w:bottom w:type="dxa" w:w="80"/>
              <w:right w:type="dxa" w:w="110"/>
            </w:tcMar>
          </w:tcPr>
          <w:p>
            <w:pPr>
              <w:spacing w:after="0" w:line="252"/>
            </w:pPr>
            <w:r>
              <w:rPr>
                <w:sz w:val="19"/>
                <w:szCs w:val="19"/>
              </w:rPr>
              <w:t xml:space="preserve">57.3 per cent</w:t>
            </w:r>
          </w:p>
        </w:tc>
      </w:tr>
    </w:tbl>
    <w:p>
      <w:pPr>
        <w:spacing w:after="140"/>
      </w:pPr>
      <w:r>
        <w:t xml:space="preserve"/>
      </w:r>
    </w:p>
    <w:p>
      <w:pPr>
        <w:spacing w:after="120" w:line="276"/>
      </w:pPr>
      <w:r>
        <w:rPr>
          <w:sz w:val="22"/>
          <w:szCs w:val="22"/>
        </w:rPr>
        <w:t xml:space="preserve">The lower figure for arm_backtrace_unwind.c reflects reformatting to TizenRT indentation style, the addition of conditional debug logging, and the loadable-binary extensions described in section 5. The algorithm, control flow and data structures are unchanged.</w:t>
      </w:r>
    </w:p>
    <w:p>
      <w:pPr>
        <w:pStyle w:val="Heading2"/>
        <w:spacing w:after="130" w:before="260"/>
      </w:pPr>
      <w:r>
        <w:rPr>
          <w:b/>
          <w:bCs/>
          <w:color w:val="2E5496"/>
          <w:sz w:val="25"/>
          <w:szCs w:val="25"/>
        </w:rPr>
        <w:t xml:space="preserve">4.4 Configuration options</w:t>
      </w:r>
    </w:p>
    <w:p>
      <w:pPr>
        <w:spacing w:after="120" w:line="276"/>
      </w:pPr>
      <w:r>
        <w:rPr>
          <w:sz w:val="22"/>
          <w:szCs w:val="22"/>
        </w:rPr>
        <w:t xml:space="preserve">The Kconfig selection added by pull request 7522 reproduces the NuttX unwinder choice, including the option names and their ordering. The help text differs only by substitution of the project name.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300"/>
        <w:gridCol w:w="3300"/>
      </w:tblGrid>
      <w:tr>
        <w:trPr>
          <w:tblHeader/>
        </w:trPr>
        <w:tc>
          <w:tcPr>
            <w:tcW w:type="dxa" w:w="2400"/>
            <w:shd w:fill="D9E2F3" w:val="clear"/>
            <w:tcMar>
              <w:top w:type="dxa" w:w="80"/>
              <w:left w:type="dxa" w:w="110"/>
              <w:bottom w:type="dxa" w:w="80"/>
              <w:right w:type="dxa" w:w="110"/>
            </w:tcMar>
          </w:tcPr>
          <w:p>
            <w:pPr>
              <w:spacing w:after="0" w:line="252"/>
            </w:pPr>
            <w:r>
              <w:rPr>
                <w:b/>
                <w:bCs/>
                <w:sz w:val="20"/>
                <w:szCs w:val="20"/>
              </w:rPr>
              <w:t xml:space="preserve">Item</w:t>
            </w:r>
          </w:p>
        </w:tc>
        <w:tc>
          <w:tcPr>
            <w:tcW w:type="dxa" w:w="3300"/>
            <w:shd w:fill="D9E2F3" w:val="clear"/>
            <w:tcMar>
              <w:top w:type="dxa" w:w="80"/>
              <w:left w:type="dxa" w:w="110"/>
              <w:bottom w:type="dxa" w:w="80"/>
              <w:right w:type="dxa" w:w="110"/>
            </w:tcMar>
          </w:tcPr>
          <w:p>
            <w:pPr>
              <w:spacing w:after="0" w:line="252"/>
            </w:pPr>
            <w:r>
              <w:rPr>
                <w:b/>
                <w:bCs/>
                <w:sz w:val="20"/>
                <w:szCs w:val="20"/>
              </w:rPr>
              <w:t xml:space="preserve">Apache NuttX</w:t>
            </w:r>
          </w:p>
        </w:tc>
        <w:tc>
          <w:tcPr>
            <w:tcW w:type="dxa" w:w="3300"/>
            <w:shd w:fill="D9E2F3" w:val="clear"/>
            <w:tcMar>
              <w:top w:type="dxa" w:w="80"/>
              <w:left w:type="dxa" w:w="110"/>
              <w:bottom w:type="dxa" w:w="80"/>
              <w:right w:type="dxa" w:w="110"/>
            </w:tcMar>
          </w:tcPr>
          <w:p>
            <w:pPr>
              <w:spacing w:after="0" w:line="252"/>
            </w:pPr>
            <w:r>
              <w:rPr>
                <w:b/>
                <w:bCs/>
                <w:sz w:val="20"/>
                <w:szCs w:val="20"/>
              </w:rPr>
              <w:t xml:space="preserve">TizenRT PR 7522</w:t>
            </w:r>
          </w:p>
        </w:tc>
      </w:tr>
      <w:tr>
        <w:tc>
          <w:tcPr>
            <w:tcW w:type="dxa" w:w="2400"/>
            <w:tcMar>
              <w:top w:type="dxa" w:w="80"/>
              <w:left w:type="dxa" w:w="110"/>
              <w:bottom w:type="dxa" w:w="80"/>
              <w:right w:type="dxa" w:w="110"/>
            </w:tcMar>
          </w:tcPr>
          <w:p>
            <w:pPr>
              <w:spacing w:after="0" w:line="252"/>
            </w:pPr>
            <w:r>
              <w:rPr>
                <w:sz w:val="18"/>
                <w:szCs w:val="18"/>
              </w:rPr>
              <w:t xml:space="preserve">Choice prompt</w:t>
            </w:r>
          </w:p>
        </w:tc>
        <w:tc>
          <w:tcPr>
            <w:tcW w:type="dxa" w:w="3300"/>
            <w:tcMar>
              <w:top w:type="dxa" w:w="80"/>
              <w:left w:type="dxa" w:w="110"/>
              <w:bottom w:type="dxa" w:w="80"/>
              <w:right w:type="dxa" w:w="110"/>
            </w:tcMar>
          </w:tcPr>
          <w:p>
            <w:pPr>
              <w:spacing w:after="0" w:line="252"/>
            </w:pPr>
            <w:r>
              <w:rPr>
                <w:sz w:val="18"/>
                <w:szCs w:val="18"/>
              </w:rPr>
              <w:t xml:space="preserve">Choose ARM unwinder</w:t>
            </w:r>
          </w:p>
        </w:tc>
        <w:tc>
          <w:tcPr>
            <w:tcW w:type="dxa" w:w="3300"/>
            <w:tcMar>
              <w:top w:type="dxa" w:w="80"/>
              <w:left w:type="dxa" w:w="110"/>
              <w:bottom w:type="dxa" w:w="80"/>
              <w:right w:type="dxa" w:w="110"/>
            </w:tcMar>
          </w:tcPr>
          <w:p>
            <w:pPr>
              <w:spacing w:after="0" w:line="252"/>
            </w:pPr>
            <w:r>
              <w:rPr>
                <w:sz w:val="18"/>
                <w:szCs w:val="18"/>
              </w:rPr>
              <w:t xml:space="preserve">ARM Unwinder Selection</w:t>
            </w:r>
          </w:p>
        </w:tc>
      </w:tr>
      <w:tr>
        <w:tc>
          <w:tcPr>
            <w:tcW w:type="dxa" w:w="2400"/>
            <w:shd w:fill="FAFAFA" w:val="clear"/>
            <w:tcMar>
              <w:top w:type="dxa" w:w="80"/>
              <w:left w:type="dxa" w:w="110"/>
              <w:bottom w:type="dxa" w:w="80"/>
              <w:right w:type="dxa" w:w="110"/>
            </w:tcMar>
          </w:tcPr>
          <w:p>
            <w:pPr>
              <w:spacing w:after="0" w:line="252"/>
            </w:pPr>
            <w:r>
              <w:rPr>
                <w:sz w:val="18"/>
                <w:szCs w:val="18"/>
              </w:rPr>
              <w:t xml:space="preserve">Help text</w:t>
            </w:r>
          </w:p>
        </w:tc>
        <w:tc>
          <w:tcPr>
            <w:tcW w:type="dxa" w:w="3300"/>
            <w:shd w:fill="FAFAFA" w:val="clear"/>
            <w:tcMar>
              <w:top w:type="dxa" w:w="80"/>
              <w:left w:type="dxa" w:w="110"/>
              <w:bottom w:type="dxa" w:w="80"/>
              <w:right w:type="dxa" w:w="110"/>
            </w:tcMar>
          </w:tcPr>
          <w:p>
            <w:pPr>
              <w:spacing w:after="0" w:line="252"/>
            </w:pPr>
            <w:r>
              <w:rPr>
                <w:sz w:val="18"/>
                <w:szCs w:val="18"/>
              </w:rPr>
              <w:t xml:space="preserve">used for unwinding nuttx stack traces</w:t>
            </w:r>
          </w:p>
        </w:tc>
        <w:tc>
          <w:tcPr>
            <w:tcW w:type="dxa" w:w="3300"/>
            <w:shd w:fill="FAFAFA" w:val="clear"/>
            <w:tcMar>
              <w:top w:type="dxa" w:w="80"/>
              <w:left w:type="dxa" w:w="110"/>
              <w:bottom w:type="dxa" w:w="80"/>
              <w:right w:type="dxa" w:w="110"/>
            </w:tcMar>
          </w:tcPr>
          <w:p>
            <w:pPr>
              <w:spacing w:after="0" w:line="252"/>
            </w:pPr>
            <w:r>
              <w:rPr>
                <w:sz w:val="18"/>
                <w:szCs w:val="18"/>
              </w:rPr>
              <w:t xml:space="preserve">used for unwinding TizenRT stack traces</w:t>
            </w:r>
          </w:p>
        </w:tc>
      </w:tr>
      <w:tr>
        <w:tc>
          <w:tcPr>
            <w:tcW w:type="dxa" w:w="2400"/>
            <w:tcMar>
              <w:top w:type="dxa" w:w="80"/>
              <w:left w:type="dxa" w:w="110"/>
              <w:bottom w:type="dxa" w:w="80"/>
              <w:right w:type="dxa" w:w="110"/>
            </w:tcMar>
          </w:tcPr>
          <w:p>
            <w:pPr>
              <w:spacing w:after="0" w:line="252"/>
            </w:pPr>
            <w:r>
              <w:rPr>
                <w:sz w:val="18"/>
                <w:szCs w:val="18"/>
              </w:rPr>
              <w:t xml:space="preserve">Options offered</w:t>
            </w:r>
          </w:p>
        </w:tc>
        <w:tc>
          <w:tcPr>
            <w:tcW w:type="dxa" w:w="3300"/>
            <w:tcMar>
              <w:top w:type="dxa" w:w="80"/>
              <w:left w:type="dxa" w:w="110"/>
              <w:bottom w:type="dxa" w:w="80"/>
              <w:right w:type="dxa" w:w="110"/>
            </w:tcMar>
          </w:tcPr>
          <w:p>
            <w:pPr>
              <w:spacing w:after="0" w:line="252"/>
            </w:pPr>
            <w:r>
              <w:rPr>
                <w:sz w:val="18"/>
                <w:szCs w:val="18"/>
              </w:rPr>
              <w:t xml:space="preserve">UNWINDER_FRAME_POINTER, UNWINDER_STACK_POINTER, UNWINDER_ARM</w:t>
            </w:r>
          </w:p>
        </w:tc>
        <w:tc>
          <w:tcPr>
            <w:tcW w:type="dxa" w:w="3300"/>
            <w:tcMar>
              <w:top w:type="dxa" w:w="80"/>
              <w:left w:type="dxa" w:w="110"/>
              <w:bottom w:type="dxa" w:w="80"/>
              <w:right w:type="dxa" w:w="110"/>
            </w:tcMar>
          </w:tcPr>
          <w:p>
            <w:pPr>
              <w:spacing w:after="0" w:line="252"/>
            </w:pPr>
            <w:r>
              <w:rPr>
                <w:sz w:val="18"/>
                <w:szCs w:val="18"/>
              </w:rPr>
              <w:t xml:space="preserve">identical set, identical order</w:t>
            </w:r>
          </w:p>
        </w:tc>
      </w:tr>
      <w:tr>
        <w:tc>
          <w:tcPr>
            <w:tcW w:type="dxa" w:w="2400"/>
            <w:shd w:fill="FAFAFA" w:val="clear"/>
            <w:tcMar>
              <w:top w:type="dxa" w:w="80"/>
              <w:left w:type="dxa" w:w="110"/>
              <w:bottom w:type="dxa" w:w="80"/>
              <w:right w:type="dxa" w:w="110"/>
            </w:tcMar>
          </w:tcPr>
          <w:p>
            <w:pPr>
              <w:spacing w:after="0" w:line="252"/>
            </w:pPr>
            <w:r>
              <w:rPr>
                <w:sz w:val="18"/>
                <w:szCs w:val="18"/>
              </w:rPr>
              <w:t xml:space="preserve">UNWINDER_ARM behaviour</w:t>
            </w:r>
          </w:p>
        </w:tc>
        <w:tc>
          <w:tcPr>
            <w:tcW w:type="dxa" w:w="3300"/>
            <w:shd w:fill="FAFAFA" w:val="clear"/>
            <w:tcMar>
              <w:top w:type="dxa" w:w="80"/>
              <w:left w:type="dxa" w:w="110"/>
              <w:bottom w:type="dxa" w:w="80"/>
              <w:right w:type="dxa" w:w="110"/>
            </w:tcMar>
          </w:tcPr>
          <w:p>
            <w:pPr>
              <w:spacing w:after="0" w:line="252"/>
            </w:pPr>
            <w:r>
              <w:rPr>
                <w:sz w:val="18"/>
                <w:szCs w:val="18"/>
              </w:rPr>
              <w:t xml:space="preserve">selects FRAME_POINTER</w:t>
            </w:r>
          </w:p>
        </w:tc>
        <w:tc>
          <w:tcPr>
            <w:tcW w:type="dxa" w:w="3300"/>
            <w:shd w:fill="FAFAFA" w:val="clear"/>
            <w:tcMar>
              <w:top w:type="dxa" w:w="80"/>
              <w:left w:type="dxa" w:w="110"/>
              <w:bottom w:type="dxa" w:w="80"/>
              <w:right w:type="dxa" w:w="110"/>
            </w:tcMar>
          </w:tcPr>
          <w:p>
            <w:pPr>
              <w:spacing w:after="0" w:line="252"/>
            </w:pPr>
            <w:r>
              <w:rPr>
                <w:sz w:val="18"/>
                <w:szCs w:val="18"/>
              </w:rPr>
              <w:t xml:space="preserve">does not select FRAME_POINTER (deliberate change)</w:t>
            </w:r>
          </w:p>
        </w:tc>
      </w:tr>
    </w:tbl>
    <w:p>
      <w:pPr>
        <w:spacing w:after="140"/>
      </w:pPr>
      <w:r>
        <w:t xml:space="preserve"/>
      </w:r>
    </w:p>
    <w:p>
      <w:pPr>
        <w:pStyle w:val="Heading1"/>
        <w:spacing w:after="160" w:before="320"/>
      </w:pPr>
      <w:r>
        <w:rPr>
          <w:b/>
          <w:bCs/>
          <w:color w:val="1F3864"/>
          <w:sz w:val="30"/>
          <w:szCs w:val="30"/>
        </w:rPr>
        <w:t xml:space="preserve">5. Work Original to Pull Request 7522</w:t>
      </w:r>
    </w:p>
    <w:p>
      <w:pPr>
        <w:spacing w:after="120" w:line="276"/>
      </w:pPr>
      <w:r>
        <w:rPr>
          <w:sz w:val="22"/>
          <w:szCs w:val="22"/>
        </w:rPr>
        <w:t xml:space="preserve">A substantial and valuable part of the submission is not taken from upstream. The following elements have no counterpart in NuttX and represent original engineering for the TizenRT loadable-binary model:</w:t>
      </w:r>
    </w:p>
    <w:p>
      <w:pPr>
        <w:pStyle w:val="ListParagraph"/>
        <w:numPr>
          <w:ilvl w:val="0"/>
          <w:numId w:val="2"/>
        </w:numPr>
        <w:spacing w:after="90" w:line="276"/>
      </w:pPr>
      <w:r>
        <w:rPr>
          <w:sz w:val="22"/>
          <w:szCs w:val="22"/>
        </w:rPr>
        <w:t xml:space="preserve">up_register_exidx() together with the per-binary exception index table registry, and the search order in unwind_find_entry() that consults registered application tables before the kernel table. This is what allows a backtrace to resolve frames inside separately loaded application binaries.</w:t>
      </w:r>
    </w:p>
    <w:p>
      <w:pPr>
        <w:pStyle w:val="ListParagraph"/>
        <w:numPr>
          <w:ilvl w:val="0"/>
          <w:numId w:val="2"/>
        </w:numPr>
        <w:spacing w:after="90" w:line="276"/>
      </w:pPr>
      <w:r>
        <w:rPr>
          <w:sz w:val="22"/>
          <w:szCs w:val="22"/>
        </w:rPr>
        <w:t xml:space="preserve">Integration with the binary loader so that the exception index section of each loaded module is registered at load time.</w:t>
      </w:r>
    </w:p>
    <w:p>
      <w:pPr>
        <w:pStyle w:val="ListParagraph"/>
        <w:numPr>
          <w:ilvl w:val="0"/>
          <w:numId w:val="2"/>
        </w:numPr>
        <w:spacing w:after="90" w:line="276"/>
      </w:pPr>
      <w:r>
        <w:rPr>
          <w:sz w:val="22"/>
          <w:szCs w:val="22"/>
        </w:rPr>
        <w:t xml:space="preserve">up_backtrace_current(), a current-thread entry point.</w:t>
      </w:r>
    </w:p>
    <w:p>
      <w:pPr>
        <w:pStyle w:val="ListParagraph"/>
        <w:numPr>
          <w:ilvl w:val="0"/>
          <w:numId w:val="2"/>
        </w:numPr>
        <w:spacing w:after="90" w:line="276"/>
      </w:pPr>
      <w:r>
        <w:rPr>
          <w:sz w:val="22"/>
          <w:szCs w:val="22"/>
        </w:rPr>
        <w:t xml:space="preserve">The additional asserted_location parameter on up_backtrace(), carrying the program counter of a user-space assertion taken through a system call.</w:t>
      </w:r>
    </w:p>
    <w:p>
      <w:pPr>
        <w:pStyle w:val="ListParagraph"/>
        <w:numPr>
          <w:ilvl w:val="0"/>
          <w:numId w:val="2"/>
        </w:numPr>
        <w:spacing w:after="90" w:line="276"/>
      </w:pPr>
      <w:r>
        <w:rPr>
          <w:sz w:val="22"/>
          <w:szCs w:val="22"/>
        </w:rPr>
        <w:t xml:space="preserve">The decision not to make the EHABI unwinder select FRAME_POINTER, so that frame pointer support remains optional.</w:t>
      </w:r>
    </w:p>
    <w:p>
      <w:pPr>
        <w:spacing w:after="120" w:line="276"/>
      </w:pPr>
      <w:r>
        <w:rPr>
          <w:sz w:val="22"/>
          <w:szCs w:val="22"/>
        </w:rPr>
        <w:t xml:space="preserve">Review attention is best concentrated on these additions. The inherited upstream code has a long service history in its original project, whereas the extensions are new and carry the lifecycle and bounds questions raised in the separate functional review.</w:t>
      </w:r>
    </w:p>
    <w:p>
      <w:pPr>
        <w:pStyle w:val="Heading1"/>
        <w:spacing w:after="160" w:before="320"/>
      </w:pPr>
      <w:r>
        <w:rPr>
          <w:b/>
          <w:bCs/>
          <w:color w:val="1F3864"/>
          <w:sz w:val="30"/>
          <w:szCs w:val="30"/>
        </w:rPr>
        <w:t xml:space="preserve">6. Licence Attribution</w:t>
      </w:r>
    </w:p>
    <w:p>
      <w:pPr>
        <w:spacing w:after="120" w:line="276"/>
      </w:pPr>
      <w:r>
        <w:rPr>
          <w:sz w:val="22"/>
          <w:szCs w:val="22"/>
        </w:rPr>
        <w:t xml:space="preserve">Both projects distribute the affected files under the Apache Licence, Version 2.0. The upstream files carry an Apache Software Foundation copyright notice; the files submitted in pull request 7522 replace it with a Samsung Electronics notice and retain no reference to the upstream origin.</w:t>
      </w:r>
    </w:p>
    <w:p>
      <w:pPr>
        <w:pStyle w:val="Heading2"/>
        <w:spacing w:after="130" w:before="260"/>
      </w:pPr>
      <w:r>
        <w:rPr>
          <w:b/>
          <w:bCs/>
          <w:color w:val="2E5496"/>
          <w:sz w:val="25"/>
          <w:szCs w:val="25"/>
        </w:rPr>
        <w:t xml:space="preserve">6.1 Header as published upstream</w:t>
      </w:r>
    </w:p>
    <w:p>
      <w:pPr>
        <w:shd w:fill="F2F2F2" w:val="clear"/>
        <w:spacing w:after="60" w:line="240"/>
        <w:ind w:left="360"/>
      </w:pPr>
      <w:r>
        <w:rPr>
          <w:rFonts w:ascii="Courier New" w:cs="Courier New" w:eastAsia="Courier New" w:hAnsi="Courier New"/>
          <w:sz w:val="18"/>
          <w:szCs w:val="18"/>
        </w:rPr>
        <w:t xml:space="preserve">/* arch/arm/src/common/arm_backtrace_unwind.c</w:t>
      </w:r>
    </w:p>
    <w:p>
      <w:pPr>
        <w:shd w:fill="F2F2F2" w:val="clear"/>
        <w:spacing w:after="60" w:line="240"/>
        <w:ind w:left="360"/>
      </w:pPr>
      <w:r>
        <w:rPr>
          <w:rFonts w:ascii="Courier New" w:cs="Courier New" w:eastAsia="Courier New" w:hAnsi="Courier New"/>
          <w:sz w:val="18"/>
          <w:szCs w:val="18"/>
        </w:rPr>
        <w:t xml:space="preserve"> * SPDX-License-Identifier: Apache-2.0</w:t>
      </w:r>
    </w:p>
    <w:p>
      <w:pPr>
        <w:shd w:fill="F2F2F2" w:val="clear"/>
        <w:spacing w:after="60" w:line="240"/>
        <w:ind w:left="360"/>
      </w:pPr>
      <w:r>
        <w:rPr>
          <w:rFonts w:ascii="Courier New" w:cs="Courier New" w:eastAsia="Courier New" w:hAnsi="Courier New"/>
          <w:sz w:val="18"/>
          <w:szCs w:val="18"/>
        </w:rPr>
        <w:t xml:space="preserve"> * Licensed to the Apache Software Foundation (ASF) under one or more</w:t>
      </w:r>
    </w:p>
    <w:p>
      <w:pPr>
        <w:shd w:fill="F2F2F2" w:val="clear"/>
        <w:spacing w:after="60" w:line="240"/>
        <w:ind w:left="360"/>
      </w:pPr>
      <w:r>
        <w:rPr>
          <w:rFonts w:ascii="Courier New" w:cs="Courier New" w:eastAsia="Courier New" w:hAnsi="Courier New"/>
          <w:sz w:val="18"/>
          <w:szCs w:val="18"/>
        </w:rPr>
        <w:t xml:space="preserve"> * contributor license agreements.  See the NOTICE file distributed with</w:t>
      </w:r>
    </w:p>
    <w:p>
      <w:pPr>
        <w:shd w:fill="F2F2F2" w:val="clear"/>
        <w:spacing w:after="60" w:line="240"/>
        <w:ind w:left="360"/>
      </w:pPr>
      <w:r>
        <w:rPr>
          <w:rFonts w:ascii="Courier New" w:cs="Courier New" w:eastAsia="Courier New" w:hAnsi="Courier New"/>
          <w:sz w:val="18"/>
          <w:szCs w:val="18"/>
        </w:rPr>
        <w:t xml:space="preserve"> * this work for additional information regarding copyright ownership.</w:t>
      </w:r>
    </w:p>
    <w:p>
      <w:pPr>
        <w:shd w:fill="F2F2F2" w:val="clear"/>
        <w:spacing w:after="60" w:line="240"/>
        <w:ind w:left="360"/>
      </w:pPr>
      <w:r>
        <w:rPr>
          <w:rFonts w:ascii="Courier New" w:cs="Courier New" w:eastAsia="Courier New" w:hAnsi="Courier New"/>
          <w:sz w:val="18"/>
          <w:szCs w:val="18"/>
        </w:rPr>
        <w:t xml:space="preserve"> */</w:t>
      </w:r>
    </w:p>
    <w:p>
      <w:pPr>
        <w:spacing w:after="140"/>
      </w:pPr>
      <w:r>
        <w:t xml:space="preserve"/>
      </w:r>
    </w:p>
    <w:p>
      <w:pPr>
        <w:pStyle w:val="Heading2"/>
        <w:spacing w:after="130" w:before="260"/>
      </w:pPr>
      <w:r>
        <w:rPr>
          <w:b/>
          <w:bCs/>
          <w:color w:val="2E5496"/>
          <w:sz w:val="25"/>
          <w:szCs w:val="25"/>
        </w:rPr>
        <w:t xml:space="preserve">6.2 Header as submitted in pull request 7522</w:t>
      </w:r>
    </w:p>
    <w:p>
      <w:pPr>
        <w:shd w:fill="F2F2F2" w:val="clear"/>
        <w:spacing w:after="60" w:line="240"/>
        <w:ind w:left="360"/>
      </w:pPr>
      <w:r>
        <w:rPr>
          <w:rFonts w:ascii="Courier New" w:cs="Courier New" w:eastAsia="Courier New" w:hAnsi="Courier New"/>
          <w:sz w:val="18"/>
          <w:szCs w:val="18"/>
        </w:rPr>
        <w:t xml:space="preserve">/* os/arch/arm/src/common/arm_backtrace_unwind.c</w:t>
      </w:r>
    </w:p>
    <w:p>
      <w:pPr>
        <w:shd w:fill="F2F2F2" w:val="clear"/>
        <w:spacing w:after="60" w:line="240"/>
        <w:ind w:left="360"/>
      </w:pPr>
      <w:r>
        <w:rPr>
          <w:rFonts w:ascii="Courier New" w:cs="Courier New" w:eastAsia="Courier New" w:hAnsi="Courier New"/>
          <w:sz w:val="18"/>
          <w:szCs w:val="18"/>
        </w:rPr>
        <w:t xml:space="preserve"> * Copyright 2026 Samsung Electronics All Rights Reserved.</w:t>
      </w:r>
    </w:p>
    <w:p>
      <w:pPr>
        <w:shd w:fill="F2F2F2" w:val="clear"/>
        <w:spacing w:after="60" w:line="240"/>
        <w:ind w:left="360"/>
      </w:pPr>
      <w:r>
        <w:rPr>
          <w:rFonts w:ascii="Courier New" w:cs="Courier New" w:eastAsia="Courier New" w:hAnsi="Courier New"/>
          <w:sz w:val="18"/>
          <w:szCs w:val="18"/>
        </w:rPr>
        <w:t xml:space="preserve"> * Licensed under the Apache License, Version 2.0</w:t>
      </w:r>
    </w:p>
    <w:p>
      <w:pPr>
        <w:shd w:fill="F2F2F2" w:val="clear"/>
        <w:spacing w:after="60" w:line="240"/>
        <w:ind w:left="360"/>
      </w:pPr>
      <w:r>
        <w:rPr>
          <w:rFonts w:ascii="Courier New" w:cs="Courier New" w:eastAsia="Courier New" w:hAnsi="Courier New"/>
          <w:sz w:val="18"/>
          <w:szCs w:val="18"/>
        </w:rPr>
        <w:t xml:space="preserve"> */</w:t>
      </w:r>
    </w:p>
    <w:p>
      <w:pPr>
        <w:spacing w:after="140"/>
      </w:pPr>
      <w:r>
        <w:t xml:space="preserve"/>
      </w:r>
    </w:p>
    <w:p>
      <w:pPr>
        <w:pStyle w:val="Heading2"/>
        <w:spacing w:after="130" w:before="260"/>
      </w:pPr>
      <w:r>
        <w:rPr>
          <w:b/>
          <w:bCs/>
          <w:color w:val="2E5496"/>
          <w:sz w:val="25"/>
          <w:szCs w:val="25"/>
        </w:rPr>
        <w:t xml:space="preserve">6.3 The convention TizenRT already follows</w:t>
      </w:r>
    </w:p>
    <w:p>
      <w:pPr>
        <w:spacing w:after="120" w:line="276"/>
      </w:pPr>
      <w:r>
        <w:rPr>
          <w:sz w:val="22"/>
          <w:szCs w:val="22"/>
        </w:rPr>
        <w:t xml:space="preserve">This is not an open question for the project to decide. TizenRT already carries files taken from the same upstream project, and those files use a combined header: the Samsung notice first, followed by the original Apache Software Foundation notice together with the original upstream file path. The file os/arch/arm/src/armv7-a/arm_backtrace_fp.c on the master branch is an existing example of this pattern.</w:t>
      </w:r>
    </w:p>
    <w:p>
      <w:pPr>
        <w:spacing w:after="120" w:line="276"/>
      </w:pPr>
      <w:r>
        <w:rPr>
          <w:sz w:val="22"/>
          <w:szCs w:val="22"/>
        </w:rPr>
        <w:t xml:space="preserve">Clause 4 of the Apache Licence, Version 2.0 requires a derivative work to retain the attribution notices carried by the material it derives from. The submitted files do not meet that requirement, and they are also inconsistent with the surrounding code base. The correction is mechanical.</w:t>
      </w:r>
    </w:p>
    <w:p>
      <w:pPr>
        <w:pStyle w:val="Heading1"/>
        <w:spacing w:after="160" w:before="320"/>
      </w:pPr>
      <w:r>
        <w:rPr>
          <w:b/>
          <w:bCs/>
          <w:color w:val="1F3864"/>
          <w:sz w:val="30"/>
          <w:szCs w:val="30"/>
        </w:rPr>
        <w:t xml:space="preserve">7. Recommended Actions</w:t>
      </w:r>
    </w:p>
    <w:p>
      <w:pPr>
        <w:pStyle w:val="ListParagraph"/>
        <w:numPr>
          <w:ilvl w:val="0"/>
          <w:numId w:val="3"/>
        </w:numPr>
        <w:spacing w:after="110" w:line="276"/>
      </w:pPr>
      <w:r>
        <w:rPr>
          <w:sz w:val="22"/>
          <w:szCs w:val="22"/>
        </w:rPr>
        <w:t xml:space="preserve">Restore the Apache Software Foundation notice beneath the Samsung notice in arm_backtrace_unwind.c and arm_backtrace_sp.c, including the original upstream file path, following the pattern already used by os/arch/arm/src/armv7-a/arm_backtrace_fp.c.</w:t>
      </w:r>
    </w:p>
    <w:p>
      <w:pPr>
        <w:pStyle w:val="ListParagraph"/>
        <w:numPr>
          <w:ilvl w:val="0"/>
          <w:numId w:val="3"/>
        </w:numPr>
        <w:spacing w:after="110" w:line="276"/>
      </w:pPr>
      <w:r>
        <w:rPr>
          <w:sz w:val="22"/>
          <w:szCs w:val="22"/>
        </w:rPr>
        <w:t xml:space="preserve">Port arm_backtrace_fp.c from the same upstream directory. The build currently references ../common/arm_backtrace_fp.c from the amebasmart make definitions, but that file was not brought across, so any configuration selecting the frame pointer unwinder fails to build. Completing the three-file set resolves this.</w:t>
      </w:r>
    </w:p>
    <w:p>
      <w:pPr>
        <w:pStyle w:val="ListParagraph"/>
        <w:numPr>
          <w:ilvl w:val="0"/>
          <w:numId w:val="3"/>
        </w:numPr>
        <w:spacing w:after="110" w:line="276"/>
      </w:pPr>
      <w:r>
        <w:rPr>
          <w:sz w:val="22"/>
          <w:szCs w:val="22"/>
        </w:rPr>
        <w:t xml:space="preserve">Record the upstream revision the port was taken from, so that later fixes made upstream can be identified and applied. The revision used for this comparison is given in section 3.</w:t>
      </w:r>
    </w:p>
    <w:p>
      <w:pPr>
        <w:pStyle w:val="ListParagraph"/>
        <w:numPr>
          <w:ilvl w:val="0"/>
          <w:numId w:val="3"/>
        </w:numPr>
        <w:spacing w:after="110" w:line="276"/>
      </w:pPr>
      <w:r>
        <w:rPr>
          <w:sz w:val="22"/>
          <w:szCs w:val="22"/>
        </w:rPr>
        <w:t xml:space="preserve">Consider a refresh against current upstream. Approximately forty-three per cent of arm_backtrace_unwind.c differs from the upstream file; some of that difference may be upstream corrections issued after the copy was taken.</w:t>
      </w:r>
    </w:p>
    <w:p>
      <w:pPr>
        <w:pStyle w:val="ListParagraph"/>
        <w:numPr>
          <w:ilvl w:val="0"/>
          <w:numId w:val="3"/>
        </w:numPr>
        <w:spacing w:after="110" w:line="276"/>
      </w:pPr>
      <w:r>
        <w:rPr>
          <w:sz w:val="22"/>
          <w:szCs w:val="22"/>
        </w:rPr>
        <w:t xml:space="preserve">Concentrate functional review on the additions listed in section 5, in particular the lifetime of entries in the exception index registry, rather than on the inherited unwinding algorithm.</w:t>
      </w:r>
    </w:p>
    <w:p>
      <w:pPr>
        <w:pStyle w:val="Heading1"/>
        <w:spacing w:after="160" w:before="320"/>
      </w:pPr>
      <w:r>
        <w:rPr>
          <w:b/>
          <w:bCs/>
          <w:color w:val="1F3864"/>
          <w:sz w:val="30"/>
          <w:szCs w:val="30"/>
        </w:rPr>
        <w:t xml:space="preserve">8. Reproducing This Comparison</w:t>
      </w:r>
    </w:p>
    <w:p>
      <w:pPr>
        <w:spacing w:after="120" w:line="276"/>
      </w:pPr>
      <w:r>
        <w:rPr>
          <w:sz w:val="22"/>
          <w:szCs w:val="22"/>
        </w:rPr>
        <w:t xml:space="preserve">The comparison can be repeated with the following steps.</w:t>
      </w:r>
    </w:p>
    <w:p>
      <w:pPr>
        <w:shd w:fill="F2F2F2" w:val="clear"/>
        <w:spacing w:after="60" w:line="240"/>
        <w:ind w:left="360"/>
      </w:pPr>
      <w:r>
        <w:rPr>
          <w:rFonts w:ascii="Courier New" w:cs="Courier New" w:eastAsia="Courier New" w:hAnsi="Courier New"/>
          <w:sz w:val="18"/>
          <w:szCs w:val="18"/>
        </w:rPr>
        <w:t xml:space="preserve">git clone --depth 1 https://github.com/apache/nuttx</w:t>
      </w:r>
    </w:p>
    <w:p>
      <w:pPr>
        <w:shd w:fill="F2F2F2" w:val="clear"/>
        <w:spacing w:after="60" w:line="240"/>
        <w:ind w:left="360"/>
      </w:pPr>
      <w:r>
        <w:rPr>
          <w:rFonts w:ascii="Courier New" w:cs="Courier New" w:eastAsia="Courier New" w:hAnsi="Courier New"/>
          <w:sz w:val="18"/>
          <w:szCs w:val="18"/>
        </w:rPr>
        <w:t xml:space="preserve">git fetch https://github.com/Samsung/TizenRT refs/pull/7522/head:pr7522</w:t>
      </w:r>
    </w:p>
    <w:p>
      <w:pPr>
        <w:spacing w:after="140"/>
      </w:pPr>
      <w:r>
        <w:t xml:space="preserve"/>
      </w:r>
    </w:p>
    <w:p>
      <w:pPr>
        <w:spacing w:after="120" w:line="276"/>
      </w:pPr>
      <w:r>
        <w:rPr>
          <w:sz w:val="22"/>
          <w:szCs w:val="22"/>
        </w:rPr>
        <w:t xml:space="preserve">Normalise both files by discarding comment and blank lines, collapsing whitespace, and substituting the project name, then compare the resulting sorted line sets. Compare the defined symbol names of both files, and compare the unwinder choice block in each project arch/arm/Kconfig.</w:t>
      </w:r>
    </w:p>
    <w:p>
      <w:pPr>
        <w:pBdr>
          <w:bottom w:val="single" w:color="BBBBBB" w:sz="6"/>
        </w:pBdr>
        <w:spacing w:after="160" w:before="60"/>
      </w:pPr>
      <w:r>
        <w:t xml:space="preserve"/>
      </w:r>
    </w:p>
    <w:p>
      <w:pPr>
        <w:spacing w:after="120" w:line="276"/>
      </w:pPr>
      <w:r>
        <w:rPr>
          <w:i/>
          <w:iCs/>
          <w:color w:val="666666"/>
          <w:sz w:val="22"/>
          <w:szCs w:val="22"/>
        </w:rPr>
        <w:t xml:space="preserve">End of document.</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47"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 Stack Unwinder in Pull Request 7522 - Upstream Provenance and Attribution Review</dc:title>
  <dc:creator>adbtrr_work21_unwind</dc:creator>
  <dc:description>Provenance comparison of the PR 7522 ARM unwinder against Apache NuttX, with attribution recommendations.</dc:description>
  <cp:lastModifiedBy>Un-named</cp:lastModifiedBy>
  <cp:revision>1</cp:revision>
  <dcterms:created xsi:type="dcterms:W3CDTF">2026-09-21T12:34:44.808Z</dcterms:created>
  <dcterms:modified xsi:type="dcterms:W3CDTF">2026-09-21T12:34:44.808Z</dcterms:modified>
</cp:coreProperties>
</file>

<file path=docProps/custom.xml><?xml version="1.0" encoding="utf-8"?>
<Properties xmlns="http://schemas.openxmlformats.org/officeDocument/2006/custom-properties" xmlns:vt="http://schemas.openxmlformats.org/officeDocument/2006/docPropsVTypes"/>
</file>