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tcPr>
          <w:p w14:paraId="01A95570" w14:textId="77777777" w:rsidR="00000000" w:rsidRPr="001F4F14" w:rsidRDefault="00000000">
            <w:pPr>
              <w:rPr>
                <w:rFonts w:ascii="Tahoma" w:eastAsia="Cambria" w:hAnsi="Tahoma" w:cs="Tahoma"/>
                <w:sz w:val="16"/>
                <w:szCs w:val="16"/>
              </w:rPr>
            </w:pPr>
          </w:p>
        </w:tc>
        <w:tc>
          <w:tcPr>
            <w:tcW w:w="2394" w:type="pct"/>
          </w:tcPr>
          <w:p w14:paraId="583F5DB0" w14:textId="77777777" w:rsidR="00000000" w:rsidRPr="00C73BB6" w:rsidRDefault="00000000">
            <w:pPr>
              <w:rPr>
                <w:rFonts w:ascii="Tahoma" w:eastAsia="Cambria" w:hAnsi="Tahoma" w:cs="Tahoma"/>
                <w:sz w:val="16"/>
                <w:szCs w:val="16"/>
              </w:rPr>
            </w:pPr>
          </w:p>
        </w:tc>
        <w:tc>
          <w:tcPr>
            <w:tcW w:w="1235" w:type="pct"/>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105122761"/>
                <w:placeholder>
                  <w:docPart w:val="7BF26E19C74F8F47929E3188EFA13FB9"/>
                </w:placeholder>
              </w:sdtPr>
              <w:sdtEndPr/>
              <w:sdtContent>
                <w:tc>
                  <w:tcPr>
                    <w:tcW w:w="2394" w:type="pct"/>
                  </w:tcPr>
                  <w:p w14:paraId="13AC2B3E" w14:textId="4DA7E8E1" w:rsidR="00000000" w:rsidRPr="00C73BB6" w:rsidRDefault="004C0935">
                    <w:pPr>
                      <w:rPr>
                        <w:rFonts w:ascii="Tahoma" w:eastAsia="Cambria" w:hAnsi="Tahoma" w:cs="Tahoma"/>
                        <w:sz w:val="16"/>
                        <w:szCs w:val="16"/>
                      </w:rPr>
                    </w:pPr>
                    <w:r w:rsidRPr="008839E4">
                      <w:rPr>
                        <w:rFonts w:ascii="Tahoma" w:eastAsia="Cambria" w:hAnsi="Tahoma" w:cs="Tahoma"/>
                        <w:sz w:val="16"/>
                        <w:szCs w:val="16"/>
                      </w:rPr>
                      <w:t>Databases Theory and Applications</w:t>
                    </w:r>
                    <w:r>
                      <w:rPr>
                        <w:rFonts w:ascii="Tahoma" w:eastAsia="Cambria" w:hAnsi="Tahoma" w:cs="Tahoma"/>
                        <w:sz w:val="16"/>
                        <w:szCs w:val="16"/>
                      </w:rPr>
                      <w:t xml:space="preserve">: </w:t>
                    </w:r>
                    <w:r w:rsidRPr="008839E4">
                      <w:rPr>
                        <w:rFonts w:ascii="Tahoma" w:eastAsia="Cambria" w:hAnsi="Tahoma" w:cs="Tahoma"/>
                        <w:sz w:val="16"/>
                        <w:szCs w:val="16"/>
                      </w:rPr>
                      <w:t>3</w:t>
                    </w:r>
                    <w:r>
                      <w:rPr>
                        <w:rFonts w:ascii="Tahoma" w:eastAsia="Cambria" w:hAnsi="Tahoma" w:cs="Tahoma"/>
                        <w:sz w:val="16"/>
                        <w:szCs w:val="16"/>
                        <w:lang w:val="en-AU"/>
                      </w:rPr>
                      <w:t>6</w:t>
                    </w:r>
                    <w:r>
                      <w:rPr>
                        <w:rFonts w:ascii="Tahoma" w:eastAsia="Cambria" w:hAnsi="Tahoma" w:cs="Tahoma"/>
                        <w:sz w:val="16"/>
                        <w:szCs w:val="16"/>
                      </w:rPr>
                      <w:t>th</w:t>
                    </w:r>
                    <w:r w:rsidRPr="008839E4">
                      <w:rPr>
                        <w:rFonts w:ascii="Tahoma" w:eastAsia="Cambria" w:hAnsi="Tahoma" w:cs="Tahoma"/>
                        <w:sz w:val="16"/>
                        <w:szCs w:val="16"/>
                      </w:rPr>
                      <w:t xml:space="preserve"> Australasian Database Conference, ADC 202</w:t>
                    </w:r>
                    <w:r>
                      <w:rPr>
                        <w:rFonts w:ascii="Tahoma" w:eastAsia="Cambria" w:hAnsi="Tahoma" w:cs="Tahoma"/>
                        <w:sz w:val="16"/>
                        <w:szCs w:val="16"/>
                        <w:lang w:val="en-AU"/>
                      </w:rPr>
                      <w:t>5</w:t>
                    </w:r>
                    <w:r w:rsidRPr="008839E4">
                      <w:rPr>
                        <w:rFonts w:ascii="Tahoma" w:eastAsia="Cambria" w:hAnsi="Tahoma" w:cs="Tahoma"/>
                        <w:sz w:val="16"/>
                        <w:szCs w:val="16"/>
                      </w:rPr>
                      <w:t xml:space="preserve">, </w:t>
                    </w:r>
                    <w:r w:rsidR="00212F7D">
                      <w:rPr>
                        <w:rFonts w:ascii="Tahoma" w:eastAsia="Cambria" w:hAnsi="Tahoma" w:cs="Tahoma"/>
                        <w:sz w:val="16"/>
                        <w:szCs w:val="16"/>
                      </w:rPr>
                      <w:t>Sydney</w:t>
                    </w:r>
                    <w:r w:rsidRPr="008839E4">
                      <w:rPr>
                        <w:rFonts w:ascii="Tahoma" w:eastAsia="Cambria" w:hAnsi="Tahoma" w:cs="Tahoma"/>
                        <w:sz w:val="16"/>
                        <w:szCs w:val="16"/>
                      </w:rPr>
                      <w:t xml:space="preserve">, </w:t>
                    </w:r>
                    <w:r>
                      <w:rPr>
                        <w:rFonts w:ascii="Tahoma" w:eastAsia="Cambria" w:hAnsi="Tahoma" w:cs="Tahoma"/>
                        <w:sz w:val="16"/>
                        <w:szCs w:val="16"/>
                      </w:rPr>
                      <w:t xml:space="preserve">Australia and </w:t>
                    </w:r>
                    <w:r w:rsidR="00212F7D">
                      <w:rPr>
                        <w:rFonts w:ascii="Tahoma" w:eastAsia="Cambria" w:hAnsi="Tahoma" w:cs="Tahoma"/>
                        <w:sz w:val="16"/>
                        <w:szCs w:val="16"/>
                      </w:rPr>
                      <w:t>Bali, Indonesia</w:t>
                    </w:r>
                    <w:r w:rsidRPr="008839E4">
                      <w:rPr>
                        <w:rFonts w:ascii="Tahoma" w:eastAsia="Cambria" w:hAnsi="Tahoma" w:cs="Tahoma"/>
                        <w:sz w:val="16"/>
                        <w:szCs w:val="16"/>
                      </w:rPr>
                      <w:t xml:space="preserve">, </w:t>
                    </w:r>
                    <w:r>
                      <w:rPr>
                        <w:rFonts w:ascii="Tahoma" w:eastAsia="Cambria" w:hAnsi="Tahoma" w:cs="Tahoma"/>
                        <w:sz w:val="16"/>
                        <w:szCs w:val="16"/>
                      </w:rPr>
                      <w:t xml:space="preserve">December </w:t>
                    </w:r>
                    <w:r w:rsidR="00567605">
                      <w:rPr>
                        <w:rFonts w:ascii="Tahoma" w:eastAsia="Cambria" w:hAnsi="Tahoma" w:cs="Tahoma"/>
                        <w:sz w:val="16"/>
                        <w:szCs w:val="16"/>
                      </w:rPr>
                      <w:t>4</w:t>
                    </w:r>
                    <w:r w:rsidRPr="008839E4">
                      <w:rPr>
                        <w:rFonts w:ascii="Tahoma" w:eastAsia="Cambria" w:hAnsi="Tahoma" w:cs="Tahoma"/>
                        <w:sz w:val="16"/>
                        <w:szCs w:val="16"/>
                      </w:rPr>
                      <w:t xml:space="preserve"> – </w:t>
                    </w:r>
                    <w:r>
                      <w:rPr>
                        <w:rFonts w:ascii="Tahoma" w:eastAsia="Cambria" w:hAnsi="Tahoma" w:cs="Tahoma"/>
                        <w:sz w:val="16"/>
                        <w:szCs w:val="16"/>
                      </w:rPr>
                      <w:t>December</w:t>
                    </w:r>
                    <w:r w:rsidRPr="008839E4">
                      <w:rPr>
                        <w:rFonts w:ascii="Tahoma" w:eastAsia="Cambria" w:hAnsi="Tahoma" w:cs="Tahoma"/>
                        <w:sz w:val="16"/>
                        <w:szCs w:val="16"/>
                      </w:rPr>
                      <w:t xml:space="preserve"> </w:t>
                    </w:r>
                    <w:r w:rsidR="00567605">
                      <w:rPr>
                        <w:rFonts w:ascii="Tahoma" w:eastAsia="Cambria" w:hAnsi="Tahoma" w:cs="Tahoma"/>
                        <w:sz w:val="16"/>
                        <w:szCs w:val="16"/>
                      </w:rPr>
                      <w:t>6</w:t>
                    </w:r>
                    <w:r>
                      <w:rPr>
                        <w:rFonts w:ascii="Tahoma" w:eastAsia="Cambria" w:hAnsi="Tahoma" w:cs="Tahoma"/>
                        <w:sz w:val="16"/>
                        <w:szCs w:val="16"/>
                      </w:rPr>
                      <w:t>,</w:t>
                    </w:r>
                    <w:r w:rsidRPr="008839E4">
                      <w:rPr>
                        <w:rFonts w:ascii="Tahoma" w:eastAsia="Cambria" w:hAnsi="Tahoma" w:cs="Tahoma"/>
                        <w:sz w:val="16"/>
                        <w:szCs w:val="16"/>
                      </w:rPr>
                      <w:t xml:space="preserve"> 202</w:t>
                    </w:r>
                    <w:r w:rsidR="00567605">
                      <w:rPr>
                        <w:rFonts w:ascii="Tahoma" w:eastAsia="Cambria" w:hAnsi="Tahoma" w:cs="Tahoma"/>
                        <w:sz w:val="16"/>
                        <w:szCs w:val="16"/>
                      </w:rPr>
                      <w:t>5</w:t>
                    </w:r>
                    <w:r w:rsidRPr="008839E4">
                      <w:rPr>
                        <w:rFonts w:ascii="Tahoma" w:eastAsia="Cambria" w:hAnsi="Tahoma" w:cs="Tahoma"/>
                        <w:sz w:val="16"/>
                        <w:szCs w:val="16"/>
                      </w:rPr>
                      <w:t>, Proceedings</w:t>
                    </w:r>
                  </w:p>
                </w:tc>
              </w:sdtContent>
            </w:sdt>
          </w:sdtContent>
        </w:sdt>
        <w:tc>
          <w:tcPr>
            <w:tcW w:w="1235" w:type="pct"/>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tcPr>
          <w:p w14:paraId="20055B37" w14:textId="77777777" w:rsidR="00000000" w:rsidRPr="00C73BB6" w:rsidRDefault="00000000">
            <w:pPr>
              <w:rPr>
                <w:rFonts w:ascii="Tahoma" w:eastAsia="Cambria" w:hAnsi="Tahoma" w:cs="Tahoma"/>
                <w:sz w:val="16"/>
                <w:szCs w:val="16"/>
              </w:rPr>
            </w:pPr>
          </w:p>
        </w:tc>
        <w:tc>
          <w:tcPr>
            <w:tcW w:w="2394" w:type="pct"/>
          </w:tcPr>
          <w:p w14:paraId="088913DE" w14:textId="77777777" w:rsidR="00000000" w:rsidRPr="00C73BB6" w:rsidRDefault="00000000">
            <w:pPr>
              <w:rPr>
                <w:rFonts w:ascii="Tahoma" w:eastAsia="Cambria" w:hAnsi="Tahoma" w:cs="Tahoma"/>
                <w:sz w:val="16"/>
                <w:szCs w:val="16"/>
              </w:rPr>
            </w:pPr>
          </w:p>
        </w:tc>
        <w:tc>
          <w:tcPr>
            <w:tcW w:w="1235" w:type="pct"/>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tcPr>
              <w:p w14:paraId="2D36A5CA" w14:textId="50E729FA" w:rsidR="00000000" w:rsidRPr="00C73BB6" w:rsidRDefault="00C359A3">
                <w:pPr>
                  <w:rPr>
                    <w:rFonts w:ascii="Tahoma" w:eastAsia="Cambria" w:hAnsi="Tahoma" w:cs="Tahoma"/>
                    <w:sz w:val="16"/>
                    <w:szCs w:val="16"/>
                  </w:rPr>
                </w:pPr>
                <w:r>
                  <w:rPr>
                    <w:rFonts w:ascii="Tahoma" w:eastAsia="Cambria" w:hAnsi="Tahoma" w:cs="Tahoma"/>
                    <w:sz w:val="16"/>
                    <w:szCs w:val="16"/>
                  </w:rPr>
                  <w:t xml:space="preserve">Renata Borovica-Gajic, </w:t>
                </w:r>
                <w:r w:rsidR="003A7741">
                  <w:rPr>
                    <w:rFonts w:ascii="Tahoma" w:eastAsia="Cambria" w:hAnsi="Tahoma" w:cs="Tahoma"/>
                    <w:sz w:val="16"/>
                    <w:szCs w:val="16"/>
                  </w:rPr>
                  <w:t>Bolong Zheng, Arijit Khan</w:t>
                </w:r>
              </w:p>
            </w:tc>
          </w:sdtContent>
        </w:sdt>
        <w:tc>
          <w:tcPr>
            <w:tcW w:w="1235" w:type="pct"/>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tcPr>
          <w:p w14:paraId="3CAD4516" w14:textId="77777777" w:rsidR="00000000" w:rsidRPr="00C73BB6" w:rsidRDefault="00000000">
            <w:pPr>
              <w:rPr>
                <w:rFonts w:ascii="Tahoma" w:eastAsia="Cambria" w:hAnsi="Tahoma" w:cs="Tahoma"/>
                <w:sz w:val="16"/>
                <w:szCs w:val="16"/>
              </w:rPr>
            </w:pPr>
          </w:p>
        </w:tc>
        <w:tc>
          <w:tcPr>
            <w:tcW w:w="2394" w:type="pct"/>
          </w:tcPr>
          <w:p w14:paraId="5E4043A4" w14:textId="77777777" w:rsidR="00000000" w:rsidRPr="00C73BB6" w:rsidRDefault="00000000">
            <w:pPr>
              <w:rPr>
                <w:rFonts w:ascii="Tahoma" w:eastAsia="Cambria" w:hAnsi="Tahoma" w:cs="Tahoma"/>
                <w:sz w:val="16"/>
                <w:szCs w:val="16"/>
              </w:rPr>
            </w:pPr>
          </w:p>
        </w:tc>
        <w:tc>
          <w:tcPr>
            <w:tcW w:w="1235" w:type="pct"/>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tcPr>
              <w:p w14:paraId="1360A1C5" w14:textId="77777777" w:rsidR="00000000"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tcPr>
          <w:p w14:paraId="14653A03" w14:textId="77777777" w:rsidR="00000000" w:rsidRPr="00C73BB6" w:rsidRDefault="00000000">
            <w:pPr>
              <w:rPr>
                <w:rFonts w:ascii="Tahoma" w:eastAsia="Cambria" w:hAnsi="Tahoma" w:cs="Tahoma"/>
                <w:sz w:val="16"/>
                <w:szCs w:val="16"/>
              </w:rPr>
            </w:pPr>
          </w:p>
        </w:tc>
        <w:tc>
          <w:tcPr>
            <w:tcW w:w="2394" w:type="pct"/>
          </w:tcPr>
          <w:p w14:paraId="0A6F2F0E" w14:textId="77777777" w:rsidR="00000000" w:rsidRPr="0051447B" w:rsidRDefault="00000000">
            <w:pPr>
              <w:rPr>
                <w:rFonts w:ascii="Tahoma" w:eastAsia="Cambria" w:hAnsi="Tahoma" w:cs="Tahoma"/>
                <w:sz w:val="16"/>
                <w:szCs w:val="16"/>
              </w:rPr>
            </w:pPr>
          </w:p>
        </w:tc>
        <w:tc>
          <w:tcPr>
            <w:tcW w:w="1235" w:type="pct"/>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tcPr>
          <w:p w14:paraId="6996B539" w14:textId="77777777" w:rsidR="00000000" w:rsidRPr="00C73BB6" w:rsidRDefault="00000000" w:rsidP="00CD7681">
            <w:pPr>
              <w:rPr>
                <w:rFonts w:ascii="Tahoma" w:eastAsia="Cambria" w:hAnsi="Tahoma" w:cs="Tahoma"/>
                <w:sz w:val="16"/>
                <w:szCs w:val="16"/>
              </w:rPr>
            </w:pPr>
          </w:p>
        </w:tc>
        <w:tc>
          <w:tcPr>
            <w:tcW w:w="2394" w:type="pct"/>
          </w:tcPr>
          <w:p w14:paraId="55B33175" w14:textId="77777777" w:rsidR="00000000" w:rsidRPr="00C73BB6" w:rsidRDefault="00000000" w:rsidP="00CD7681">
            <w:pPr>
              <w:rPr>
                <w:rFonts w:ascii="Tahoma" w:eastAsia="Cambria" w:hAnsi="Tahoma" w:cs="Tahoma"/>
                <w:sz w:val="16"/>
                <w:szCs w:val="16"/>
              </w:rPr>
            </w:pPr>
          </w:p>
        </w:tc>
        <w:tc>
          <w:tcPr>
            <w:tcW w:w="1235" w:type="pct"/>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tcPr>
              <w:p w14:paraId="0DB8FC4B"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tcPr>
          <w:p w14:paraId="4F8A1745" w14:textId="77777777" w:rsidR="00000000" w:rsidRPr="00C73BB6" w:rsidRDefault="00000000" w:rsidP="00CD7681">
            <w:pPr>
              <w:rPr>
                <w:rFonts w:ascii="Tahoma" w:eastAsia="Cambria" w:hAnsi="Tahoma" w:cs="Tahoma"/>
                <w:sz w:val="16"/>
                <w:szCs w:val="16"/>
              </w:rPr>
            </w:pPr>
          </w:p>
        </w:tc>
        <w:tc>
          <w:tcPr>
            <w:tcW w:w="2394" w:type="pct"/>
          </w:tcPr>
          <w:p w14:paraId="7FAB86A8" w14:textId="77777777" w:rsidR="00000000" w:rsidRPr="00C73BB6" w:rsidRDefault="00000000" w:rsidP="00CD7681">
            <w:pPr>
              <w:rPr>
                <w:rFonts w:ascii="Tahoma" w:eastAsia="Cambria" w:hAnsi="Tahoma" w:cs="Tahoma"/>
                <w:sz w:val="16"/>
                <w:szCs w:val="16"/>
              </w:rPr>
            </w:pPr>
          </w:p>
        </w:tc>
        <w:tc>
          <w:tcPr>
            <w:tcW w:w="1235" w:type="pct"/>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tcPr>
          <w:p w14:paraId="2BEDD919" w14:textId="77777777" w:rsidR="00000000" w:rsidRPr="00C73BB6" w:rsidRDefault="00000000" w:rsidP="00CD7681">
            <w:pPr>
              <w:rPr>
                <w:rFonts w:ascii="Tahoma" w:eastAsia="Cambria" w:hAnsi="Tahoma" w:cs="Tahoma"/>
                <w:sz w:val="16"/>
                <w:szCs w:val="16"/>
              </w:rPr>
            </w:pPr>
          </w:p>
        </w:tc>
        <w:tc>
          <w:tcPr>
            <w:tcW w:w="2394" w:type="pct"/>
          </w:tcPr>
          <w:p w14:paraId="5EAE612F" w14:textId="77777777" w:rsidR="00000000" w:rsidRPr="00C73BB6" w:rsidRDefault="00000000" w:rsidP="00CD7681">
            <w:pPr>
              <w:rPr>
                <w:rFonts w:ascii="Tahoma" w:eastAsia="Cambria" w:hAnsi="Tahoma" w:cs="Tahoma"/>
                <w:sz w:val="16"/>
                <w:szCs w:val="16"/>
              </w:rPr>
            </w:pPr>
          </w:p>
        </w:tc>
        <w:tc>
          <w:tcPr>
            <w:tcW w:w="1235" w:type="pct"/>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tcPr>
              <w:p w14:paraId="2C109A78"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tcPr>
          <w:p w14:paraId="160AC38C" w14:textId="77777777" w:rsidR="00000000" w:rsidRPr="00C73BB6" w:rsidRDefault="00000000">
            <w:pPr>
              <w:rPr>
                <w:rFonts w:ascii="Tahoma" w:hAnsi="Tahoma" w:cs="Tahoma"/>
                <w:color w:val="FF4500"/>
                <w:sz w:val="16"/>
                <w:szCs w:val="16"/>
              </w:rPr>
            </w:pPr>
          </w:p>
        </w:tc>
        <w:tc>
          <w:tcPr>
            <w:tcW w:w="2394" w:type="pct"/>
          </w:tcPr>
          <w:p w14:paraId="35FC87BC" w14:textId="77777777" w:rsidR="00000000" w:rsidRPr="00C73BB6" w:rsidRDefault="00000000">
            <w:pPr>
              <w:rPr>
                <w:rFonts w:ascii="Tahoma" w:hAnsi="Tahoma" w:cs="Tahoma"/>
                <w:sz w:val="16"/>
                <w:szCs w:val="16"/>
              </w:rPr>
            </w:pPr>
          </w:p>
        </w:tc>
        <w:tc>
          <w:tcPr>
            <w:tcW w:w="1235" w:type="pct"/>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tcPr>
          <w:p w14:paraId="73D312B1" w14:textId="7E2AA434" w:rsidR="00000000" w:rsidRPr="00C73BB6" w:rsidRDefault="00DD6552" w:rsidP="00BA0480">
            <w:pPr>
              <w:pStyle w:val="NormalWeb"/>
              <w:spacing w:before="0" w:beforeAutospacing="0" w:after="0" w:afterAutospacing="0"/>
              <w:rPr>
                <w:rFonts w:ascii="Tahoma" w:hAnsi="Tahoma" w:cs="Tahoma"/>
                <w:sz w:val="16"/>
                <w:szCs w:val="16"/>
              </w:rPr>
            </w:pPr>
            <w:hyperlink r:id="rId13" w:history="1">
              <w:r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4"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DD809" w14:textId="77777777" w:rsidR="00A97F6D" w:rsidRDefault="00A97F6D">
      <w:pPr>
        <w:spacing w:after="0" w:line="240" w:lineRule="auto"/>
      </w:pPr>
      <w:r>
        <w:separator/>
      </w:r>
    </w:p>
  </w:endnote>
  <w:endnote w:type="continuationSeparator" w:id="0">
    <w:p w14:paraId="21B1CBD3" w14:textId="77777777" w:rsidR="00A97F6D" w:rsidRDefault="00A9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15986" w14:textId="77777777" w:rsidR="00A97F6D" w:rsidRDefault="00A97F6D">
      <w:pPr>
        <w:spacing w:after="0" w:line="240" w:lineRule="auto"/>
      </w:pPr>
      <w:r>
        <w:separator/>
      </w:r>
    </w:p>
  </w:footnote>
  <w:footnote w:type="continuationSeparator" w:id="0">
    <w:p w14:paraId="0597552E" w14:textId="77777777" w:rsidR="00A97F6D" w:rsidRDefault="00A97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76212508">
    <w:abstractNumId w:val="4"/>
  </w:num>
  <w:num w:numId="2" w16cid:durableId="1065376142">
    <w:abstractNumId w:val="3"/>
  </w:num>
  <w:num w:numId="3" w16cid:durableId="1847788207">
    <w:abstractNumId w:val="1"/>
  </w:num>
  <w:num w:numId="4" w16cid:durableId="1136752068">
    <w:abstractNumId w:val="2"/>
  </w:num>
  <w:num w:numId="5" w16cid:durableId="419562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4335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212F7D"/>
    <w:rsid w:val="003A7741"/>
    <w:rsid w:val="004C0935"/>
    <w:rsid w:val="004D1CEA"/>
    <w:rsid w:val="00567605"/>
    <w:rsid w:val="00595E41"/>
    <w:rsid w:val="006D5FE1"/>
    <w:rsid w:val="007122B6"/>
    <w:rsid w:val="00790B96"/>
    <w:rsid w:val="00A97F6D"/>
    <w:rsid w:val="00C359A3"/>
    <w:rsid w:val="00CA2B26"/>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7BF26E19C74F8F47929E3188EFA13FB9"/>
        <w:category>
          <w:name w:val="General"/>
          <w:gallery w:val="placeholder"/>
        </w:category>
        <w:types>
          <w:type w:val="bbPlcHdr"/>
        </w:types>
        <w:behaviors>
          <w:behavior w:val="content"/>
        </w:behaviors>
        <w:guid w:val="{C8FCAD4B-2D25-434E-9F0C-FBE792205B55}"/>
      </w:docPartPr>
      <w:docPartBody>
        <w:p w:rsidR="00000000" w:rsidRDefault="003A052E" w:rsidP="003A052E">
          <w:pPr>
            <w:pStyle w:val="7BF26E19C74F8F47929E3188EFA13FB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3A052E"/>
    <w:rsid w:val="00415C77"/>
    <w:rsid w:val="0042401E"/>
    <w:rsid w:val="00575ED0"/>
    <w:rsid w:val="005B0921"/>
    <w:rsid w:val="006A6696"/>
    <w:rsid w:val="006C071E"/>
    <w:rsid w:val="007122B6"/>
    <w:rsid w:val="00716D66"/>
    <w:rsid w:val="008136D0"/>
    <w:rsid w:val="00823D58"/>
    <w:rsid w:val="00866E3F"/>
    <w:rsid w:val="008973D6"/>
    <w:rsid w:val="00954CD0"/>
    <w:rsid w:val="009C6527"/>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7BF26E19C74F8F47929E3188EFA13FB9">
    <w:name w:val="7BF26E19C74F8F47929E3188EFA13FB9"/>
    <w:rsid w:val="003A052E"/>
    <w:pPr>
      <w:spacing w:line="278" w:lineRule="auto"/>
    </w:pPr>
    <w:rPr>
      <w:kern w:val="2"/>
      <w:sz w:val="24"/>
      <w:szCs w:val="24"/>
      <w:lang w:val="en-AU"/>
      <w14:ligatures w14:val="standardContextual"/>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8.6.17422.1" MinimumVersion="7.2.0.0"/>
</file>

<file path=customXml/item5.xml><?xml version="1.0" encoding="utf-8"?>
<Session xmlns="http://schemas.business-integrity.com/dealbuilder/2006/answers"/>
</file>

<file path=customXml/itemProps1.xml><?xml version="1.0" encoding="utf-8"?>
<ds:datastoreItem xmlns:ds="http://schemas.openxmlformats.org/officeDocument/2006/customXml" ds:itemID="{7DCB2A54-DD27-4EC7-BDC4-8760A6398227}">
  <ds:schemaRefs>
    <ds:schemaRef ds:uri="http://schemas.microsoft.com/office/2006/metadata/properties"/>
    <ds:schemaRef ds:uri="http://schemas.microsoft.com/office/infopath/2007/PartnerControls"/>
    <ds:schemaRef ds:uri="d9c60541-b97e-4531-bd5d-c95af8ba043f"/>
    <ds:schemaRef ds:uri="2298e316-5395-4ea8-8620-f0b006294e0b"/>
  </ds:schemaRefs>
</ds:datastoreItem>
</file>

<file path=customXml/itemProps2.xml><?xml version="1.0" encoding="utf-8"?>
<ds:datastoreItem xmlns:ds="http://schemas.openxmlformats.org/officeDocument/2006/customXml" ds:itemID="{CFA90C6E-ED68-47CB-80D5-53F7B3643FE4}">
  <ds:schemaRefs>
    <ds:schemaRef ds:uri="http://schemas.microsoft.com/sharepoint/v3/contenttype/forms"/>
  </ds:schemaRefs>
</ds:datastoreItem>
</file>

<file path=customXml/itemProps3.xml><?xml version="1.0" encoding="utf-8"?>
<ds:datastoreItem xmlns:ds="http://schemas.openxmlformats.org/officeDocument/2006/customXml" ds:itemID="{05B9F06F-8584-401B-81EC-E57723032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0541-b97e-4531-bd5d-c95af8ba043f"/>
    <ds:schemaRef ds:uri="2298e316-5395-4ea8-8620-f0b006294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5.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Farhana Choudhury</cp:lastModifiedBy>
  <cp:revision>10</cp:revision>
  <dcterms:created xsi:type="dcterms:W3CDTF">2021-10-22T08:22:00Z</dcterms:created>
  <dcterms:modified xsi:type="dcterms:W3CDTF">2025-10-13T23:03:00Z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ContentTypeId">
    <vt:lpwstr>0x0101001C9D4C717E432B45829341C6EB4E0512</vt:lpwstr>
  </property>
  <property fmtid="{D5CDD505-2E9C-101B-9397-08002B2CF9AE}" pid="5" name="Order">
    <vt:r8>7900</vt:r8>
  </property>
</Properties>
</file>