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800" w:lineRule="auto"/>
        <w:rPr/>
      </w:pPr>
      <w:r w:rsidDel="00000000" w:rsidR="00000000" w:rsidRPr="00000000">
        <w:rPr>
          <w:b w:val="1"/>
          <w:bCs w:val="1"/>
          <w:color w:val="b8860b"/>
          <w:sz w:val="20"/>
          <w:szCs w:val="20"/>
          <w:rtl w:val="0"/>
        </w:rPr>
        <w:t xml:space="preserve">WHITE PAPER · ARTIFICIAL INTELLIGENCE INFRASTRUCTURE</w:t>
      </w:r>
      <w:r w:rsidDel="00000000" w:rsidR="00000000" w:rsidRPr="00000000">
        <w:rPr>
          <w:rtl w:val="0"/>
        </w:rPr>
      </w:r>
    </w:p>
    <w:p w:rsidR="00000000" w:rsidDel="00000000" w:rsidP="00000000" w:rsidRDefault="00000000" w:rsidRPr="00000000" w14:paraId="00000002">
      <w:pPr>
        <w:spacing w:after="120" w:lineRule="auto"/>
        <w:rPr/>
      </w:pPr>
      <w:r w:rsidDel="00000000" w:rsidR="00000000" w:rsidRPr="00000000">
        <w:rPr>
          <w:b w:val="1"/>
          <w:bCs w:val="1"/>
          <w:color w:val="1b2a4a"/>
          <w:sz w:val="72"/>
          <w:szCs w:val="72"/>
          <w:rtl w:val="0"/>
        </w:rPr>
        <w:t xml:space="preserve">Compute Follows Power</w:t>
      </w:r>
      <w:r w:rsidDel="00000000" w:rsidR="00000000" w:rsidRPr="00000000">
        <w:rPr>
          <w:rtl w:val="0"/>
        </w:rPr>
      </w:r>
    </w:p>
    <w:p w:rsidR="00000000" w:rsidDel="00000000" w:rsidP="00000000" w:rsidRDefault="00000000" w:rsidRPr="00000000" w14:paraId="00000003">
      <w:pPr>
        <w:spacing w:after="600" w:lineRule="auto"/>
        <w:rPr/>
      </w:pPr>
      <w:r w:rsidDel="00000000" w:rsidR="00000000" w:rsidRPr="00000000">
        <w:rPr>
          <w:color w:val="3d5a80"/>
          <w:sz w:val="32"/>
          <w:szCs w:val="32"/>
          <w:rtl w:val="0"/>
        </w:rPr>
        <w:t xml:space="preserve">Why Louisiana Is America's Next Hub for AI Infrastructure</w:t>
      </w:r>
      <w:r w:rsidDel="00000000" w:rsidR="00000000" w:rsidRPr="00000000">
        <w:rPr>
          <w:rtl w:val="0"/>
        </w:rPr>
      </w:r>
    </w:p>
    <w:p w:rsidR="00000000" w:rsidDel="00000000" w:rsidP="00000000" w:rsidRDefault="00000000" w:rsidRPr="00000000" w14:paraId="00000004">
      <w:pPr>
        <w:pBdr>
          <w:left w:color="b8860b" w:space="12" w:sz="18" w:val="single"/>
        </w:pBdr>
        <w:spacing w:after="600" w:lineRule="auto"/>
        <w:ind w:left="240" w:firstLine="0"/>
        <w:rPr/>
      </w:pPr>
      <w:r w:rsidDel="00000000" w:rsidR="00000000" w:rsidRPr="00000000">
        <w:rPr>
          <w:i w:val="1"/>
          <w:iCs w:val="1"/>
          <w:color w:val="595959"/>
          <w:sz w:val="24"/>
          <w:szCs w:val="24"/>
          <w:rtl w:val="0"/>
        </w:rPr>
        <w:t xml:space="preserve">An AI data center is, in economic terms, a power plant with computers attached. The binding constraint is no longer talent, fiber, or climate — it is firm, low-cost electricity delivered at gigawatt scale on a construction timeline measured in months. Building that is an energy and heavy-industrial problem, and Louisiana has spent a century mastering it.</w:t>
      </w:r>
      <w:r w:rsidDel="00000000" w:rsidR="00000000" w:rsidRPr="00000000">
        <w:rPr>
          <w:rtl w:val="0"/>
        </w:rPr>
      </w:r>
    </w:p>
    <w:p w:rsidR="00000000" w:rsidDel="00000000" w:rsidP="00000000" w:rsidRDefault="00000000" w:rsidRPr="00000000" w14:paraId="00000005">
      <w:pPr>
        <w:spacing w:after="60" w:before="1200" w:lineRule="auto"/>
        <w:rPr/>
      </w:pPr>
      <w:r w:rsidDel="00000000" w:rsidR="00000000" w:rsidRPr="00000000">
        <w:rPr>
          <w:b w:val="1"/>
          <w:bCs w:val="1"/>
          <w:color w:val="1b2a4a"/>
          <w:sz w:val="28"/>
          <w:szCs w:val="28"/>
          <w:rtl w:val="0"/>
        </w:rPr>
        <w:t xml:space="preserve">Scott Tomsu</w:t>
      </w:r>
      <w:r w:rsidDel="00000000" w:rsidR="00000000" w:rsidRPr="00000000">
        <w:rPr>
          <w:rtl w:val="0"/>
        </w:rPr>
      </w:r>
    </w:p>
    <w:p w:rsidR="00000000" w:rsidDel="00000000" w:rsidP="00000000" w:rsidRDefault="00000000" w:rsidRPr="00000000" w14:paraId="00000006">
      <w:pPr>
        <w:spacing w:after="60" w:lineRule="auto"/>
        <w:rPr/>
      </w:pPr>
      <w:r w:rsidDel="00000000" w:rsidR="00000000" w:rsidRPr="00000000">
        <w:rPr>
          <w:color w:val="595959"/>
          <w:sz w:val="22"/>
          <w:szCs w:val="22"/>
          <w:rtl w:val="0"/>
        </w:rPr>
        <w:t xml:space="preserve">Louisiana-Licensed General Contractor · AI Infrastructure Developer</w:t>
      </w:r>
      <w:r w:rsidDel="00000000" w:rsidR="00000000" w:rsidRPr="00000000">
        <w:rPr>
          <w:rtl w:val="0"/>
        </w:rPr>
      </w:r>
    </w:p>
    <w:p w:rsidR="00000000" w:rsidDel="00000000" w:rsidP="00000000" w:rsidRDefault="00000000" w:rsidRPr="00000000" w14:paraId="00000007">
      <w:pPr>
        <w:spacing w:after="60" w:lineRule="auto"/>
        <w:rPr/>
      </w:pPr>
      <w:r w:rsidDel="00000000" w:rsidR="00000000" w:rsidRPr="00000000">
        <w:rPr>
          <w:color w:val="595959"/>
          <w:sz w:val="22"/>
          <w:szCs w:val="22"/>
          <w:rtl w:val="0"/>
        </w:rPr>
        <w:t xml:space="preserve">Lafayette, Louisiana</w:t>
      </w:r>
      <w:r w:rsidDel="00000000" w:rsidR="00000000" w:rsidRPr="00000000">
        <w:rPr>
          <w:rtl w:val="0"/>
        </w:rPr>
      </w:r>
    </w:p>
    <w:p w:rsidR="00000000" w:rsidDel="00000000" w:rsidP="00000000" w:rsidRDefault="00000000" w:rsidRPr="00000000" w14:paraId="00000008">
      <w:pPr>
        <w:spacing w:after="60" w:lineRule="auto"/>
        <w:rPr/>
      </w:pPr>
      <w:r w:rsidDel="00000000" w:rsidR="00000000" w:rsidRPr="00000000">
        <w:rPr>
          <w:color w:val="595959"/>
          <w:sz w:val="22"/>
          <w:szCs w:val="22"/>
          <w:rtl w:val="0"/>
        </w:rPr>
        <w:t xml:space="preserve">scott@adc3k.com · (337) 780-1535</w:t>
      </w:r>
      <w:r w:rsidDel="00000000" w:rsidR="00000000" w:rsidRPr="00000000">
        <w:rPr>
          <w:rtl w:val="0"/>
        </w:rPr>
      </w:r>
    </w:p>
    <w:p w:rsidR="00000000" w:rsidDel="00000000" w:rsidP="00000000" w:rsidRDefault="00000000" w:rsidRPr="00000000" w14:paraId="00000009">
      <w:pPr>
        <w:spacing w:after="0" w:lineRule="auto"/>
        <w:rPr/>
      </w:pPr>
      <w:r w:rsidDel="00000000" w:rsidR="00000000" w:rsidRPr="00000000">
        <w:rPr>
          <w:color w:val="595959"/>
          <w:sz w:val="20"/>
          <w:szCs w:val="20"/>
          <w:rtl w:val="0"/>
        </w:rPr>
        <w:t xml:space="preserve">Version 1.0 · June 2026</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pBdr>
          <w:bottom w:color="3d5a80" w:space="4" w:sz="6" w:val="single"/>
        </w:pBdr>
        <w:spacing w:after="200" w:before="360" w:lineRule="auto"/>
        <w:rPr/>
      </w:pPr>
      <w:r w:rsidDel="00000000" w:rsidR="00000000" w:rsidRPr="00000000">
        <w:rPr>
          <w:color w:val="1b2a4a"/>
          <w:rtl w:val="0"/>
        </w:rPr>
        <w:t xml:space="preserve">Executive summary</w:t>
      </w:r>
      <w:r w:rsidDel="00000000" w:rsidR="00000000" w:rsidRPr="00000000">
        <w:rPr>
          <w:rtl w:val="0"/>
        </w:rPr>
      </w:r>
    </w:p>
    <w:p w:rsidR="00000000" w:rsidDel="00000000" w:rsidP="00000000" w:rsidRDefault="00000000" w:rsidRPr="00000000" w14:paraId="0000000C">
      <w:pPr>
        <w:spacing w:after="200" w:line="320" w:lineRule="auto"/>
        <w:rPr/>
      </w:pPr>
      <w:r w:rsidDel="00000000" w:rsidR="00000000" w:rsidRPr="00000000">
        <w:rPr>
          <w:i w:val="1"/>
          <w:iCs w:val="1"/>
          <w:color w:val="3d5a80"/>
          <w:sz w:val="24"/>
          <w:szCs w:val="24"/>
          <w:rtl w:val="0"/>
        </w:rPr>
        <w:t xml:space="preserve">The center of gravity for AI infrastructure is shifting toward the Gulf Coast, and the reason is power.</w:t>
      </w:r>
      <w:r w:rsidDel="00000000" w:rsidR="00000000" w:rsidRPr="00000000">
        <w:rPr>
          <w:rtl w:val="0"/>
        </w:rPr>
      </w:r>
    </w:p>
    <w:p w:rsidR="00000000" w:rsidDel="00000000" w:rsidP="00000000" w:rsidRDefault="00000000" w:rsidRPr="00000000" w14:paraId="0000000D">
      <w:pPr>
        <w:spacing w:after="160" w:line="300" w:lineRule="auto"/>
        <w:jc w:val="both"/>
        <w:rPr/>
      </w:pPr>
      <w:r w:rsidDel="00000000" w:rsidR="00000000" w:rsidRPr="00000000">
        <w:rPr>
          <w:sz w:val="22"/>
          <w:szCs w:val="22"/>
          <w:rtl w:val="0"/>
        </w:rPr>
        <w:t xml:space="preserve">For a decade, large data centers were sited for cool climates, cheap land, and proximity to talent and fiber. That logic is now obsolete. The defining input for an AI campus is firm, dispatchable, low-cost electricity delivered at gigawatt scale on a compressed timeline, together with the ability to cool extreme rack densities. Everything else is secondary.</w:t>
      </w:r>
      <w:r w:rsidDel="00000000" w:rsidR="00000000" w:rsidRPr="00000000">
        <w:rPr>
          <w:rtl w:val="0"/>
        </w:rPr>
      </w:r>
    </w:p>
    <w:p w:rsidR="00000000" w:rsidDel="00000000" w:rsidP="00000000" w:rsidRDefault="00000000" w:rsidRPr="00000000" w14:paraId="0000000E">
      <w:pPr>
        <w:spacing w:after="160" w:line="300" w:lineRule="auto"/>
        <w:jc w:val="both"/>
        <w:rPr/>
      </w:pPr>
      <w:r w:rsidDel="00000000" w:rsidR="00000000" w:rsidRPr="00000000">
        <w:rPr>
          <w:sz w:val="22"/>
          <w:szCs w:val="22"/>
          <w:rtl w:val="0"/>
        </w:rPr>
        <w:t xml:space="preserve">That single shift reorders the map. The regions able to build gigawatts of generation quickly are energy-producing, heavy-industrial states — and none is better positioned than Louisiana. The national benchmark price for U.S. natural gas is set at the Henry Hub in Erath, Louisiana. The state sits atop the Haynesville shale, exports more liquefied natural gas than any other, and — according to the U.S. Energy Information Administration — has the lowest industrial electricity prices in the nation. It has abundant water, inexpensive land, and a workforce that has spent generations building the largest energy projects in North America. The same capability that builds an LNG terminal builds an AI campus and the gas generation that powers it.</w:t>
      </w:r>
      <w:r w:rsidDel="00000000" w:rsidR="00000000" w:rsidRPr="00000000">
        <w:rPr>
          <w:rtl w:val="0"/>
        </w:rPr>
      </w:r>
    </w:p>
    <w:p w:rsidR="00000000" w:rsidDel="00000000" w:rsidP="00000000" w:rsidRDefault="00000000" w:rsidRPr="00000000" w14:paraId="0000000F">
      <w:pPr>
        <w:spacing w:after="160" w:line="300" w:lineRule="auto"/>
        <w:jc w:val="both"/>
        <w:rPr/>
      </w:pPr>
      <w:r w:rsidDel="00000000" w:rsidR="00000000" w:rsidRPr="00000000">
        <w:rPr>
          <w:sz w:val="22"/>
          <w:szCs w:val="22"/>
          <w:rtl w:val="0"/>
        </w:rPr>
        <w:t xml:space="preserve">This is not a forecast; the market has already validated it. Within roughly eighteen months, three of the most consequential AI-infrastructure transactions in the United States have landed in Louisiana: Meta's multi-gigawatt Hyperion campus, Amazon's twelve-billion-dollar commitment in northwest Louisiana, and Hut 8's River Bend campus, financed in April 2026 with a 3.25-billion-dollar investment-grade bond. The pages that follow make the case that Louisiana is the best place in America to build AI infrastructure, and that the most capital-efficient way to do it — behind-the-meter natural gas generation paired with liquid cooling — is precisely the model this portfolio is built to execute.</w:t>
      </w:r>
      <w:r w:rsidDel="00000000" w:rsidR="00000000" w:rsidRPr="00000000">
        <w:rPr>
          <w:rtl w:val="0"/>
        </w:rPr>
      </w:r>
    </w:p>
    <w:p w:rsidR="00000000" w:rsidDel="00000000" w:rsidP="00000000" w:rsidRDefault="00000000" w:rsidRPr="00000000" w14:paraId="00000010">
      <w:pPr>
        <w:pStyle w:val="Heading2"/>
        <w:spacing w:after="140" w:before="260" w:lineRule="auto"/>
        <w:rPr/>
      </w:pPr>
      <w:r w:rsidDel="00000000" w:rsidR="00000000" w:rsidRPr="00000000">
        <w:rPr>
          <w:color w:val="3d5a80"/>
          <w:rtl w:val="0"/>
        </w:rPr>
        <w:t xml:space="preserve">The argument in four points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 — not climate, talent, or fiber — is now the binding constraint on AI buildout, and that structurally favors energy-producing regions.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Texas proved the gas-powered model and is now hitting grid, price, and water ceilings.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Louisiana offers the same energy economics with more water, comparable land, a deeper industrial base, and the nation's most generous data-center incentives.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Generating power behind the meter protects the public grid and ratepayers while delivering investors a contracted return — an unusually clean alignment of interest.</w:t>
      </w:r>
    </w:p>
    <w:p w:rsidR="00000000" w:rsidDel="00000000" w:rsidP="00000000" w:rsidRDefault="00000000" w:rsidRPr="00000000" w14:paraId="00000015">
      <w:pPr>
        <w:pStyle w:val="Heading1"/>
        <w:pBdr>
          <w:bottom w:color="3d5a80" w:space="4" w:sz="6" w:val="single"/>
        </w:pBdr>
        <w:spacing w:after="200" w:before="360" w:lineRule="auto"/>
        <w:rPr/>
      </w:pPr>
      <w:r w:rsidDel="00000000" w:rsidR="00000000" w:rsidRPr="00000000">
        <w:rPr>
          <w:color w:val="1b2a4a"/>
          <w:rtl w:val="0"/>
        </w:rPr>
        <w:t xml:space="preserve">The shift: AI infrastructure is an energy problem</w:t>
      </w:r>
      <w:r w:rsidDel="00000000" w:rsidR="00000000" w:rsidRPr="00000000">
        <w:rPr>
          <w:rtl w:val="0"/>
        </w:rPr>
      </w:r>
    </w:p>
    <w:p w:rsidR="00000000" w:rsidDel="00000000" w:rsidP="00000000" w:rsidRDefault="00000000" w:rsidRPr="00000000" w14:paraId="00000016">
      <w:pPr>
        <w:spacing w:after="160" w:line="300" w:lineRule="auto"/>
        <w:jc w:val="both"/>
        <w:rPr/>
      </w:pPr>
      <w:r w:rsidDel="00000000" w:rsidR="00000000" w:rsidRPr="00000000">
        <w:rPr>
          <w:sz w:val="22"/>
          <w:szCs w:val="22"/>
          <w:rtl w:val="0"/>
        </w:rPr>
        <w:t xml:space="preserve">Artificial-intelligence compute has turned electricity into the scarce resource. Training and inference clusters draw power at densities and volumes the grid was never designed to absorb on short notice. Individual campuses now request a gigawatt or more — the load of a small city — and they want it in twenty-four to thirty-six months, not the decade a comparable industrial interconnection has historically taken.</w:t>
      </w:r>
      <w:r w:rsidDel="00000000" w:rsidR="00000000" w:rsidRPr="00000000">
        <w:rPr>
          <w:rtl w:val="0"/>
        </w:rPr>
      </w:r>
    </w:p>
    <w:p w:rsidR="00000000" w:rsidDel="00000000" w:rsidP="00000000" w:rsidRDefault="00000000" w:rsidRPr="00000000" w14:paraId="00000017">
      <w:pPr>
        <w:spacing w:after="160" w:line="300" w:lineRule="auto"/>
        <w:jc w:val="both"/>
        <w:rPr/>
      </w:pPr>
      <w:r w:rsidDel="00000000" w:rsidR="00000000" w:rsidRPr="00000000">
        <w:rPr>
          <w:sz w:val="22"/>
          <w:szCs w:val="22"/>
          <w:rtl w:val="0"/>
        </w:rPr>
        <w:t xml:space="preserve">The economics make the point. In a modern AI campus, the building shell is a small fraction of cost; the dominant line items are generation, electrical distribution, and cooling. The facility is, in effect, a power plant with computing equipment installed inside it. When power is 60 to 70 percent of the capital and operating story, the project is governed by the rules of the energy industry, not those of commercial real estate or software.</w:t>
      </w:r>
      <w:r w:rsidDel="00000000" w:rsidR="00000000" w:rsidRPr="00000000">
        <w:rPr>
          <w:rtl w:val="0"/>
        </w:rPr>
      </w:r>
    </w:p>
    <w:p w:rsidR="00000000" w:rsidDel="00000000" w:rsidP="00000000" w:rsidRDefault="00000000" w:rsidRPr="00000000" w14:paraId="00000018">
      <w:pPr>
        <w:spacing w:after="160" w:line="300" w:lineRule="auto"/>
        <w:jc w:val="both"/>
        <w:rPr/>
      </w:pPr>
      <w:r w:rsidDel="00000000" w:rsidR="00000000" w:rsidRPr="00000000">
        <w:rPr>
          <w:sz w:val="22"/>
          <w:szCs w:val="22"/>
          <w:rtl w:val="0"/>
        </w:rPr>
        <w:t xml:space="preserve">The clearest measure of the squeeze is the interconnection queue. In Texas, large-load grid-connection requests grew from roughly 41 gigawatts to about 136 gigawatts in a single year, with some counts approaching 205 gigawatts, according to the Electric Reliability Council of Texas (ERCOT). ERCOT now models scenarios in which total demand approaches 368 gigawatts by 2032 — more than four times the state's 2023 record peak. Demand of that magnitude cannot be served by waiting in line for the existing grid.</w:t>
      </w:r>
      <w:r w:rsidDel="00000000" w:rsidR="00000000" w:rsidRPr="00000000">
        <w:rPr>
          <w:rtl w:val="0"/>
        </w:rPr>
      </w:r>
    </w:p>
    <w:p w:rsidR="00000000" w:rsidDel="00000000" w:rsidP="00000000" w:rsidRDefault="00000000" w:rsidRPr="00000000" w14:paraId="00000019">
      <w:pPr>
        <w:spacing w:after="160" w:line="300" w:lineRule="auto"/>
        <w:jc w:val="both"/>
        <w:rPr/>
      </w:pPr>
      <w:r w:rsidDel="00000000" w:rsidR="00000000" w:rsidRPr="00000000">
        <w:rPr>
          <w:sz w:val="22"/>
          <w:szCs w:val="22"/>
          <w:rtl w:val="0"/>
        </w:rPr>
        <w:t xml:space="preserve">It was never really about heat. Phoenix — hot and arid — has been a top U.S. data-center market for years. Cool climates once offered free-air-cooling savings, but liquid cooling has largely neutralized that advantage, and the sheer scale of power now required overwhelms every other siting factor. The modern rule is simple: build where the power is, and engineer the heat away.</w:t>
      </w:r>
      <w:r w:rsidDel="00000000" w:rsidR="00000000" w:rsidRPr="00000000">
        <w:rPr>
          <w:rtl w:val="0"/>
        </w:rPr>
      </w:r>
    </w:p>
    <w:p w:rsidR="00000000" w:rsidDel="00000000" w:rsidP="00000000" w:rsidRDefault="00000000" w:rsidRPr="00000000" w14:paraId="0000001A">
      <w:pPr>
        <w:spacing w:after="160" w:line="300" w:lineRule="auto"/>
        <w:jc w:val="both"/>
        <w:rPr/>
      </w:pPr>
      <w:r w:rsidDel="00000000" w:rsidR="00000000" w:rsidRPr="00000000">
        <w:rPr>
          <w:sz w:val="22"/>
          <w:szCs w:val="22"/>
          <w:rtl w:val="0"/>
        </w:rPr>
        <w:t xml:space="preserve">This is a structural change, not a cyclical one. Even if individual model economics fluctuate, the physical requirement is set: high-density compute consumes large, firm, continuous power and produces concentrated heat. The regions that can supply the first and absorb the second — at scale and on a compressed schedule — will host the buildout. That is a description of the Gulf Coast.</w:t>
      </w:r>
      <w:r w:rsidDel="00000000" w:rsidR="00000000" w:rsidRPr="00000000">
        <w:rPr>
          <w:rtl w:val="0"/>
        </w:rPr>
      </w:r>
    </w:p>
    <w:p w:rsidR="00000000" w:rsidDel="00000000" w:rsidP="00000000" w:rsidRDefault="00000000" w:rsidRPr="00000000" w14:paraId="0000001B">
      <w:pPr>
        <w:pStyle w:val="Heading1"/>
        <w:pBdr>
          <w:bottom w:color="3d5a80" w:space="4" w:sz="6" w:val="single"/>
        </w:pBdr>
        <w:spacing w:after="200" w:before="360" w:lineRule="auto"/>
        <w:rPr/>
      </w:pPr>
      <w:r w:rsidDel="00000000" w:rsidR="00000000" w:rsidRPr="00000000">
        <w:rPr>
          <w:color w:val="1b2a4a"/>
          <w:rtl w:val="0"/>
        </w:rPr>
        <w:t xml:space="preserve">Texas: proof of concept, and its ceiling</w:t>
      </w:r>
      <w:r w:rsidDel="00000000" w:rsidR="00000000" w:rsidRPr="00000000">
        <w:rPr>
          <w:rtl w:val="0"/>
        </w:rPr>
      </w:r>
    </w:p>
    <w:p w:rsidR="00000000" w:rsidDel="00000000" w:rsidP="00000000" w:rsidRDefault="00000000" w:rsidRPr="00000000" w14:paraId="0000001C">
      <w:pPr>
        <w:spacing w:after="160" w:line="300" w:lineRule="auto"/>
        <w:jc w:val="both"/>
        <w:rPr/>
      </w:pPr>
      <w:r w:rsidDel="00000000" w:rsidR="00000000" w:rsidRPr="00000000">
        <w:rPr>
          <w:sz w:val="22"/>
          <w:szCs w:val="22"/>
          <w:rtl w:val="0"/>
        </w:rPr>
        <w:t xml:space="preserve">Texas is the proof of concept. It hosts the nation's second-largest concentration of data centers — on the order of 375 operating with roughly 70 more under construction — built on cheap natural gas, open land, and a flexible, deregulated grid. In November 2025, Google alone committed about forty billion dollars to three new Texas campuses.</w:t>
      </w:r>
      <w:r w:rsidDel="00000000" w:rsidR="00000000" w:rsidRPr="00000000">
        <w:rPr>
          <w:rtl w:val="0"/>
        </w:rPr>
      </w:r>
    </w:p>
    <w:p w:rsidR="00000000" w:rsidDel="00000000" w:rsidP="00000000" w:rsidRDefault="00000000" w:rsidRPr="00000000" w14:paraId="0000001D">
      <w:pPr>
        <w:spacing w:after="160" w:line="300" w:lineRule="auto"/>
        <w:jc w:val="both"/>
        <w:rPr/>
      </w:pPr>
      <w:r w:rsidDel="00000000" w:rsidR="00000000" w:rsidRPr="00000000">
        <w:rPr>
          <w:sz w:val="22"/>
          <w:szCs w:val="22"/>
          <w:rtl w:val="0"/>
        </w:rPr>
        <w:t xml:space="preserve">Critically, the marquee AI projects have stopped waiting for the grid. OpenAI's Stargate cluster near Abilene is powered by off-grid gas generation scaling toward seven gigawatts; Chevron is building its first-ever dedicated power plant to serve a five-gigawatt behind-the-meter complex in the Permian Basin; and Fermi America has proposed an eleven-gigawatt energy-and-data complex near Amarillo. Behind-the-meter natural gas is the architecture that is winning.</w:t>
      </w:r>
      <w:r w:rsidDel="00000000" w:rsidR="00000000" w:rsidRPr="00000000">
        <w:rPr>
          <w:rtl w:val="0"/>
        </w:rPr>
      </w:r>
    </w:p>
    <w:p w:rsidR="00000000" w:rsidDel="00000000" w:rsidP="00000000" w:rsidRDefault="00000000" w:rsidRPr="00000000" w14:paraId="0000001E">
      <w:pPr>
        <w:spacing w:after="160" w:line="300" w:lineRule="auto"/>
        <w:jc w:val="both"/>
        <w:rPr/>
      </w:pPr>
      <w:r w:rsidDel="00000000" w:rsidR="00000000" w:rsidRPr="00000000">
        <w:rPr>
          <w:sz w:val="22"/>
          <w:szCs w:val="22"/>
          <w:rtl w:val="0"/>
        </w:rPr>
        <w:t xml:space="preserve">But Texas is now crowded, and the constraints are real. ERCOT and the Public Utility Commission have introduced a “Batch Zero” screening regime to decide which projects are genuine before they can interconnect, and are weighing a broader overhaul of the market. Forward power prices in the ERCOT-North hub are projected to rise roughly 45 percent as demand outpaces supply, and ERCOT now discounts requested data-center load by about half in its planning — an acknowledgment that much of it may never be built. In arid West Texas, water for cooling is an escalating constraint and a growing source of local opposition.</w:t>
      </w:r>
      <w:r w:rsidDel="00000000" w:rsidR="00000000" w:rsidRPr="00000000">
        <w:rPr>
          <w:rtl w:val="0"/>
        </w:rPr>
      </w:r>
    </w:p>
    <w:p w:rsidR="00000000" w:rsidDel="00000000" w:rsidP="00000000" w:rsidRDefault="00000000" w:rsidRPr="00000000" w14:paraId="0000001F">
      <w:pPr>
        <w:spacing w:after="160" w:line="300" w:lineRule="auto"/>
        <w:jc w:val="both"/>
        <w:rPr/>
      </w:pPr>
      <w:r w:rsidDel="00000000" w:rsidR="00000000" w:rsidRPr="00000000">
        <w:rPr>
          <w:sz w:val="22"/>
          <w:szCs w:val="22"/>
          <w:rtl w:val="0"/>
        </w:rPr>
        <w:t xml:space="preserve">Each of these pressures is a reason developers are looking beyond Texas, and each is milder or absent in Louisiana. The grid queue is bypassed by self-generation; the price volatility is hedged by fixed-cost behind-the-meter gas; and the water scarcity simply does not apply. Texas remains an enormous market, but the marginal project — especially the one seeking firm power and water on a tight timeline — increasingly pencils better one state to the east.</w:t>
      </w:r>
      <w:r w:rsidDel="00000000" w:rsidR="00000000" w:rsidRPr="00000000">
        <w:rPr>
          <w:rtl w:val="0"/>
        </w:rPr>
      </w:r>
    </w:p>
    <w:p w:rsidR="00000000" w:rsidDel="00000000" w:rsidP="00000000" w:rsidRDefault="00000000" w:rsidRPr="00000000" w14:paraId="00000020">
      <w:pPr>
        <w:pStyle w:val="Heading1"/>
        <w:pBdr>
          <w:bottom w:color="3d5a80" w:space="4" w:sz="6" w:val="single"/>
        </w:pBdr>
        <w:spacing w:after="200" w:before="360" w:lineRule="auto"/>
        <w:rPr/>
      </w:pPr>
      <w:r w:rsidDel="00000000" w:rsidR="00000000" w:rsidRPr="00000000">
        <w:rPr>
          <w:color w:val="1b2a4a"/>
          <w:rtl w:val="0"/>
        </w:rPr>
        <w:t xml:space="preserve">The Louisiana case</w:t>
      </w:r>
      <w:r w:rsidDel="00000000" w:rsidR="00000000" w:rsidRPr="00000000">
        <w:rPr>
          <w:rtl w:val="0"/>
        </w:rPr>
      </w:r>
    </w:p>
    <w:p w:rsidR="00000000" w:rsidDel="00000000" w:rsidP="00000000" w:rsidRDefault="00000000" w:rsidRPr="00000000" w14:paraId="00000021">
      <w:pPr>
        <w:pStyle w:val="Heading2"/>
        <w:spacing w:after="140" w:before="260" w:lineRule="auto"/>
        <w:rPr/>
      </w:pPr>
      <w:r w:rsidDel="00000000" w:rsidR="00000000" w:rsidRPr="00000000">
        <w:rPr>
          <w:color w:val="3d5a80"/>
          <w:rtl w:val="0"/>
        </w:rPr>
        <w:t xml:space="preserve">Power and natural gas</w:t>
      </w:r>
      <w:r w:rsidDel="00000000" w:rsidR="00000000" w:rsidRPr="00000000">
        <w:rPr>
          <w:rtl w:val="0"/>
        </w:rPr>
      </w:r>
    </w:p>
    <w:p w:rsidR="00000000" w:rsidDel="00000000" w:rsidP="00000000" w:rsidRDefault="00000000" w:rsidRPr="00000000" w14:paraId="00000022">
      <w:pPr>
        <w:spacing w:after="160" w:line="300" w:lineRule="auto"/>
        <w:jc w:val="both"/>
        <w:rPr/>
      </w:pPr>
      <w:r w:rsidDel="00000000" w:rsidR="00000000" w:rsidRPr="00000000">
        <w:rPr>
          <w:sz w:val="22"/>
          <w:szCs w:val="22"/>
          <w:rtl w:val="0"/>
        </w:rPr>
        <w:t xml:space="preserve">Louisiana is an energy superpower, not merely an energy state. The Henry Hub in Erath is the physical delivery point and the NYMEX pricing benchmark for all U.S. natural gas — it is, quite literally, where the price of the commodity this thesis runs on is set. The state sits on the Haynesville shale, which averaged about 14.9 billion cubic feet per day in 2025, ranks as the third-largest gas play in the country, and holds an estimated 300 trillion cubic feet of reserves.</w:t>
      </w:r>
      <w:r w:rsidDel="00000000" w:rsidR="00000000" w:rsidRPr="00000000">
        <w:rPr>
          <w:rtl w:val="0"/>
        </w:rPr>
      </w:r>
    </w:p>
    <w:p w:rsidR="00000000" w:rsidDel="00000000" w:rsidP="00000000" w:rsidRDefault="00000000" w:rsidRPr="00000000" w14:paraId="00000023">
      <w:pPr>
        <w:spacing w:after="160" w:line="300" w:lineRule="auto"/>
        <w:jc w:val="both"/>
        <w:rPr/>
      </w:pPr>
      <w:r w:rsidDel="00000000" w:rsidR="00000000" w:rsidRPr="00000000">
        <w:rPr>
          <w:sz w:val="22"/>
          <w:szCs w:val="22"/>
          <w:rtl w:val="0"/>
        </w:rPr>
        <w:t xml:space="preserve">Haynesville gas is unusually pure, making it cheaper to process and to liquefy, and it sits adjacent to both Gulf Coast industrial demand and the largest concentration of LNG export capacity in the nation, anchored by Sabine Pass and Cameron with CP2, Plaquemines, and others expanding. The result, per the EIA, is the lowest industrial electricity prices in the United States. New midstream capacity reinforces the position, and the gas industry itself now cites behind-the-meter data-center co-generation as a primary new source of demand. For a developer, this means deep, liquid, low-cost gas supply with multiple delivery paths — the foundation of a stable long-term power cost.</w:t>
      </w:r>
      <w:r w:rsidDel="00000000" w:rsidR="00000000" w:rsidRPr="00000000">
        <w:rPr>
          <w:rtl w:val="0"/>
        </w:rPr>
      </w:r>
    </w:p>
    <w:p w:rsidR="00000000" w:rsidDel="00000000" w:rsidP="00000000" w:rsidRDefault="00000000" w:rsidRPr="00000000" w14:paraId="00000024">
      <w:pPr>
        <w:pStyle w:val="Heading2"/>
        <w:spacing w:after="140" w:before="260" w:lineRule="auto"/>
        <w:rPr/>
      </w:pPr>
      <w:r w:rsidDel="00000000" w:rsidR="00000000" w:rsidRPr="00000000">
        <w:rPr>
          <w:color w:val="3d5a80"/>
          <w:rtl w:val="0"/>
        </w:rPr>
        <w:t xml:space="preserve">Water</w:t>
      </w:r>
      <w:r w:rsidDel="00000000" w:rsidR="00000000" w:rsidRPr="00000000">
        <w:rPr>
          <w:rtl w:val="0"/>
        </w:rPr>
      </w:r>
    </w:p>
    <w:p w:rsidR="00000000" w:rsidDel="00000000" w:rsidP="00000000" w:rsidRDefault="00000000" w:rsidRPr="00000000" w14:paraId="00000025">
      <w:pPr>
        <w:spacing w:after="160" w:line="300" w:lineRule="auto"/>
        <w:jc w:val="both"/>
        <w:rPr/>
      </w:pPr>
      <w:r w:rsidDel="00000000" w:rsidR="00000000" w:rsidRPr="00000000">
        <w:rPr>
          <w:sz w:val="22"/>
          <w:szCs w:val="22"/>
          <w:rtl w:val="0"/>
        </w:rPr>
        <w:t xml:space="preserve">Cooling is the second constraint, and here Louisiana's contrast with West Texas is decisive. The state has the Mississippi and Atchafalaya rivers, roughly sixty inches of annual rainfall, a high water table, and major aquifers including the Chicot and the Sparta. Where arid markets face shortages and mounting community backlash, Louisiana has abundance — and modern closed-loop liquid cooling lets a campus minimize consumptive water use regardless, the same approach Hut 8 is using at its River Bend campus.</w:t>
      </w:r>
      <w:r w:rsidDel="00000000" w:rsidR="00000000" w:rsidRPr="00000000">
        <w:rPr>
          <w:rtl w:val="0"/>
        </w:rPr>
      </w:r>
    </w:p>
    <w:p w:rsidR="00000000" w:rsidDel="00000000" w:rsidP="00000000" w:rsidRDefault="00000000" w:rsidRPr="00000000" w14:paraId="00000026">
      <w:pPr>
        <w:pStyle w:val="Heading2"/>
        <w:spacing w:after="140" w:before="260" w:lineRule="auto"/>
        <w:rPr/>
      </w:pPr>
      <w:r w:rsidDel="00000000" w:rsidR="00000000" w:rsidRPr="00000000">
        <w:rPr>
          <w:color w:val="3d5a80"/>
          <w:rtl w:val="0"/>
        </w:rPr>
        <w:t xml:space="preserve">Land and brownfield infrastructure</w:t>
      </w:r>
      <w:r w:rsidDel="00000000" w:rsidR="00000000" w:rsidRPr="00000000">
        <w:rPr>
          <w:rtl w:val="0"/>
        </w:rPr>
      </w:r>
    </w:p>
    <w:p w:rsidR="00000000" w:rsidDel="00000000" w:rsidP="00000000" w:rsidRDefault="00000000" w:rsidRPr="00000000" w14:paraId="00000027">
      <w:pPr>
        <w:spacing w:after="160" w:line="300" w:lineRule="auto"/>
        <w:jc w:val="both"/>
        <w:rPr/>
      </w:pPr>
      <w:r w:rsidDel="00000000" w:rsidR="00000000" w:rsidRPr="00000000">
        <w:rPr>
          <w:sz w:val="22"/>
          <w:szCs w:val="22"/>
          <w:rtl w:val="0"/>
        </w:rPr>
        <w:t xml:space="preserve">Industrial land is materially cheaper than in coastal or Texas metropolitan markets. More importantly, a century of heavy industry has left behind brownfield sites that already carry power, water, rail, dock, and switchyard infrastructure. Reusing that infrastructure compresses both schedule and cost — the two variables that determine whether a campus reaches energization before the market window closes.</w:t>
      </w:r>
      <w:r w:rsidDel="00000000" w:rsidR="00000000" w:rsidRPr="00000000">
        <w:rPr>
          <w:rtl w:val="0"/>
        </w:rPr>
      </w:r>
    </w:p>
    <w:p w:rsidR="00000000" w:rsidDel="00000000" w:rsidP="00000000" w:rsidRDefault="00000000" w:rsidRPr="00000000" w14:paraId="00000028">
      <w:pPr>
        <w:pStyle w:val="Heading2"/>
        <w:spacing w:after="140" w:before="260" w:lineRule="auto"/>
        <w:rPr/>
      </w:pPr>
      <w:r w:rsidDel="00000000" w:rsidR="00000000" w:rsidRPr="00000000">
        <w:rPr>
          <w:color w:val="3d5a80"/>
          <w:rtl w:val="0"/>
        </w:rPr>
        <w:t xml:space="preserve">Workforce and industrial supply chain</w:t>
      </w:r>
      <w:r w:rsidDel="00000000" w:rsidR="00000000" w:rsidRPr="00000000">
        <w:rPr>
          <w:rtl w:val="0"/>
        </w:rPr>
      </w:r>
    </w:p>
    <w:p w:rsidR="00000000" w:rsidDel="00000000" w:rsidP="00000000" w:rsidRDefault="00000000" w:rsidRPr="00000000" w14:paraId="00000029">
      <w:pPr>
        <w:spacing w:after="160" w:line="300" w:lineRule="auto"/>
        <w:jc w:val="both"/>
        <w:rPr/>
      </w:pPr>
      <w:r w:rsidDel="00000000" w:rsidR="00000000" w:rsidRPr="00000000">
        <w:rPr>
          <w:sz w:val="22"/>
          <w:szCs w:val="22"/>
          <w:rtl w:val="0"/>
        </w:rPr>
        <w:t xml:space="preserve">The decisive advantage is the workforce and the supply chain. AI infrastructure at scale is, first and foremost, a heavy-industrial construction problem: gas turbines, switchgear, transformers, piping, and the skilled trades to install and commission them on schedule. Louisiana's oil, gas, LNG, and petrochemical complex has spent a century building exactly this, producing a deep bench of welders, pipefitters, electricians, millwrights, instrumentation-and-controls technicians, and engineering-procurement-construction contractors. Louisiana Economic Development ranks the state first or second nationally for its tech-talent pipeline. This ecosystem cannot be conjured where it does not already exist; it is Louisiana's true and durable moat.</w:t>
      </w:r>
      <w:r w:rsidDel="00000000" w:rsidR="00000000" w:rsidRPr="00000000">
        <w:rPr>
          <w:rtl w:val="0"/>
        </w:rPr>
      </w:r>
    </w:p>
    <w:p w:rsidR="00000000" w:rsidDel="00000000" w:rsidP="00000000" w:rsidRDefault="00000000" w:rsidRPr="00000000" w14:paraId="0000002A">
      <w:pPr>
        <w:pStyle w:val="Heading2"/>
        <w:spacing w:after="140" w:before="260" w:lineRule="auto"/>
        <w:rPr/>
      </w:pPr>
      <w:r w:rsidDel="00000000" w:rsidR="00000000" w:rsidRPr="00000000">
        <w:rPr>
          <w:color w:val="3d5a80"/>
          <w:rtl w:val="0"/>
        </w:rPr>
        <w:t xml:space="preserve">Connectivity and logistics</w:t>
      </w:r>
      <w:r w:rsidDel="00000000" w:rsidR="00000000" w:rsidRPr="00000000">
        <w:rPr>
          <w:rtl w:val="0"/>
        </w:rPr>
      </w:r>
    </w:p>
    <w:p w:rsidR="00000000" w:rsidDel="00000000" w:rsidP="00000000" w:rsidRDefault="00000000" w:rsidRPr="00000000" w14:paraId="0000002B">
      <w:pPr>
        <w:spacing w:after="160" w:line="300" w:lineRule="auto"/>
        <w:jc w:val="both"/>
        <w:rPr/>
      </w:pPr>
      <w:r w:rsidDel="00000000" w:rsidR="00000000" w:rsidRPr="00000000">
        <w:rPr>
          <w:sz w:val="22"/>
          <w:szCs w:val="22"/>
          <w:rtl w:val="0"/>
        </w:rPr>
        <w:t xml:space="preserve">AI campuses need robust fiber and heavy-cargo logistics as well as power. Louisiana's long-haul fiber follows the Interstate 10 and Interstate 49 corridors, with Gulf cable landings nearby, and the state's deepwater ports, Mississippi River industrial corridor, and Class I rail provide the means to move turbines, transformers, and modules at scale. Many of the state's industrial brownfields already include private dock and rail access, removing a common bottleneck in delivering oversized power equipment.</w:t>
      </w:r>
      <w:r w:rsidDel="00000000" w:rsidR="00000000" w:rsidRPr="00000000">
        <w:rPr>
          <w:rtl w:val="0"/>
        </w:rPr>
      </w:r>
    </w:p>
    <w:p w:rsidR="00000000" w:rsidDel="00000000" w:rsidP="00000000" w:rsidRDefault="00000000" w:rsidRPr="00000000" w14:paraId="0000002C">
      <w:pPr>
        <w:pStyle w:val="Heading1"/>
        <w:pBdr>
          <w:bottom w:color="3d5a80" w:space="4" w:sz="6" w:val="single"/>
        </w:pBdr>
        <w:spacing w:after="200" w:before="360" w:lineRule="auto"/>
        <w:rPr/>
      </w:pPr>
      <w:r w:rsidDel="00000000" w:rsidR="00000000" w:rsidRPr="00000000">
        <w:rPr>
          <w:color w:val="1b2a4a"/>
          <w:rtl w:val="0"/>
        </w:rPr>
        <w:t xml:space="preserve">Policy and incentives</w:t>
      </w:r>
      <w:r w:rsidDel="00000000" w:rsidR="00000000" w:rsidRPr="00000000">
        <w:rPr>
          <w:rtl w:val="0"/>
        </w:rPr>
      </w:r>
    </w:p>
    <w:p w:rsidR="00000000" w:rsidDel="00000000" w:rsidP="00000000" w:rsidRDefault="00000000" w:rsidRPr="00000000" w14:paraId="0000002D">
      <w:pPr>
        <w:spacing w:after="160" w:line="300" w:lineRule="auto"/>
        <w:jc w:val="both"/>
        <w:rPr/>
      </w:pPr>
      <w:r w:rsidDel="00000000" w:rsidR="00000000" w:rsidRPr="00000000">
        <w:rPr>
          <w:sz w:val="22"/>
          <w:szCs w:val="22"/>
          <w:rtl w:val="0"/>
        </w:rPr>
        <w:t xml:space="preserve">Louisiana has matched its physical advantages with one of the most aggressive pro-investment policy postures in the country. Act 730 of 2024 grants a state and local sales-and-use tax exemption on data-center equipment and software for an initial term of twenty years, renewable for ten more — among the most generous such programs in the nation — for projects certified by Louisiana Economic Development that create at least fifty permanent jobs and invest at least 200 million dollars by mid-2029. In a 2024 special session, the legislature cut the corporate income tax from 7.5 percent to 5.5 percent, the second-lowest rate in the country, and moved toward a flat 3 percent personal rate, lifting the state's Tax Foundation business-climate ranking from fortieth toward the top twenty. </w:t>
      </w:r>
      <w:r w:rsidDel="00000000" w:rsidR="00000000" w:rsidRPr="00000000">
        <w:rPr>
          <w:b w:val="1"/>
          <w:bCs w:val="1"/>
          <w:sz w:val="22"/>
          <w:szCs w:val="22"/>
          <w:rtl w:val="0"/>
        </w:rPr>
        <w:t xml:space="preserve">Governor Jeff Landry vetoed a 2025 attempt to pause the data-center exemption </w:t>
      </w:r>
      <w:r w:rsidDel="00000000" w:rsidR="00000000" w:rsidRPr="00000000">
        <w:rPr>
          <w:sz w:val="22"/>
          <w:szCs w:val="22"/>
          <w:rtl w:val="0"/>
        </w:rPr>
        <w:t xml:space="preserve">— an unambiguous signal of the administration's intent.</w:t>
      </w:r>
      <w:r w:rsidDel="00000000" w:rsidR="00000000" w:rsidRPr="00000000">
        <w:rPr>
          <w:rtl w:val="0"/>
        </w:rPr>
      </w:r>
    </w:p>
    <w:p w:rsidR="00000000" w:rsidDel="00000000" w:rsidP="00000000" w:rsidRDefault="00000000" w:rsidRPr="00000000" w14:paraId="0000002E">
      <w:pPr>
        <w:spacing w:after="160" w:line="300" w:lineRule="auto"/>
        <w:jc w:val="both"/>
        <w:rPr/>
      </w:pPr>
      <w:r w:rsidDel="00000000" w:rsidR="00000000" w:rsidRPr="00000000">
        <w:rPr>
          <w:sz w:val="22"/>
          <w:szCs w:val="22"/>
          <w:rtl w:val="0"/>
        </w:rPr>
        <w:t xml:space="preserve">For projects below the Act 730 thresholds, the Industrial Tax Exemption Program (ITEP) and parish payment-in-lieu-of-taxes (PILOT) structures provide additional property-tax abatement, and they fit projects of every size. ITEP can abate a large share of local property tax on industrial improvements in exchange for investment and jobs, and a parish PILOT can structure a transparent, negotiated payment schedule in place of standard ad valorem taxation. Together they let a developer and a host parish strike a clear, public bargain: defined tax relief in return for defined capital investment and employment.</w:t>
      </w:r>
      <w:r w:rsidDel="00000000" w:rsidR="00000000" w:rsidRPr="00000000">
        <w:rPr>
          <w:rtl w:val="0"/>
        </w:rPr>
      </w:r>
    </w:p>
    <w:p w:rsidR="00000000" w:rsidDel="00000000" w:rsidP="00000000" w:rsidRDefault="00000000" w:rsidRPr="00000000" w14:paraId="0000002F">
      <w:pPr>
        <w:spacing w:after="160" w:line="300" w:lineRule="auto"/>
        <w:jc w:val="both"/>
        <w:rPr/>
      </w:pPr>
      <w:r w:rsidDel="00000000" w:rsidR="00000000" w:rsidRPr="00000000">
        <w:rPr>
          <w:sz w:val="22"/>
          <w:szCs w:val="22"/>
          <w:rtl w:val="0"/>
        </w:rPr>
        <w:t xml:space="preserve">Federal policy reinforces the state's posture. The One Big Beautiful Bill Act, signed in July 2025, permanently restored 100 percent bonus depreciation for qualifying property placed in service after January 19, 2025 — allowing immediate expensing of the electrical, mechanical, and cooling equipment that dominates data-center capital cost — and expanded Opportunity Zone incentives in ways that favor rural development. It also created an elective 100 percent deduction for qualified production property placed in service before 2031, layering an additional incentive onto equipment fabricated and installed in the United States. One caveat belongs in any honest assessment: the same law accelerated the termination of the solar investment tax credit, with a year-end-2027 deadline for certain projects, so any solar-coupled elements of a campus operate on a firm clock and must be sequenced accordingly.</w:t>
      </w:r>
      <w:r w:rsidDel="00000000" w:rsidR="00000000" w:rsidRPr="00000000">
        <w:rPr>
          <w:rtl w:val="0"/>
        </w:rPr>
      </w:r>
    </w:p>
    <w:p w:rsidR="00000000" w:rsidDel="00000000" w:rsidP="00000000" w:rsidRDefault="00000000" w:rsidRPr="00000000" w14:paraId="00000030">
      <w:pPr>
        <w:pStyle w:val="Heading1"/>
        <w:pBdr>
          <w:bottom w:color="3d5a80" w:space="4" w:sz="6" w:val="single"/>
        </w:pBdr>
        <w:spacing w:after="200" w:before="360" w:lineRule="auto"/>
        <w:rPr/>
      </w:pPr>
      <w:r w:rsidDel="00000000" w:rsidR="00000000" w:rsidRPr="00000000">
        <w:rPr>
          <w:color w:val="1b2a4a"/>
          <w:rtl w:val="0"/>
        </w:rPr>
        <w:t xml:space="preserve">Proof on the ground</w:t>
      </w:r>
      <w:r w:rsidDel="00000000" w:rsidR="00000000" w:rsidRPr="00000000">
        <w:rPr>
          <w:rtl w:val="0"/>
        </w:rPr>
      </w:r>
    </w:p>
    <w:p w:rsidR="00000000" w:rsidDel="00000000" w:rsidP="00000000" w:rsidRDefault="00000000" w:rsidRPr="00000000" w14:paraId="00000031">
      <w:pPr>
        <w:spacing w:after="160" w:line="300" w:lineRule="auto"/>
        <w:jc w:val="both"/>
        <w:rPr/>
      </w:pPr>
      <w:r w:rsidDel="00000000" w:rsidR="00000000" w:rsidRPr="00000000">
        <w:rPr>
          <w:sz w:val="22"/>
          <w:szCs w:val="22"/>
          <w:rtl w:val="0"/>
        </w:rPr>
        <w:t xml:space="preserve">The thesis is not speculative. Three of the largest AI-infrastructure commitments in the United States have chosen Louisiana within roughly eighteen months, each anchored on natural gas and the state's industrial base.</w:t>
      </w:r>
      <w:r w:rsidDel="00000000" w:rsidR="00000000" w:rsidRPr="00000000">
        <w:rPr>
          <w:rtl w:val="0"/>
        </w:rPr>
      </w:r>
    </w:p>
    <w:p w:rsidR="00000000" w:rsidDel="00000000" w:rsidP="00000000" w:rsidRDefault="00000000" w:rsidRPr="00000000" w14:paraId="00000032">
      <w:pPr>
        <w:pStyle w:val="Heading2"/>
        <w:spacing w:after="140" w:before="260" w:lineRule="auto"/>
        <w:rPr/>
      </w:pPr>
      <w:r w:rsidDel="00000000" w:rsidR="00000000" w:rsidRPr="00000000">
        <w:rPr>
          <w:color w:val="3d5a80"/>
          <w:rtl w:val="0"/>
        </w:rPr>
        <w:t xml:space="preserve">Meta — Hyperion</w:t>
      </w:r>
      <w:r w:rsidDel="00000000" w:rsidR="00000000" w:rsidRPr="00000000">
        <w:rPr>
          <w:rtl w:val="0"/>
        </w:rPr>
      </w:r>
    </w:p>
    <w:p w:rsidR="00000000" w:rsidDel="00000000" w:rsidP="00000000" w:rsidRDefault="00000000" w:rsidRPr="00000000" w14:paraId="00000033">
      <w:pPr>
        <w:spacing w:after="160" w:line="300" w:lineRule="auto"/>
        <w:jc w:val="both"/>
        <w:rPr/>
      </w:pPr>
      <w:r w:rsidDel="00000000" w:rsidR="00000000" w:rsidRPr="00000000">
        <w:rPr>
          <w:sz w:val="22"/>
          <w:szCs w:val="22"/>
          <w:rtl w:val="0"/>
        </w:rPr>
        <w:t xml:space="preserve">Meta is building what it describes as its largest data center anywhere — the Hyperion campus in northeast Louisiana, reported at roughly 27 billion dollars and more than four million square feet. To power it, Entergy Louisiana is constructing a fleet of natural-gas plants delivering more than seven gigawatts, together with about 240 miles of new 500-kilovolt transmission, structured so that Meta bears the full cost of service and, Entergy projects, delivers more than two billion dollars in savings to other customers over twenty years. The Public Service Commission approved the first tranche on an expedited basis — months rather than the customary years. Entergy explicitly chose to add dedicated generation rather than simply load the existing grid — a template for serving very large loads without degrading service to existing customers.</w:t>
      </w:r>
      <w:r w:rsidDel="00000000" w:rsidR="00000000" w:rsidRPr="00000000">
        <w:rPr>
          <w:rtl w:val="0"/>
        </w:rPr>
      </w:r>
    </w:p>
    <w:p w:rsidR="00000000" w:rsidDel="00000000" w:rsidP="00000000" w:rsidRDefault="00000000" w:rsidRPr="00000000" w14:paraId="00000034">
      <w:pPr>
        <w:pStyle w:val="Heading2"/>
        <w:spacing w:after="140" w:before="260" w:lineRule="auto"/>
        <w:rPr/>
      </w:pPr>
      <w:r w:rsidDel="00000000" w:rsidR="00000000" w:rsidRPr="00000000">
        <w:rPr>
          <w:color w:val="3d5a80"/>
          <w:rtl w:val="0"/>
        </w:rPr>
        <w:t xml:space="preserve">Amazon — northwest Louisiana</w:t>
      </w:r>
      <w:r w:rsidDel="00000000" w:rsidR="00000000" w:rsidRPr="00000000">
        <w:rPr>
          <w:rtl w:val="0"/>
        </w:rPr>
      </w:r>
    </w:p>
    <w:p w:rsidR="00000000" w:rsidDel="00000000" w:rsidP="00000000" w:rsidRDefault="00000000" w:rsidRPr="00000000" w14:paraId="00000035">
      <w:pPr>
        <w:spacing w:after="160" w:line="300" w:lineRule="auto"/>
        <w:jc w:val="both"/>
        <w:rPr/>
      </w:pPr>
      <w:r w:rsidDel="00000000" w:rsidR="00000000" w:rsidRPr="00000000">
        <w:rPr>
          <w:sz w:val="22"/>
          <w:szCs w:val="22"/>
          <w:rtl w:val="0"/>
        </w:rPr>
        <w:t xml:space="preserve">In early 2026, Amazon announced a twelve-billion-dollar data center in northwest Louisiana — in the heart of the Haynesville shale, locating compute directly on top of the gas that feeds it.</w:t>
      </w:r>
      <w:r w:rsidDel="00000000" w:rsidR="00000000" w:rsidRPr="00000000">
        <w:rPr>
          <w:rtl w:val="0"/>
        </w:rPr>
      </w:r>
    </w:p>
    <w:p w:rsidR="00000000" w:rsidDel="00000000" w:rsidP="00000000" w:rsidRDefault="00000000" w:rsidRPr="00000000" w14:paraId="00000036">
      <w:pPr>
        <w:pStyle w:val="Heading2"/>
        <w:spacing w:after="140" w:before="260" w:lineRule="auto"/>
        <w:rPr/>
      </w:pPr>
      <w:r w:rsidDel="00000000" w:rsidR="00000000" w:rsidRPr="00000000">
        <w:rPr>
          <w:color w:val="3d5a80"/>
          <w:rtl w:val="0"/>
        </w:rPr>
        <w:t xml:space="preserve">Hut 8 — River Bend</w:t>
      </w:r>
      <w:r w:rsidDel="00000000" w:rsidR="00000000" w:rsidRPr="00000000">
        <w:rPr>
          <w:rtl w:val="0"/>
        </w:rPr>
      </w:r>
    </w:p>
    <w:p w:rsidR="00000000" w:rsidDel="00000000" w:rsidP="00000000" w:rsidRDefault="00000000" w:rsidRPr="00000000" w14:paraId="00000037">
      <w:pPr>
        <w:spacing w:after="160" w:line="300" w:lineRule="auto"/>
        <w:jc w:val="both"/>
        <w:rPr/>
      </w:pPr>
      <w:r w:rsidDel="00000000" w:rsidR="00000000" w:rsidRPr="00000000">
        <w:rPr>
          <w:sz w:val="22"/>
          <w:szCs w:val="22"/>
          <w:rtl w:val="0"/>
        </w:rPr>
        <w:t xml:space="preserve">Hut 8's River Bend campus — 245 megawatts of IT capacity, scalable past a gigawatt — carries a fifteen-year, seven-billion-dollar lease with Fluidstack for capacity contracted to the AI lab Anthropic, backed by a Google payment guarantee. In April 2026 it was financed with a 3.25-billion-dollar, non-recourse, fully amortizing bond rated BBB- by both S&amp;P and Fitch. This is the clearest possible proof that a Louisiana AI campus with a contracted offtake can be financed in the institutional capital markets. The campus uses closed-loop cooling to minimize water use and is delivered by a blue-chip stack — Entergy, J.P. Morgan, Goldman Sachs, Vertiv, and Jacobs. Hut 8 describes its approach as “power-first”; that is the entire thesis in two words.</w:t>
      </w:r>
      <w:r w:rsidDel="00000000" w:rsidR="00000000" w:rsidRPr="00000000">
        <w:rPr>
          <w:rtl w:val="0"/>
        </w:rPr>
      </w:r>
    </w:p>
    <w:p w:rsidR="00000000" w:rsidDel="00000000" w:rsidP="00000000" w:rsidRDefault="00000000" w:rsidRPr="00000000" w14:paraId="00000038">
      <w:pPr>
        <w:spacing w:after="160" w:line="300" w:lineRule="auto"/>
        <w:jc w:val="both"/>
        <w:rPr/>
      </w:pPr>
      <w:r w:rsidDel="00000000" w:rsidR="00000000" w:rsidRPr="00000000">
        <w:rPr>
          <w:sz w:val="22"/>
          <w:szCs w:val="22"/>
          <w:rtl w:val="0"/>
        </w:rPr>
        <w:t xml:space="preserve">These are not isolated. Additional projects are advancing across the state, and Louisiana has used a parallel incentive playbook to attract heavy industry such as the Hyundai steel project, whose executives cited the incentive package as a decisive factor. The pattern, in under two years, is unmistakable: when a developer optimizes for firm power, water, and speed, the answer increasingly is Louisiana.</w:t>
      </w:r>
      <w:r w:rsidDel="00000000" w:rsidR="00000000" w:rsidRPr="00000000">
        <w:rPr>
          <w:rtl w:val="0"/>
        </w:rPr>
      </w:r>
    </w:p>
    <w:p w:rsidR="00000000" w:rsidDel="00000000" w:rsidP="00000000" w:rsidRDefault="00000000" w:rsidRPr="00000000" w14:paraId="00000039">
      <w:pPr>
        <w:pStyle w:val="Heading1"/>
        <w:pBdr>
          <w:bottom w:color="3d5a80" w:space="4" w:sz="6" w:val="single"/>
        </w:pBdr>
        <w:spacing w:after="200" w:before="360" w:lineRule="auto"/>
        <w:rPr/>
      </w:pPr>
      <w:r w:rsidDel="00000000" w:rsidR="00000000" w:rsidRPr="00000000">
        <w:rPr>
          <w:color w:val="1b2a4a"/>
          <w:rtl w:val="0"/>
        </w:rPr>
        <w:t xml:space="preserve">The winning architecture: behind-the-meter power + liquid cooling</w:t>
      </w:r>
      <w:r w:rsidDel="00000000" w:rsidR="00000000" w:rsidRPr="00000000">
        <w:rPr>
          <w:rtl w:val="0"/>
        </w:rPr>
      </w:r>
    </w:p>
    <w:p w:rsidR="00000000" w:rsidDel="00000000" w:rsidP="00000000" w:rsidRDefault="00000000" w:rsidRPr="00000000" w14:paraId="0000003A">
      <w:pPr>
        <w:spacing w:after="160" w:line="300" w:lineRule="auto"/>
        <w:jc w:val="both"/>
        <w:rPr/>
      </w:pPr>
      <w:r w:rsidDel="00000000" w:rsidR="00000000" w:rsidRPr="00000000">
        <w:rPr>
          <w:sz w:val="22"/>
          <w:szCs w:val="22"/>
          <w:rtl w:val="0"/>
        </w:rPr>
        <w:t xml:space="preserve">The projects succeeding fastest share one design choice: they generate their own power behind the meter and reject heat with liquid cooling. This is not only the fastest route to megawatts — it resolves the two problems that slow everyone else.</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It sidesteps the interconnection queue.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Grid connection is the binding national constraint; even ERCOT cannot keep pace. A behind-the-meter campus with on-site gas generation does not wait in line — it builds its own supply and energizes on its own schedule.</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It sidesteps the ratepayer politics.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principal public criticism of grid-tied hyperscale deals is that ordinary ratepayers may end up subsidizing the infrastructure of large technology companies. A campus that generates its own power adds no load to the public grid and socializes none of those costs. It is the politically durable model.</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It controls cost and resilience.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On-site generation fixes the cost of power independent of grid-price spikes and, because it can island, keeps the campus running through grid outages — a decisive advantage in a hurricane-exposed region.</w:t>
      </w:r>
    </w:p>
    <w:p w:rsidR="00000000" w:rsidDel="00000000" w:rsidP="00000000" w:rsidRDefault="00000000" w:rsidRPr="00000000" w14:paraId="0000003E">
      <w:pPr>
        <w:spacing w:after="160" w:line="300" w:lineRule="auto"/>
        <w:jc w:val="both"/>
        <w:rPr/>
      </w:pPr>
      <w:r w:rsidDel="00000000" w:rsidR="00000000" w:rsidRPr="00000000">
        <w:rPr>
          <w:sz w:val="22"/>
          <w:szCs w:val="22"/>
          <w:rtl w:val="0"/>
        </w:rPr>
        <w:t xml:space="preserve">The emerging technical standard reinforces the model. The industry is converging on single-ended 800-volt-DC distribution with grid-forming battery storage, in-row power and rack-local energy buffering, and silicon-carbide and gallium-nitride power conversion — a topology that pairs naturally with on-site DC-coupled generation and storage. A campus designed around this standard from the outset, in standardized and replicable blocks, can refresh its compute as GPU generations turn over without rebuilding the facility shell or the power backbone.</w:t>
      </w:r>
      <w:r w:rsidDel="00000000" w:rsidR="00000000" w:rsidRPr="00000000">
        <w:rPr>
          <w:rtl w:val="0"/>
        </w:rPr>
      </w:r>
    </w:p>
    <w:p w:rsidR="00000000" w:rsidDel="00000000" w:rsidP="00000000" w:rsidRDefault="00000000" w:rsidRPr="00000000" w14:paraId="0000003F">
      <w:pPr>
        <w:pStyle w:val="Heading1"/>
        <w:pBdr>
          <w:bottom w:color="3d5a80" w:space="4" w:sz="6" w:val="single"/>
        </w:pBdr>
        <w:spacing w:after="200" w:before="360" w:lineRule="auto"/>
        <w:rPr/>
      </w:pPr>
      <w:r w:rsidDel="00000000" w:rsidR="00000000" w:rsidRPr="00000000">
        <w:rPr>
          <w:color w:val="1b2a4a"/>
          <w:rtl w:val="0"/>
        </w:rPr>
        <w:t xml:space="preserve">Economic development and community impact</w:t>
      </w:r>
      <w:r w:rsidDel="00000000" w:rsidR="00000000" w:rsidRPr="00000000">
        <w:rPr>
          <w:rtl w:val="0"/>
        </w:rPr>
      </w:r>
    </w:p>
    <w:p w:rsidR="00000000" w:rsidDel="00000000" w:rsidP="00000000" w:rsidRDefault="00000000" w:rsidRPr="00000000" w14:paraId="00000040">
      <w:pPr>
        <w:spacing w:after="160" w:line="300" w:lineRule="auto"/>
        <w:jc w:val="both"/>
        <w:rPr/>
      </w:pPr>
      <w:r w:rsidDel="00000000" w:rsidR="00000000" w:rsidRPr="00000000">
        <w:rPr>
          <w:sz w:val="22"/>
          <w:szCs w:val="22"/>
          <w:rtl w:val="0"/>
        </w:rPr>
        <w:t xml:space="preserve">Data centers are often criticized on two grounds: that they are capital-intensive but create few permanent jobs, and that grid-tied projects can shift infrastructure costs onto ordinary ratepayers. A power-first, behind-the-meter model answers both critiques, which is what makes it not only the most capital-efficient approach but also the most politically and economically durable way to bring this investment to Louisiana communities.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Construction employment.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build phase is where heavy-industrial regions win. A gigawatt-class campus and its generation represent thousands of skilled construction jobs over several years, drawing directly on Louisiana's existing trades. Meta's Hyperion alone is projected to generate thousands of construction jobs between 2026 and 2031.</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Permanent jobs and tax base.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Operating data centers employ fewer people than factories of comparable cost, but they create a substantial long-term property- and sales-tax base, local procurement, and high-value operations and engineering roles. Structured through ITEP or a parish PILOT, the public exchange is transparent and accountable: a defined abatement in return for defined investment and employment.</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Protecting ratepayers.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behind-the-meter campus that generates its own power adds no load to the public grid and socializes none of those costs. Where a project does interconnect, the Louisiana model Entergy has demonstrated — adding dedicated generation and requiring the customer to bear its full cost of service — is the responsible template, and the one regulators have endorsed.</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Regional development.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projects land disproportionately in rural and post-industrial parishes, bringing capital, infrastructure, and opportunity to regions that have often been left behind, and anchoring a new high-technology industrial cluster alongside the state's established energy and petrochemical base.</w:t>
      </w:r>
    </w:p>
    <w:p w:rsidR="00000000" w:rsidDel="00000000" w:rsidP="00000000" w:rsidRDefault="00000000" w:rsidRPr="00000000" w14:paraId="00000045">
      <w:pPr>
        <w:pStyle w:val="Heading1"/>
        <w:pBdr>
          <w:bottom w:color="3d5a80" w:space="4" w:sz="6" w:val="single"/>
        </w:pBdr>
        <w:spacing w:after="200" w:before="360" w:lineRule="auto"/>
        <w:rPr/>
      </w:pPr>
      <w:r w:rsidDel="00000000" w:rsidR="00000000" w:rsidRPr="00000000">
        <w:rPr>
          <w:color w:val="1b2a4a"/>
          <w:rtl w:val="0"/>
        </w:rPr>
        <w:t xml:space="preserve">Texas vs. Louisiana at a glance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510"/>
        <w:gridCol w:w="3510"/>
        <w:tblGridChange w:id="0">
          <w:tblGrid>
            <w:gridCol w:w="2340"/>
            <w:gridCol w:w="3510"/>
            <w:gridCol w:w="3510"/>
          </w:tblGrid>
        </w:tblGridChange>
      </w:tblGrid>
      <w:tr>
        <w:trPr>
          <w:cantSplit w:val="0"/>
          <w:tblHeader w:val="0"/>
        </w:trPr>
        <w:tc>
          <w:tcPr>
            <w:tcBorders>
              <w:top w:color="b7c3d0" w:space="0" w:sz="4" w:val="single"/>
              <w:left w:color="b7c3d0" w:space="0" w:sz="4" w:val="single"/>
              <w:bottom w:color="b7c3d0" w:space="0" w:sz="4" w:val="single"/>
              <w:right w:color="b7c3d0" w:space="0" w:sz="4" w:val="single"/>
            </w:tcBorders>
            <w:shd w:fill="1b2a4a" w:val="clear"/>
            <w:tcMar>
              <w:top w:w="100.0" w:type="dxa"/>
              <w:left w:w="140.0" w:type="dxa"/>
              <w:bottom w:w="100.0" w:type="dxa"/>
              <w:right w:w="140.0" w:type="dxa"/>
            </w:tcMar>
          </w:tcPr>
          <w:p w:rsidR="00000000" w:rsidDel="00000000" w:rsidP="00000000" w:rsidRDefault="00000000" w:rsidRPr="00000000" w14:paraId="00000046">
            <w:pPr>
              <w:spacing w:after="0" w:line="260" w:lineRule="auto"/>
              <w:rPr/>
            </w:pPr>
            <w:r w:rsidDel="00000000" w:rsidR="00000000" w:rsidRPr="00000000">
              <w:rPr>
                <w:b w:val="1"/>
                <w:bCs w:val="1"/>
                <w:color w:val="ffffff"/>
                <w:sz w:val="20"/>
                <w:szCs w:val="20"/>
                <w:rtl w:val="0"/>
              </w:rPr>
              <w:t xml:space="preserve">Factor</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b2a4a" w:val="clear"/>
            <w:tcMar>
              <w:top w:w="100.0" w:type="dxa"/>
              <w:left w:w="140.0" w:type="dxa"/>
              <w:bottom w:w="100.0" w:type="dxa"/>
              <w:right w:w="140.0" w:type="dxa"/>
            </w:tcMar>
          </w:tcPr>
          <w:p w:rsidR="00000000" w:rsidDel="00000000" w:rsidP="00000000" w:rsidRDefault="00000000" w:rsidRPr="00000000" w14:paraId="00000047">
            <w:pPr>
              <w:spacing w:after="0" w:line="260" w:lineRule="auto"/>
              <w:rPr/>
            </w:pPr>
            <w:r w:rsidDel="00000000" w:rsidR="00000000" w:rsidRPr="00000000">
              <w:rPr>
                <w:b w:val="1"/>
                <w:bCs w:val="1"/>
                <w:color w:val="ffffff"/>
                <w:sz w:val="20"/>
                <w:szCs w:val="20"/>
                <w:rtl w:val="0"/>
              </w:rPr>
              <w:t xml:space="preserve">Texas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b2a4a" w:val="clear"/>
            <w:tcMar>
              <w:top w:w="100.0" w:type="dxa"/>
              <w:left w:w="140.0" w:type="dxa"/>
              <w:bottom w:w="100.0" w:type="dxa"/>
              <w:right w:w="140.0" w:type="dxa"/>
            </w:tcMar>
          </w:tcPr>
          <w:p w:rsidR="00000000" w:rsidDel="00000000" w:rsidP="00000000" w:rsidRDefault="00000000" w:rsidRPr="00000000" w14:paraId="00000048">
            <w:pPr>
              <w:spacing w:after="0" w:line="260" w:lineRule="auto"/>
              <w:rPr/>
            </w:pPr>
            <w:r w:rsidDel="00000000" w:rsidR="00000000" w:rsidRPr="00000000">
              <w:rPr>
                <w:b w:val="1"/>
                <w:bCs w:val="1"/>
                <w:color w:val="ffffff"/>
                <w:sz w:val="20"/>
                <w:szCs w:val="20"/>
                <w:rtl w:val="0"/>
              </w:rPr>
              <w:t xml:space="preserve">Louisiana</w:t>
            </w:r>
            <w:r w:rsidDel="00000000" w:rsidR="00000000" w:rsidRPr="00000000">
              <w:rPr>
                <w:rtl w:val="0"/>
              </w:rPr>
            </w:r>
          </w:p>
        </w:tc>
      </w:tr>
      <w:tr>
        <w:trPr>
          <w:cantSplit w:val="0"/>
          <w:tblHeader w:val="0"/>
        </w:trPr>
        <w:tc>
          <w:tcPr>
            <w:tcBorders>
              <w:top w:color="b7c3d0" w:space="0" w:sz="4" w:val="single"/>
              <w:left w:color="b7c3d0" w:space="0" w:sz="4" w:val="single"/>
              <w:bottom w:color="b7c3d0" w:space="0" w:sz="4" w:val="single"/>
              <w:right w:color="b7c3d0" w:space="0" w:sz="4" w:val="single"/>
            </w:tcBorders>
            <w:tcMar>
              <w:top w:w="100.0" w:type="dxa"/>
              <w:left w:w="140.0" w:type="dxa"/>
              <w:bottom w:w="100.0" w:type="dxa"/>
              <w:right w:w="140.0" w:type="dxa"/>
            </w:tcMar>
          </w:tcPr>
          <w:p w:rsidR="00000000" w:rsidDel="00000000" w:rsidP="00000000" w:rsidRDefault="00000000" w:rsidRPr="00000000" w14:paraId="00000049">
            <w:pPr>
              <w:spacing w:after="0" w:line="260" w:lineRule="auto"/>
              <w:rPr/>
            </w:pPr>
            <w:r w:rsidDel="00000000" w:rsidR="00000000" w:rsidRPr="00000000">
              <w:rPr>
                <w:b w:val="1"/>
                <w:bCs w:val="1"/>
                <w:color w:val="000000"/>
                <w:sz w:val="20"/>
                <w:szCs w:val="20"/>
                <w:rtl w:val="0"/>
              </w:rPr>
              <w:t xml:space="preserve">Power constraint</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100.0" w:type="dxa"/>
              <w:left w:w="140.0" w:type="dxa"/>
              <w:bottom w:w="100.0" w:type="dxa"/>
              <w:right w:w="140.0" w:type="dxa"/>
            </w:tcMar>
          </w:tcPr>
          <w:p w:rsidR="00000000" w:rsidDel="00000000" w:rsidP="00000000" w:rsidRDefault="00000000" w:rsidRPr="00000000" w14:paraId="0000004A">
            <w:pPr>
              <w:spacing w:after="0" w:line="260" w:lineRule="auto"/>
              <w:rPr/>
            </w:pPr>
            <w:r w:rsidDel="00000000" w:rsidR="00000000" w:rsidRPr="00000000">
              <w:rPr>
                <w:b w:val="0"/>
                <w:bCs w:val="0"/>
                <w:color w:val="000000"/>
                <w:sz w:val="20"/>
                <w:szCs w:val="20"/>
                <w:rtl w:val="0"/>
              </w:rPr>
              <w:t xml:space="preserve">Grid queue saturated (~205 GW of requests); “Batch Zero” screening; market overhaul under review</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100.0" w:type="dxa"/>
              <w:left w:w="140.0" w:type="dxa"/>
              <w:bottom w:w="100.0" w:type="dxa"/>
              <w:right w:w="140.0" w:type="dxa"/>
            </w:tcMar>
          </w:tcPr>
          <w:p w:rsidR="00000000" w:rsidDel="00000000" w:rsidP="00000000" w:rsidRDefault="00000000" w:rsidRPr="00000000" w14:paraId="0000004B">
            <w:pPr>
              <w:spacing w:after="0" w:line="260" w:lineRule="auto"/>
              <w:rPr/>
            </w:pPr>
            <w:r w:rsidDel="00000000" w:rsidR="00000000" w:rsidRPr="00000000">
              <w:rPr>
                <w:b w:val="0"/>
                <w:bCs w:val="0"/>
                <w:color w:val="000000"/>
                <w:sz w:val="20"/>
                <w:szCs w:val="20"/>
                <w:rtl w:val="0"/>
              </w:rPr>
              <w:t xml:space="preserve">Utility queue addressed via behind-the-meter generation; state actively fast-tracking large loads</w:t>
            </w:r>
            <w:r w:rsidDel="00000000" w:rsidR="00000000" w:rsidRPr="00000000">
              <w:rPr>
                <w:rtl w:val="0"/>
              </w:rPr>
            </w:r>
          </w:p>
        </w:tc>
      </w:tr>
      <w:tr>
        <w:trPr>
          <w:cantSplit w:val="0"/>
          <w:tblHeader w:val="0"/>
        </w:trPr>
        <w:tc>
          <w:tcPr>
            <w:tcBorders>
              <w:top w:color="b7c3d0" w:space="0" w:sz="4" w:val="single"/>
              <w:left w:color="b7c3d0" w:space="0" w:sz="4" w:val="single"/>
              <w:bottom w:color="b7c3d0" w:space="0" w:sz="4" w:val="single"/>
              <w:right w:color="b7c3d0" w:space="0" w:sz="4" w:val="single"/>
            </w:tcBorders>
            <w:tcMar>
              <w:top w:w="100.0" w:type="dxa"/>
              <w:left w:w="140.0" w:type="dxa"/>
              <w:bottom w:w="100.0" w:type="dxa"/>
              <w:right w:w="140.0" w:type="dxa"/>
            </w:tcMar>
          </w:tcPr>
          <w:p w:rsidR="00000000" w:rsidDel="00000000" w:rsidP="00000000" w:rsidRDefault="00000000" w:rsidRPr="00000000" w14:paraId="0000004C">
            <w:pPr>
              <w:spacing w:after="0" w:line="260" w:lineRule="auto"/>
              <w:rPr/>
            </w:pPr>
            <w:r w:rsidDel="00000000" w:rsidR="00000000" w:rsidRPr="00000000">
              <w:rPr>
                <w:b w:val="1"/>
                <w:bCs w:val="1"/>
                <w:color w:val="000000"/>
                <w:sz w:val="20"/>
                <w:szCs w:val="20"/>
                <w:rtl w:val="0"/>
              </w:rPr>
              <w:t xml:space="preserve">Industrial power cost</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100.0" w:type="dxa"/>
              <w:left w:w="140.0" w:type="dxa"/>
              <w:bottom w:w="100.0" w:type="dxa"/>
              <w:right w:w="140.0" w:type="dxa"/>
            </w:tcMar>
          </w:tcPr>
          <w:p w:rsidR="00000000" w:rsidDel="00000000" w:rsidP="00000000" w:rsidRDefault="00000000" w:rsidRPr="00000000" w14:paraId="0000004D">
            <w:pPr>
              <w:spacing w:after="0" w:line="260" w:lineRule="auto"/>
              <w:rPr/>
            </w:pPr>
            <w:r w:rsidDel="00000000" w:rsidR="00000000" w:rsidRPr="00000000">
              <w:rPr>
                <w:b w:val="0"/>
                <w:bCs w:val="0"/>
                <w:color w:val="000000"/>
                <w:sz w:val="20"/>
                <w:szCs w:val="20"/>
                <w:rtl w:val="0"/>
              </w:rPr>
              <w:t xml:space="preserve">Low but rising; ERCOT-North forward prices forecast ~+45%</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100.0" w:type="dxa"/>
              <w:left w:w="140.0" w:type="dxa"/>
              <w:bottom w:w="100.0" w:type="dxa"/>
              <w:right w:w="140.0" w:type="dxa"/>
            </w:tcMar>
          </w:tcPr>
          <w:p w:rsidR="00000000" w:rsidDel="00000000" w:rsidP="00000000" w:rsidRDefault="00000000" w:rsidRPr="00000000" w14:paraId="0000004E">
            <w:pPr>
              <w:spacing w:after="0" w:line="260" w:lineRule="auto"/>
              <w:rPr/>
            </w:pPr>
            <w:r w:rsidDel="00000000" w:rsidR="00000000" w:rsidRPr="00000000">
              <w:rPr>
                <w:b w:val="0"/>
                <w:bCs w:val="0"/>
                <w:color w:val="000000"/>
                <w:sz w:val="20"/>
                <w:szCs w:val="20"/>
                <w:rtl w:val="0"/>
              </w:rPr>
              <w:t xml:space="preserve">Lowest industrial rates in the U.S. (EIA); behind-the-meter gas fixes the cost</w:t>
            </w:r>
            <w:r w:rsidDel="00000000" w:rsidR="00000000" w:rsidRPr="00000000">
              <w:rPr>
                <w:rtl w:val="0"/>
              </w:rPr>
            </w:r>
          </w:p>
        </w:tc>
      </w:tr>
      <w:tr>
        <w:trPr>
          <w:cantSplit w:val="0"/>
          <w:tblHeader w:val="0"/>
        </w:trPr>
        <w:tc>
          <w:tcPr>
            <w:tcBorders>
              <w:top w:color="b7c3d0" w:space="0" w:sz="4" w:val="single"/>
              <w:left w:color="b7c3d0" w:space="0" w:sz="4" w:val="single"/>
              <w:bottom w:color="b7c3d0" w:space="0" w:sz="4" w:val="single"/>
              <w:right w:color="b7c3d0" w:space="0" w:sz="4" w:val="single"/>
            </w:tcBorders>
            <w:tcMar>
              <w:top w:w="100.0" w:type="dxa"/>
              <w:left w:w="140.0" w:type="dxa"/>
              <w:bottom w:w="100.0" w:type="dxa"/>
              <w:right w:w="140.0" w:type="dxa"/>
            </w:tcMar>
          </w:tcPr>
          <w:p w:rsidR="00000000" w:rsidDel="00000000" w:rsidP="00000000" w:rsidRDefault="00000000" w:rsidRPr="00000000" w14:paraId="0000004F">
            <w:pPr>
              <w:spacing w:after="0" w:line="260" w:lineRule="auto"/>
              <w:rPr/>
            </w:pPr>
            <w:r w:rsidDel="00000000" w:rsidR="00000000" w:rsidRPr="00000000">
              <w:rPr>
                <w:b w:val="1"/>
                <w:bCs w:val="1"/>
                <w:color w:val="000000"/>
                <w:sz w:val="20"/>
                <w:szCs w:val="20"/>
                <w:rtl w:val="0"/>
              </w:rPr>
              <w:t xml:space="preserve">Natural gas access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100.0" w:type="dxa"/>
              <w:left w:w="140.0" w:type="dxa"/>
              <w:bottom w:w="100.0" w:type="dxa"/>
              <w:right w:w="140.0" w:type="dxa"/>
            </w:tcMar>
          </w:tcPr>
          <w:p w:rsidR="00000000" w:rsidDel="00000000" w:rsidP="00000000" w:rsidRDefault="00000000" w:rsidRPr="00000000" w14:paraId="00000050">
            <w:pPr>
              <w:spacing w:after="0" w:line="260" w:lineRule="auto"/>
              <w:rPr/>
            </w:pPr>
            <w:r w:rsidDel="00000000" w:rsidR="00000000" w:rsidRPr="00000000">
              <w:rPr>
                <w:b w:val="0"/>
                <w:bCs w:val="0"/>
                <w:color w:val="000000"/>
                <w:sz w:val="20"/>
                <w:szCs w:val="20"/>
                <w:rtl w:val="0"/>
              </w:rPr>
              <w:t xml:space="preserve">Permian associated gas; Haynesville on the East-Texas side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100.0" w:type="dxa"/>
              <w:left w:w="140.0" w:type="dxa"/>
              <w:bottom w:w="100.0" w:type="dxa"/>
              <w:right w:w="140.0" w:type="dxa"/>
            </w:tcMar>
          </w:tcPr>
          <w:p w:rsidR="00000000" w:rsidDel="00000000" w:rsidP="00000000" w:rsidRDefault="00000000" w:rsidRPr="00000000" w14:paraId="00000051">
            <w:pPr>
              <w:spacing w:after="0" w:line="260" w:lineRule="auto"/>
              <w:rPr/>
            </w:pPr>
            <w:r w:rsidDel="00000000" w:rsidR="00000000" w:rsidRPr="00000000">
              <w:rPr>
                <w:b w:val="0"/>
                <w:bCs w:val="0"/>
                <w:color w:val="000000"/>
                <w:sz w:val="20"/>
                <w:szCs w:val="20"/>
                <w:rtl w:val="0"/>
              </w:rPr>
              <w:t xml:space="preserve">Henry Hub benchmark in-state; Haynesville; largest U.S. LNG export base</w:t>
            </w:r>
            <w:r w:rsidDel="00000000" w:rsidR="00000000" w:rsidRPr="00000000">
              <w:rPr>
                <w:rtl w:val="0"/>
              </w:rPr>
            </w:r>
          </w:p>
        </w:tc>
      </w:tr>
      <w:tr>
        <w:trPr>
          <w:cantSplit w:val="0"/>
          <w:tblHeader w:val="0"/>
        </w:trPr>
        <w:tc>
          <w:tcPr>
            <w:tcBorders>
              <w:top w:color="b7c3d0" w:space="0" w:sz="4" w:val="single"/>
              <w:left w:color="b7c3d0" w:space="0" w:sz="4" w:val="single"/>
              <w:bottom w:color="b7c3d0" w:space="0" w:sz="4" w:val="single"/>
              <w:right w:color="b7c3d0" w:space="0" w:sz="4" w:val="single"/>
            </w:tcBorders>
            <w:tcMar>
              <w:top w:w="100.0" w:type="dxa"/>
              <w:left w:w="140.0" w:type="dxa"/>
              <w:bottom w:w="100.0" w:type="dxa"/>
              <w:right w:w="140.0" w:type="dxa"/>
            </w:tcMar>
          </w:tcPr>
          <w:p w:rsidR="00000000" w:rsidDel="00000000" w:rsidP="00000000" w:rsidRDefault="00000000" w:rsidRPr="00000000" w14:paraId="00000052">
            <w:pPr>
              <w:spacing w:after="0" w:line="260" w:lineRule="auto"/>
              <w:rPr/>
            </w:pPr>
            <w:r w:rsidDel="00000000" w:rsidR="00000000" w:rsidRPr="00000000">
              <w:rPr>
                <w:b w:val="1"/>
                <w:bCs w:val="1"/>
                <w:color w:val="000000"/>
                <w:sz w:val="20"/>
                <w:szCs w:val="20"/>
                <w:rtl w:val="0"/>
              </w:rPr>
              <w:t xml:space="preserve">Water for cooling</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100.0" w:type="dxa"/>
              <w:left w:w="140.0" w:type="dxa"/>
              <w:bottom w:w="100.0" w:type="dxa"/>
              <w:right w:w="140.0" w:type="dxa"/>
            </w:tcMar>
          </w:tcPr>
          <w:p w:rsidR="00000000" w:rsidDel="00000000" w:rsidP="00000000" w:rsidRDefault="00000000" w:rsidRPr="00000000" w14:paraId="00000053">
            <w:pPr>
              <w:spacing w:after="0" w:line="260" w:lineRule="auto"/>
              <w:rPr/>
            </w:pPr>
            <w:r w:rsidDel="00000000" w:rsidR="00000000" w:rsidRPr="00000000">
              <w:rPr>
                <w:b w:val="0"/>
                <w:bCs w:val="0"/>
                <w:color w:val="000000"/>
                <w:sz w:val="20"/>
                <w:szCs w:val="20"/>
                <w:rtl w:val="0"/>
              </w:rPr>
              <w:t xml:space="preserve">Scarce in West Texas; rising community opposition</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100.0" w:type="dxa"/>
              <w:left w:w="140.0" w:type="dxa"/>
              <w:bottom w:w="100.0" w:type="dxa"/>
              <w:right w:w="140.0" w:type="dxa"/>
            </w:tcMar>
          </w:tcPr>
          <w:p w:rsidR="00000000" w:rsidDel="00000000" w:rsidP="00000000" w:rsidRDefault="00000000" w:rsidRPr="00000000" w14:paraId="00000054">
            <w:pPr>
              <w:spacing w:after="0" w:line="260" w:lineRule="auto"/>
              <w:rPr/>
            </w:pPr>
            <w:r w:rsidDel="00000000" w:rsidR="00000000" w:rsidRPr="00000000">
              <w:rPr>
                <w:b w:val="0"/>
                <w:bCs w:val="0"/>
                <w:color w:val="000000"/>
                <w:sz w:val="20"/>
                <w:szCs w:val="20"/>
                <w:rtl w:val="0"/>
              </w:rPr>
              <w:t xml:space="preserve">Abundant — major rivers, ~60 in./yr rainfall, large aquifers</w:t>
            </w:r>
            <w:r w:rsidDel="00000000" w:rsidR="00000000" w:rsidRPr="00000000">
              <w:rPr>
                <w:rtl w:val="0"/>
              </w:rPr>
            </w:r>
          </w:p>
        </w:tc>
      </w:tr>
      <w:tr>
        <w:trPr>
          <w:cantSplit w:val="0"/>
          <w:tblHeader w:val="0"/>
        </w:trPr>
        <w:tc>
          <w:tcPr>
            <w:tcBorders>
              <w:top w:color="b7c3d0" w:space="0" w:sz="4" w:val="single"/>
              <w:left w:color="b7c3d0" w:space="0" w:sz="4" w:val="single"/>
              <w:bottom w:color="b7c3d0" w:space="0" w:sz="4" w:val="single"/>
              <w:right w:color="b7c3d0" w:space="0" w:sz="4" w:val="single"/>
            </w:tcBorders>
            <w:tcMar>
              <w:top w:w="100.0" w:type="dxa"/>
              <w:left w:w="140.0" w:type="dxa"/>
              <w:bottom w:w="100.0" w:type="dxa"/>
              <w:right w:w="140.0" w:type="dxa"/>
            </w:tcMar>
          </w:tcPr>
          <w:p w:rsidR="00000000" w:rsidDel="00000000" w:rsidP="00000000" w:rsidRDefault="00000000" w:rsidRPr="00000000" w14:paraId="00000055">
            <w:pPr>
              <w:spacing w:after="0" w:line="260" w:lineRule="auto"/>
              <w:rPr/>
            </w:pPr>
            <w:r w:rsidDel="00000000" w:rsidR="00000000" w:rsidRPr="00000000">
              <w:rPr>
                <w:b w:val="1"/>
                <w:bCs w:val="1"/>
                <w:color w:val="000000"/>
                <w:sz w:val="20"/>
                <w:szCs w:val="20"/>
                <w:rtl w:val="0"/>
              </w:rPr>
              <w:t xml:space="preserve">Land</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100.0" w:type="dxa"/>
              <w:left w:w="140.0" w:type="dxa"/>
              <w:bottom w:w="100.0" w:type="dxa"/>
              <w:right w:w="140.0" w:type="dxa"/>
            </w:tcMar>
          </w:tcPr>
          <w:p w:rsidR="00000000" w:rsidDel="00000000" w:rsidP="00000000" w:rsidRDefault="00000000" w:rsidRPr="00000000" w14:paraId="00000056">
            <w:pPr>
              <w:spacing w:after="0" w:line="260" w:lineRule="auto"/>
              <w:rPr/>
            </w:pPr>
            <w:r w:rsidDel="00000000" w:rsidR="00000000" w:rsidRPr="00000000">
              <w:rPr>
                <w:b w:val="0"/>
                <w:bCs w:val="0"/>
                <w:color w:val="000000"/>
                <w:sz w:val="20"/>
                <w:szCs w:val="20"/>
                <w:rtl w:val="0"/>
              </w:rPr>
              <w:t xml:space="preserve">Cheap and abundant</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100.0" w:type="dxa"/>
              <w:left w:w="140.0" w:type="dxa"/>
              <w:bottom w:w="100.0" w:type="dxa"/>
              <w:right w:w="140.0" w:type="dxa"/>
            </w:tcMar>
          </w:tcPr>
          <w:p w:rsidR="00000000" w:rsidDel="00000000" w:rsidP="00000000" w:rsidRDefault="00000000" w:rsidRPr="00000000" w14:paraId="00000057">
            <w:pPr>
              <w:spacing w:after="0" w:line="260" w:lineRule="auto"/>
              <w:rPr/>
            </w:pPr>
            <w:r w:rsidDel="00000000" w:rsidR="00000000" w:rsidRPr="00000000">
              <w:rPr>
                <w:b w:val="0"/>
                <w:bCs w:val="0"/>
                <w:color w:val="000000"/>
                <w:sz w:val="20"/>
                <w:szCs w:val="20"/>
                <w:rtl w:val="0"/>
              </w:rPr>
              <w:t xml:space="preserve">Comparable, plus industrial brownfields with existing infrastructure</w:t>
            </w:r>
            <w:r w:rsidDel="00000000" w:rsidR="00000000" w:rsidRPr="00000000">
              <w:rPr>
                <w:rtl w:val="0"/>
              </w:rPr>
            </w:r>
          </w:p>
        </w:tc>
      </w:tr>
      <w:tr>
        <w:trPr>
          <w:cantSplit w:val="0"/>
          <w:tblHeader w:val="0"/>
        </w:trPr>
        <w:tc>
          <w:tcPr>
            <w:tcBorders>
              <w:top w:color="b7c3d0" w:space="0" w:sz="4" w:val="single"/>
              <w:left w:color="b7c3d0" w:space="0" w:sz="4" w:val="single"/>
              <w:bottom w:color="b7c3d0" w:space="0" w:sz="4" w:val="single"/>
              <w:right w:color="b7c3d0" w:space="0" w:sz="4" w:val="single"/>
            </w:tcBorders>
            <w:tcMar>
              <w:top w:w="100.0" w:type="dxa"/>
              <w:left w:w="140.0" w:type="dxa"/>
              <w:bottom w:w="100.0" w:type="dxa"/>
              <w:right w:w="140.0" w:type="dxa"/>
            </w:tcMar>
          </w:tcPr>
          <w:p w:rsidR="00000000" w:rsidDel="00000000" w:rsidP="00000000" w:rsidRDefault="00000000" w:rsidRPr="00000000" w14:paraId="00000058">
            <w:pPr>
              <w:spacing w:after="0" w:line="260" w:lineRule="auto"/>
              <w:rPr/>
            </w:pPr>
            <w:r w:rsidDel="00000000" w:rsidR="00000000" w:rsidRPr="00000000">
              <w:rPr>
                <w:b w:val="1"/>
                <w:bCs w:val="1"/>
                <w:color w:val="000000"/>
                <w:sz w:val="20"/>
                <w:szCs w:val="20"/>
                <w:rtl w:val="0"/>
              </w:rPr>
              <w:t xml:space="preserve">Workforce / supply chain</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100.0" w:type="dxa"/>
              <w:left w:w="140.0" w:type="dxa"/>
              <w:bottom w:w="100.0" w:type="dxa"/>
              <w:right w:w="140.0" w:type="dxa"/>
            </w:tcMar>
          </w:tcPr>
          <w:p w:rsidR="00000000" w:rsidDel="00000000" w:rsidP="00000000" w:rsidRDefault="00000000" w:rsidRPr="00000000" w14:paraId="00000059">
            <w:pPr>
              <w:spacing w:after="0" w:line="260" w:lineRule="auto"/>
              <w:rPr/>
            </w:pPr>
            <w:r w:rsidDel="00000000" w:rsidR="00000000" w:rsidRPr="00000000">
              <w:rPr>
                <w:b w:val="0"/>
                <w:bCs w:val="0"/>
                <w:color w:val="000000"/>
                <w:sz w:val="20"/>
                <w:szCs w:val="20"/>
                <w:rtl w:val="0"/>
              </w:rPr>
              <w:t xml:space="preserve">Strong, but stretched across competing demand</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100.0" w:type="dxa"/>
              <w:left w:w="140.0" w:type="dxa"/>
              <w:bottom w:w="100.0" w:type="dxa"/>
              <w:right w:w="140.0" w:type="dxa"/>
            </w:tcMar>
          </w:tcPr>
          <w:p w:rsidR="00000000" w:rsidDel="00000000" w:rsidP="00000000" w:rsidRDefault="00000000" w:rsidRPr="00000000" w14:paraId="0000005A">
            <w:pPr>
              <w:spacing w:after="0" w:line="260" w:lineRule="auto"/>
              <w:rPr/>
            </w:pPr>
            <w:r w:rsidDel="00000000" w:rsidR="00000000" w:rsidRPr="00000000">
              <w:rPr>
                <w:b w:val="0"/>
                <w:bCs w:val="0"/>
                <w:color w:val="000000"/>
                <w:sz w:val="20"/>
                <w:szCs w:val="20"/>
                <w:rtl w:val="0"/>
              </w:rPr>
              <w:t xml:space="preserve">Deep oil/gas/LNG/petrochemical trades; #1–2 tech-talent pipeline (LED)</w:t>
            </w:r>
            <w:r w:rsidDel="00000000" w:rsidR="00000000" w:rsidRPr="00000000">
              <w:rPr>
                <w:rtl w:val="0"/>
              </w:rPr>
            </w:r>
          </w:p>
        </w:tc>
      </w:tr>
      <w:tr>
        <w:trPr>
          <w:cantSplit w:val="0"/>
          <w:tblHeader w:val="0"/>
        </w:trPr>
        <w:tc>
          <w:tcPr>
            <w:tcBorders>
              <w:top w:color="b7c3d0" w:space="0" w:sz="4" w:val="single"/>
              <w:left w:color="b7c3d0" w:space="0" w:sz="4" w:val="single"/>
              <w:bottom w:color="b7c3d0" w:space="0" w:sz="4" w:val="single"/>
              <w:right w:color="b7c3d0" w:space="0" w:sz="4" w:val="single"/>
            </w:tcBorders>
            <w:tcMar>
              <w:top w:w="100.0" w:type="dxa"/>
              <w:left w:w="140.0" w:type="dxa"/>
              <w:bottom w:w="100.0" w:type="dxa"/>
              <w:right w:w="140.0" w:type="dxa"/>
            </w:tcMar>
          </w:tcPr>
          <w:p w:rsidR="00000000" w:rsidDel="00000000" w:rsidP="00000000" w:rsidRDefault="00000000" w:rsidRPr="00000000" w14:paraId="0000005B">
            <w:pPr>
              <w:spacing w:after="0" w:line="260" w:lineRule="auto"/>
              <w:rPr/>
            </w:pPr>
            <w:r w:rsidDel="00000000" w:rsidR="00000000" w:rsidRPr="00000000">
              <w:rPr>
                <w:b w:val="1"/>
                <w:bCs w:val="1"/>
                <w:color w:val="000000"/>
                <w:sz w:val="20"/>
                <w:szCs w:val="20"/>
                <w:rtl w:val="0"/>
              </w:rPr>
              <w:t xml:space="preserve">Incentives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100.0" w:type="dxa"/>
              <w:left w:w="140.0" w:type="dxa"/>
              <w:bottom w:w="100.0" w:type="dxa"/>
              <w:right w:w="140.0" w:type="dxa"/>
            </w:tcMar>
          </w:tcPr>
          <w:p w:rsidR="00000000" w:rsidDel="00000000" w:rsidP="00000000" w:rsidRDefault="00000000" w:rsidRPr="00000000" w14:paraId="0000005C">
            <w:pPr>
              <w:spacing w:after="0" w:line="260" w:lineRule="auto"/>
              <w:rPr/>
            </w:pPr>
            <w:r w:rsidDel="00000000" w:rsidR="00000000" w:rsidRPr="00000000">
              <w:rPr>
                <w:b w:val="0"/>
                <w:bCs w:val="0"/>
                <w:color w:val="000000"/>
                <w:sz w:val="20"/>
                <w:szCs w:val="20"/>
                <w:rtl w:val="0"/>
              </w:rPr>
              <w:t xml:space="preserve">Competitive state incentives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100.0" w:type="dxa"/>
              <w:left w:w="140.0" w:type="dxa"/>
              <w:bottom w:w="100.0" w:type="dxa"/>
              <w:right w:w="140.0" w:type="dxa"/>
            </w:tcMar>
          </w:tcPr>
          <w:p w:rsidR="00000000" w:rsidDel="00000000" w:rsidP="00000000" w:rsidRDefault="00000000" w:rsidRPr="00000000" w14:paraId="0000005D">
            <w:pPr>
              <w:spacing w:after="0" w:line="260" w:lineRule="auto"/>
              <w:rPr/>
            </w:pPr>
            <w:r w:rsidDel="00000000" w:rsidR="00000000" w:rsidRPr="00000000">
              <w:rPr>
                <w:b w:val="0"/>
                <w:bCs w:val="0"/>
                <w:color w:val="000000"/>
                <w:sz w:val="20"/>
                <w:szCs w:val="20"/>
                <w:rtl w:val="0"/>
              </w:rPr>
              <w:t xml:space="preserve">Act 730 (20+10-yr sales/use exemption); 5.5% corp. tax; ITEP / PILOT</w:t>
            </w:r>
            <w:r w:rsidDel="00000000" w:rsidR="00000000" w:rsidRPr="00000000">
              <w:rPr>
                <w:rtl w:val="0"/>
              </w:rPr>
            </w:r>
          </w:p>
        </w:tc>
      </w:tr>
      <w:tr>
        <w:trPr>
          <w:cantSplit w:val="0"/>
          <w:tblHeader w:val="0"/>
        </w:trPr>
        <w:tc>
          <w:tcPr>
            <w:tcBorders>
              <w:top w:color="b7c3d0" w:space="0" w:sz="4" w:val="single"/>
              <w:left w:color="b7c3d0" w:space="0" w:sz="4" w:val="single"/>
              <w:bottom w:color="b7c3d0" w:space="0" w:sz="4" w:val="single"/>
              <w:right w:color="b7c3d0" w:space="0" w:sz="4" w:val="single"/>
            </w:tcBorders>
            <w:tcMar>
              <w:top w:w="100.0" w:type="dxa"/>
              <w:left w:w="140.0" w:type="dxa"/>
              <w:bottom w:w="100.0" w:type="dxa"/>
              <w:right w:w="140.0" w:type="dxa"/>
            </w:tcMar>
          </w:tcPr>
          <w:p w:rsidR="00000000" w:rsidDel="00000000" w:rsidP="00000000" w:rsidRDefault="00000000" w:rsidRPr="00000000" w14:paraId="0000005E">
            <w:pPr>
              <w:spacing w:after="0" w:line="260" w:lineRule="auto"/>
              <w:rPr/>
            </w:pPr>
            <w:r w:rsidDel="00000000" w:rsidR="00000000" w:rsidRPr="00000000">
              <w:rPr>
                <w:b w:val="1"/>
                <w:bCs w:val="1"/>
                <w:color w:val="000000"/>
                <w:sz w:val="20"/>
                <w:szCs w:val="20"/>
                <w:rtl w:val="0"/>
              </w:rPr>
              <w:t xml:space="preserve">Climate resilience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100.0" w:type="dxa"/>
              <w:left w:w="140.0" w:type="dxa"/>
              <w:bottom w:w="100.0" w:type="dxa"/>
              <w:right w:w="140.0" w:type="dxa"/>
            </w:tcMar>
          </w:tcPr>
          <w:p w:rsidR="00000000" w:rsidDel="00000000" w:rsidP="00000000" w:rsidRDefault="00000000" w:rsidRPr="00000000" w14:paraId="0000005F">
            <w:pPr>
              <w:spacing w:after="0" w:line="260" w:lineRule="auto"/>
              <w:rPr/>
            </w:pPr>
            <w:r w:rsidDel="00000000" w:rsidR="00000000" w:rsidRPr="00000000">
              <w:rPr>
                <w:b w:val="0"/>
                <w:bCs w:val="0"/>
                <w:color w:val="000000"/>
                <w:sz w:val="20"/>
                <w:szCs w:val="20"/>
                <w:rtl w:val="0"/>
              </w:rPr>
              <w:t xml:space="preserve">Tornado and heat exposure; grid-dependent</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100.0" w:type="dxa"/>
              <w:left w:w="140.0" w:type="dxa"/>
              <w:bottom w:w="100.0" w:type="dxa"/>
              <w:right w:w="140.0" w:type="dxa"/>
            </w:tcMar>
          </w:tcPr>
          <w:p w:rsidR="00000000" w:rsidDel="00000000" w:rsidP="00000000" w:rsidRDefault="00000000" w:rsidRPr="00000000" w14:paraId="00000060">
            <w:pPr>
              <w:spacing w:after="0" w:line="260" w:lineRule="auto"/>
              <w:rPr/>
            </w:pPr>
            <w:r w:rsidDel="00000000" w:rsidR="00000000" w:rsidRPr="00000000">
              <w:rPr>
                <w:b w:val="0"/>
                <w:bCs w:val="0"/>
                <w:color w:val="000000"/>
                <w:sz w:val="20"/>
                <w:szCs w:val="20"/>
                <w:rtl w:val="0"/>
              </w:rPr>
              <w:t xml:space="preserve">Hurricane-exposed — but behind-the-meter islanding turns this into an advantage</w:t>
            </w:r>
            <w:r w:rsidDel="00000000" w:rsidR="00000000" w:rsidRPr="00000000">
              <w:rPr>
                <w:rtl w:val="0"/>
              </w:rPr>
            </w:r>
          </w:p>
        </w:tc>
      </w:tr>
    </w:tbl>
    <w:p w:rsidR="00000000" w:rsidDel="00000000" w:rsidP="00000000" w:rsidRDefault="00000000" w:rsidRPr="00000000" w14:paraId="00000061">
      <w:pPr>
        <w:spacing w:after="240" w:before="80" w:lineRule="auto"/>
        <w:rPr/>
      </w:pPr>
      <w:r w:rsidDel="00000000" w:rsidR="00000000" w:rsidRPr="00000000">
        <w:rPr>
          <w:i w:val="1"/>
          <w:iCs w:val="1"/>
          <w:color w:val="595959"/>
          <w:sz w:val="18"/>
          <w:szCs w:val="18"/>
          <w:rtl w:val="0"/>
        </w:rPr>
        <w:t xml:space="preserve">Sources: ERCOT; U.S. EIA; Louisiana Economic Development; industry reporting, 2025–2026.</w:t>
      </w:r>
      <w:r w:rsidDel="00000000" w:rsidR="00000000" w:rsidRPr="00000000">
        <w:rPr>
          <w:rtl w:val="0"/>
        </w:rPr>
      </w:r>
    </w:p>
    <w:p w:rsidR="00000000" w:rsidDel="00000000" w:rsidP="00000000" w:rsidRDefault="00000000" w:rsidRPr="00000000" w14:paraId="00000062">
      <w:pPr>
        <w:pStyle w:val="Heading1"/>
        <w:pBdr>
          <w:bottom w:color="3d5a80" w:space="4" w:sz="6" w:val="single"/>
        </w:pBdr>
        <w:spacing w:after="200" w:before="360" w:lineRule="auto"/>
        <w:rPr/>
      </w:pPr>
      <w:r w:rsidDel="00000000" w:rsidR="00000000" w:rsidRPr="00000000">
        <w:rPr>
          <w:color w:val="1b2a4a"/>
          <w:rtl w:val="0"/>
        </w:rPr>
        <w:t xml:space="preserve">Comparable transactions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100"/>
        <w:gridCol w:w="2360"/>
        <w:gridCol w:w="2700"/>
        <w:tblGridChange w:id="0">
          <w:tblGrid>
            <w:gridCol w:w="2200"/>
            <w:gridCol w:w="2100"/>
            <w:gridCol w:w="2360"/>
            <w:gridCol w:w="2700"/>
          </w:tblGrid>
        </w:tblGridChange>
      </w:tblGrid>
      <w:tr>
        <w:trPr>
          <w:cantSplit w:val="0"/>
          <w:tblHeader w:val="0"/>
        </w:trPr>
        <w:tc>
          <w:tcPr>
            <w:tcBorders>
              <w:top w:color="b7c3d0" w:space="0" w:sz="4" w:val="single"/>
              <w:left w:color="b7c3d0" w:space="0" w:sz="4" w:val="single"/>
              <w:bottom w:color="b7c3d0" w:space="0" w:sz="4" w:val="single"/>
              <w:right w:color="b7c3d0" w:space="0" w:sz="4" w:val="single"/>
            </w:tcBorders>
            <w:shd w:fill="1b2a4a" w:val="clear"/>
            <w:tcMar>
              <w:top w:w="100.0" w:type="dxa"/>
              <w:left w:w="140.0" w:type="dxa"/>
              <w:bottom w:w="100.0" w:type="dxa"/>
              <w:right w:w="140.0" w:type="dxa"/>
            </w:tcMar>
          </w:tcPr>
          <w:p w:rsidR="00000000" w:rsidDel="00000000" w:rsidP="00000000" w:rsidRDefault="00000000" w:rsidRPr="00000000" w14:paraId="00000063">
            <w:pPr>
              <w:spacing w:after="0" w:line="260" w:lineRule="auto"/>
              <w:rPr/>
            </w:pPr>
            <w:r w:rsidDel="00000000" w:rsidR="00000000" w:rsidRPr="00000000">
              <w:rPr>
                <w:b w:val="1"/>
                <w:bCs w:val="1"/>
                <w:color w:val="ffffff"/>
                <w:sz w:val="20"/>
                <w:szCs w:val="20"/>
                <w:rtl w:val="0"/>
              </w:rPr>
              <w:t xml:space="preserve">Project</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b2a4a" w:val="clear"/>
            <w:tcMar>
              <w:top w:w="100.0" w:type="dxa"/>
              <w:left w:w="140.0" w:type="dxa"/>
              <w:bottom w:w="100.0" w:type="dxa"/>
              <w:right w:w="140.0" w:type="dxa"/>
            </w:tcMar>
          </w:tcPr>
          <w:p w:rsidR="00000000" w:rsidDel="00000000" w:rsidP="00000000" w:rsidRDefault="00000000" w:rsidRPr="00000000" w14:paraId="00000064">
            <w:pPr>
              <w:spacing w:after="0" w:line="260" w:lineRule="auto"/>
              <w:rPr/>
            </w:pPr>
            <w:r w:rsidDel="00000000" w:rsidR="00000000" w:rsidRPr="00000000">
              <w:rPr>
                <w:b w:val="1"/>
                <w:bCs w:val="1"/>
                <w:color w:val="ffffff"/>
                <w:sz w:val="20"/>
                <w:szCs w:val="20"/>
                <w:rtl w:val="0"/>
              </w:rPr>
              <w:t xml:space="preserve">Location</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b2a4a" w:val="clear"/>
            <w:tcMar>
              <w:top w:w="100.0" w:type="dxa"/>
              <w:left w:w="140.0" w:type="dxa"/>
              <w:bottom w:w="100.0" w:type="dxa"/>
              <w:right w:w="140.0" w:type="dxa"/>
            </w:tcMar>
          </w:tcPr>
          <w:p w:rsidR="00000000" w:rsidDel="00000000" w:rsidP="00000000" w:rsidRDefault="00000000" w:rsidRPr="00000000" w14:paraId="00000065">
            <w:pPr>
              <w:spacing w:after="0" w:line="260" w:lineRule="auto"/>
              <w:rPr/>
            </w:pPr>
            <w:r w:rsidDel="00000000" w:rsidR="00000000" w:rsidRPr="00000000">
              <w:rPr>
                <w:b w:val="1"/>
                <w:bCs w:val="1"/>
                <w:color w:val="ffffff"/>
                <w:sz w:val="20"/>
                <w:szCs w:val="20"/>
                <w:rtl w:val="0"/>
              </w:rPr>
              <w:t xml:space="preserve">Scale &amp; power</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b2a4a" w:val="clear"/>
            <w:tcMar>
              <w:top w:w="100.0" w:type="dxa"/>
              <w:left w:w="140.0" w:type="dxa"/>
              <w:bottom w:w="100.0" w:type="dxa"/>
              <w:right w:w="140.0" w:type="dxa"/>
            </w:tcMar>
          </w:tcPr>
          <w:p w:rsidR="00000000" w:rsidDel="00000000" w:rsidP="00000000" w:rsidRDefault="00000000" w:rsidRPr="00000000" w14:paraId="00000066">
            <w:pPr>
              <w:spacing w:after="0" w:line="260" w:lineRule="auto"/>
              <w:rPr/>
            </w:pPr>
            <w:r w:rsidDel="00000000" w:rsidR="00000000" w:rsidRPr="00000000">
              <w:rPr>
                <w:b w:val="1"/>
                <w:bCs w:val="1"/>
                <w:color w:val="ffffff"/>
                <w:sz w:val="20"/>
                <w:szCs w:val="20"/>
                <w:rtl w:val="0"/>
              </w:rPr>
              <w:t xml:space="preserve">Capital structure / notes</w:t>
            </w:r>
            <w:r w:rsidDel="00000000" w:rsidR="00000000" w:rsidRPr="00000000">
              <w:rPr>
                <w:rtl w:val="0"/>
              </w:rPr>
            </w:r>
          </w:p>
        </w:tc>
      </w:tr>
      <w:tr>
        <w:trPr>
          <w:cantSplit w:val="0"/>
          <w:tblHeader w:val="0"/>
        </w:trPr>
        <w:tc>
          <w:tcPr>
            <w:tcBorders>
              <w:top w:color="b7c3d0" w:space="0" w:sz="4" w:val="single"/>
              <w:left w:color="b7c3d0" w:space="0" w:sz="4" w:val="single"/>
              <w:bottom w:color="b7c3d0" w:space="0" w:sz="4" w:val="single"/>
              <w:right w:color="b7c3d0" w:space="0" w:sz="4" w:val="single"/>
            </w:tcBorders>
            <w:tcMar>
              <w:top w:w="100.0" w:type="dxa"/>
              <w:left w:w="140.0" w:type="dxa"/>
              <w:bottom w:w="100.0" w:type="dxa"/>
              <w:right w:w="140.0" w:type="dxa"/>
            </w:tcMar>
          </w:tcPr>
          <w:p w:rsidR="00000000" w:rsidDel="00000000" w:rsidP="00000000" w:rsidRDefault="00000000" w:rsidRPr="00000000" w14:paraId="00000067">
            <w:pPr>
              <w:spacing w:after="0" w:line="260" w:lineRule="auto"/>
              <w:rPr/>
            </w:pPr>
            <w:r w:rsidDel="00000000" w:rsidR="00000000" w:rsidRPr="00000000">
              <w:rPr>
                <w:b w:val="1"/>
                <w:bCs w:val="1"/>
                <w:color w:val="000000"/>
                <w:sz w:val="20"/>
                <w:szCs w:val="20"/>
                <w:rtl w:val="0"/>
              </w:rPr>
              <w:t xml:space="preserve">Meta — Hyperion</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100.0" w:type="dxa"/>
              <w:left w:w="140.0" w:type="dxa"/>
              <w:bottom w:w="100.0" w:type="dxa"/>
              <w:right w:w="140.0" w:type="dxa"/>
            </w:tcMar>
          </w:tcPr>
          <w:p w:rsidR="00000000" w:rsidDel="00000000" w:rsidP="00000000" w:rsidRDefault="00000000" w:rsidRPr="00000000" w14:paraId="00000068">
            <w:pPr>
              <w:spacing w:after="0" w:line="260" w:lineRule="auto"/>
              <w:rPr/>
            </w:pPr>
            <w:r w:rsidDel="00000000" w:rsidR="00000000" w:rsidRPr="00000000">
              <w:rPr>
                <w:b w:val="0"/>
                <w:bCs w:val="0"/>
                <w:color w:val="000000"/>
                <w:sz w:val="20"/>
                <w:szCs w:val="20"/>
                <w:rtl w:val="0"/>
              </w:rPr>
              <w:t xml:space="preserve">Louisiana</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100.0" w:type="dxa"/>
              <w:left w:w="140.0" w:type="dxa"/>
              <w:bottom w:w="100.0" w:type="dxa"/>
              <w:right w:w="140.0" w:type="dxa"/>
            </w:tcMar>
          </w:tcPr>
          <w:p w:rsidR="00000000" w:rsidDel="00000000" w:rsidP="00000000" w:rsidRDefault="00000000" w:rsidRPr="00000000" w14:paraId="00000069">
            <w:pPr>
              <w:spacing w:after="0" w:line="260" w:lineRule="auto"/>
              <w:rPr/>
            </w:pPr>
            <w:r w:rsidDel="00000000" w:rsidR="00000000" w:rsidRPr="00000000">
              <w:rPr>
                <w:b w:val="0"/>
                <w:bCs w:val="0"/>
                <w:color w:val="000000"/>
                <w:sz w:val="20"/>
                <w:szCs w:val="20"/>
                <w:rtl w:val="0"/>
              </w:rPr>
              <w:t xml:space="preserve">&gt;7 GW gas (Entergy); &gt;4M sq ft</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100.0" w:type="dxa"/>
              <w:left w:w="140.0" w:type="dxa"/>
              <w:bottom w:w="100.0" w:type="dxa"/>
              <w:right w:w="140.0" w:type="dxa"/>
            </w:tcMar>
          </w:tcPr>
          <w:p w:rsidR="00000000" w:rsidDel="00000000" w:rsidP="00000000" w:rsidRDefault="00000000" w:rsidRPr="00000000" w14:paraId="0000006A">
            <w:pPr>
              <w:spacing w:after="0" w:line="260" w:lineRule="auto"/>
              <w:rPr/>
            </w:pPr>
            <w:r w:rsidDel="00000000" w:rsidR="00000000" w:rsidRPr="00000000">
              <w:rPr>
                <w:b w:val="0"/>
                <w:bCs w:val="0"/>
                <w:color w:val="000000"/>
                <w:sz w:val="20"/>
                <w:szCs w:val="20"/>
                <w:rtl w:val="0"/>
              </w:rPr>
              <w:t xml:space="preserve">~$27B; expedited PSC approval; Meta bears full cost of service</w:t>
            </w:r>
            <w:r w:rsidDel="00000000" w:rsidR="00000000" w:rsidRPr="00000000">
              <w:rPr>
                <w:rtl w:val="0"/>
              </w:rPr>
            </w:r>
          </w:p>
        </w:tc>
      </w:tr>
      <w:tr>
        <w:trPr>
          <w:cantSplit w:val="0"/>
          <w:tblHeader w:val="0"/>
        </w:trPr>
        <w:tc>
          <w:tcPr>
            <w:tcBorders>
              <w:top w:color="b7c3d0" w:space="0" w:sz="4" w:val="single"/>
              <w:left w:color="b7c3d0" w:space="0" w:sz="4" w:val="single"/>
              <w:bottom w:color="b7c3d0" w:space="0" w:sz="4" w:val="single"/>
              <w:right w:color="b7c3d0" w:space="0" w:sz="4" w:val="single"/>
            </w:tcBorders>
            <w:tcMar>
              <w:top w:w="100.0" w:type="dxa"/>
              <w:left w:w="140.0" w:type="dxa"/>
              <w:bottom w:w="100.0" w:type="dxa"/>
              <w:right w:w="140.0" w:type="dxa"/>
            </w:tcMar>
          </w:tcPr>
          <w:p w:rsidR="00000000" w:rsidDel="00000000" w:rsidP="00000000" w:rsidRDefault="00000000" w:rsidRPr="00000000" w14:paraId="0000006B">
            <w:pPr>
              <w:spacing w:after="0" w:line="260" w:lineRule="auto"/>
              <w:rPr/>
            </w:pPr>
            <w:r w:rsidDel="00000000" w:rsidR="00000000" w:rsidRPr="00000000">
              <w:rPr>
                <w:b w:val="1"/>
                <w:bCs w:val="1"/>
                <w:color w:val="000000"/>
                <w:sz w:val="20"/>
                <w:szCs w:val="20"/>
                <w:rtl w:val="0"/>
              </w:rPr>
              <w:t xml:space="preserve">Amazon</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100.0" w:type="dxa"/>
              <w:left w:w="140.0" w:type="dxa"/>
              <w:bottom w:w="100.0" w:type="dxa"/>
              <w:right w:w="140.0" w:type="dxa"/>
            </w:tcMar>
          </w:tcPr>
          <w:p w:rsidR="00000000" w:rsidDel="00000000" w:rsidP="00000000" w:rsidRDefault="00000000" w:rsidRPr="00000000" w14:paraId="0000006C">
            <w:pPr>
              <w:spacing w:after="0" w:line="260" w:lineRule="auto"/>
              <w:rPr/>
            </w:pPr>
            <w:r w:rsidDel="00000000" w:rsidR="00000000" w:rsidRPr="00000000">
              <w:rPr>
                <w:b w:val="0"/>
                <w:bCs w:val="0"/>
                <w:color w:val="000000"/>
                <w:sz w:val="20"/>
                <w:szCs w:val="20"/>
                <w:rtl w:val="0"/>
              </w:rPr>
              <w:t xml:space="preserve">Louisiana</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100.0" w:type="dxa"/>
              <w:left w:w="140.0" w:type="dxa"/>
              <w:bottom w:w="100.0" w:type="dxa"/>
              <w:right w:w="140.0" w:type="dxa"/>
            </w:tcMar>
          </w:tcPr>
          <w:p w:rsidR="00000000" w:rsidDel="00000000" w:rsidP="00000000" w:rsidRDefault="00000000" w:rsidRPr="00000000" w14:paraId="0000006D">
            <w:pPr>
              <w:spacing w:after="0" w:line="260" w:lineRule="auto"/>
              <w:rPr/>
            </w:pPr>
            <w:r w:rsidDel="00000000" w:rsidR="00000000" w:rsidRPr="00000000">
              <w:rPr>
                <w:b w:val="0"/>
                <w:bCs w:val="0"/>
                <w:color w:val="000000"/>
                <w:sz w:val="20"/>
                <w:szCs w:val="20"/>
                <w:rtl w:val="0"/>
              </w:rPr>
              <w:t xml:space="preserve">Haynesville-adjacent</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100.0" w:type="dxa"/>
              <w:left w:w="140.0" w:type="dxa"/>
              <w:bottom w:w="100.0" w:type="dxa"/>
              <w:right w:w="140.0" w:type="dxa"/>
            </w:tcMar>
          </w:tcPr>
          <w:p w:rsidR="00000000" w:rsidDel="00000000" w:rsidP="00000000" w:rsidRDefault="00000000" w:rsidRPr="00000000" w14:paraId="0000006E">
            <w:pPr>
              <w:spacing w:after="0" w:line="260" w:lineRule="auto"/>
              <w:rPr/>
            </w:pPr>
            <w:r w:rsidDel="00000000" w:rsidR="00000000" w:rsidRPr="00000000">
              <w:rPr>
                <w:b w:val="0"/>
                <w:bCs w:val="0"/>
                <w:color w:val="000000"/>
                <w:sz w:val="20"/>
                <w:szCs w:val="20"/>
                <w:rtl w:val="0"/>
              </w:rPr>
              <w:t xml:space="preserve">$12B commitment (2026); compute sited atop the gas supply</w:t>
            </w:r>
            <w:r w:rsidDel="00000000" w:rsidR="00000000" w:rsidRPr="00000000">
              <w:rPr>
                <w:rtl w:val="0"/>
              </w:rPr>
            </w:r>
          </w:p>
        </w:tc>
      </w:tr>
      <w:tr>
        <w:trPr>
          <w:cantSplit w:val="0"/>
          <w:tblHeader w:val="0"/>
        </w:trPr>
        <w:tc>
          <w:tcPr>
            <w:tcBorders>
              <w:top w:color="b7c3d0" w:space="0" w:sz="4" w:val="single"/>
              <w:left w:color="b7c3d0" w:space="0" w:sz="4" w:val="single"/>
              <w:bottom w:color="b7c3d0" w:space="0" w:sz="4" w:val="single"/>
              <w:right w:color="b7c3d0" w:space="0" w:sz="4" w:val="single"/>
            </w:tcBorders>
            <w:tcMar>
              <w:top w:w="100.0" w:type="dxa"/>
              <w:left w:w="140.0" w:type="dxa"/>
              <w:bottom w:w="100.0" w:type="dxa"/>
              <w:right w:w="140.0" w:type="dxa"/>
            </w:tcMar>
          </w:tcPr>
          <w:p w:rsidR="00000000" w:rsidDel="00000000" w:rsidP="00000000" w:rsidRDefault="00000000" w:rsidRPr="00000000" w14:paraId="0000006F">
            <w:pPr>
              <w:spacing w:after="0" w:line="260" w:lineRule="auto"/>
              <w:rPr/>
            </w:pPr>
            <w:r w:rsidDel="00000000" w:rsidR="00000000" w:rsidRPr="00000000">
              <w:rPr>
                <w:b w:val="1"/>
                <w:bCs w:val="1"/>
                <w:color w:val="000000"/>
                <w:sz w:val="20"/>
                <w:szCs w:val="20"/>
                <w:rtl w:val="0"/>
              </w:rPr>
              <w:t xml:space="preserve">Hut 8 — River Bend</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100.0" w:type="dxa"/>
              <w:left w:w="140.0" w:type="dxa"/>
              <w:bottom w:w="100.0" w:type="dxa"/>
              <w:right w:w="140.0" w:type="dxa"/>
            </w:tcMar>
          </w:tcPr>
          <w:p w:rsidR="00000000" w:rsidDel="00000000" w:rsidP="00000000" w:rsidRDefault="00000000" w:rsidRPr="00000000" w14:paraId="00000070">
            <w:pPr>
              <w:spacing w:after="0" w:line="260" w:lineRule="auto"/>
              <w:rPr/>
            </w:pPr>
            <w:r w:rsidDel="00000000" w:rsidR="00000000" w:rsidRPr="00000000">
              <w:rPr>
                <w:b w:val="0"/>
                <w:bCs w:val="0"/>
                <w:color w:val="000000"/>
                <w:sz w:val="20"/>
                <w:szCs w:val="20"/>
                <w:rtl w:val="0"/>
              </w:rPr>
              <w:t xml:space="preserve">Louisiana</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100.0" w:type="dxa"/>
              <w:left w:w="140.0" w:type="dxa"/>
              <w:bottom w:w="100.0" w:type="dxa"/>
              <w:right w:w="140.0" w:type="dxa"/>
            </w:tcMar>
          </w:tcPr>
          <w:p w:rsidR="00000000" w:rsidDel="00000000" w:rsidP="00000000" w:rsidRDefault="00000000" w:rsidRPr="00000000" w14:paraId="00000071">
            <w:pPr>
              <w:spacing w:after="0" w:line="260" w:lineRule="auto"/>
              <w:rPr/>
            </w:pPr>
            <w:r w:rsidDel="00000000" w:rsidR="00000000" w:rsidRPr="00000000">
              <w:rPr>
                <w:rFonts w:ascii="Arial Unicode MS" w:cs="Arial Unicode MS" w:eastAsia="Arial Unicode MS" w:hAnsi="Arial Unicode MS"/>
                <w:b w:val="0"/>
                <w:bCs w:val="0"/>
                <w:color w:val="000000"/>
                <w:sz w:val="20"/>
                <w:szCs w:val="20"/>
                <w:rtl w:val="0"/>
              </w:rPr>
              <w:t xml:space="preserve">245 MW → 1 GW+</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100.0" w:type="dxa"/>
              <w:left w:w="140.0" w:type="dxa"/>
              <w:bottom w:w="100.0" w:type="dxa"/>
              <w:right w:w="140.0" w:type="dxa"/>
            </w:tcMar>
          </w:tcPr>
          <w:p w:rsidR="00000000" w:rsidDel="00000000" w:rsidP="00000000" w:rsidRDefault="00000000" w:rsidRPr="00000000" w14:paraId="00000072">
            <w:pPr>
              <w:spacing w:after="0" w:line="260" w:lineRule="auto"/>
              <w:rPr/>
            </w:pPr>
            <w:r w:rsidDel="00000000" w:rsidR="00000000" w:rsidRPr="00000000">
              <w:rPr>
                <w:b w:val="0"/>
                <w:bCs w:val="0"/>
                <w:color w:val="000000"/>
                <w:sz w:val="20"/>
                <w:szCs w:val="20"/>
                <w:rtl w:val="0"/>
              </w:rPr>
              <w:t xml:space="preserve">$7B Fluidstack/Anthropic lease; $3.25B IG bond (BBB-); Google backstop; closed-loop cooling</w:t>
            </w:r>
            <w:r w:rsidDel="00000000" w:rsidR="00000000" w:rsidRPr="00000000">
              <w:rPr>
                <w:rtl w:val="0"/>
              </w:rPr>
            </w:r>
          </w:p>
        </w:tc>
      </w:tr>
      <w:tr>
        <w:trPr>
          <w:cantSplit w:val="0"/>
          <w:tblHeader w:val="0"/>
        </w:trPr>
        <w:tc>
          <w:tcPr>
            <w:tcBorders>
              <w:top w:color="b7c3d0" w:space="0" w:sz="4" w:val="single"/>
              <w:left w:color="b7c3d0" w:space="0" w:sz="4" w:val="single"/>
              <w:bottom w:color="b7c3d0" w:space="0" w:sz="4" w:val="single"/>
              <w:right w:color="b7c3d0" w:space="0" w:sz="4" w:val="single"/>
            </w:tcBorders>
            <w:tcMar>
              <w:top w:w="100.0" w:type="dxa"/>
              <w:left w:w="140.0" w:type="dxa"/>
              <w:bottom w:w="100.0" w:type="dxa"/>
              <w:right w:w="140.0" w:type="dxa"/>
            </w:tcMar>
          </w:tcPr>
          <w:p w:rsidR="00000000" w:rsidDel="00000000" w:rsidP="00000000" w:rsidRDefault="00000000" w:rsidRPr="00000000" w14:paraId="00000073">
            <w:pPr>
              <w:spacing w:after="0" w:line="260" w:lineRule="auto"/>
              <w:rPr/>
            </w:pPr>
            <w:r w:rsidDel="00000000" w:rsidR="00000000" w:rsidRPr="00000000">
              <w:rPr>
                <w:b w:val="1"/>
                <w:bCs w:val="1"/>
                <w:color w:val="000000"/>
                <w:sz w:val="20"/>
                <w:szCs w:val="20"/>
                <w:rtl w:val="0"/>
              </w:rPr>
              <w:t xml:space="preserve">Stargate (OpenAI)</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100.0" w:type="dxa"/>
              <w:left w:w="140.0" w:type="dxa"/>
              <w:bottom w:w="100.0" w:type="dxa"/>
              <w:right w:w="140.0" w:type="dxa"/>
            </w:tcMar>
          </w:tcPr>
          <w:p w:rsidR="00000000" w:rsidDel="00000000" w:rsidP="00000000" w:rsidRDefault="00000000" w:rsidRPr="00000000" w14:paraId="00000074">
            <w:pPr>
              <w:spacing w:after="0" w:line="260" w:lineRule="auto"/>
              <w:rPr/>
            </w:pPr>
            <w:r w:rsidDel="00000000" w:rsidR="00000000" w:rsidRPr="00000000">
              <w:rPr>
                <w:b w:val="0"/>
                <w:bCs w:val="0"/>
                <w:color w:val="000000"/>
                <w:sz w:val="20"/>
                <w:szCs w:val="20"/>
                <w:rtl w:val="0"/>
              </w:rPr>
              <w:t xml:space="preserve">Texas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100.0" w:type="dxa"/>
              <w:left w:w="140.0" w:type="dxa"/>
              <w:bottom w:w="100.0" w:type="dxa"/>
              <w:right w:w="140.0" w:type="dxa"/>
            </w:tcMar>
          </w:tcPr>
          <w:p w:rsidR="00000000" w:rsidDel="00000000" w:rsidP="00000000" w:rsidRDefault="00000000" w:rsidRPr="00000000" w14:paraId="00000075">
            <w:pPr>
              <w:spacing w:after="0" w:line="260" w:lineRule="auto"/>
              <w:rPr/>
            </w:pPr>
            <w:r w:rsidDel="00000000" w:rsidR="00000000" w:rsidRPr="00000000">
              <w:rPr>
                <w:rFonts w:ascii="Arial Unicode MS" w:cs="Arial Unicode MS" w:eastAsia="Arial Unicode MS" w:hAnsi="Arial Unicode MS"/>
                <w:b w:val="0"/>
                <w:bCs w:val="0"/>
                <w:color w:val="000000"/>
                <w:sz w:val="20"/>
                <w:szCs w:val="20"/>
                <w:rtl w:val="0"/>
              </w:rPr>
              <w:t xml:space="preserve">Off-grid gas → 7 GW</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100.0" w:type="dxa"/>
              <w:left w:w="140.0" w:type="dxa"/>
              <w:bottom w:w="100.0" w:type="dxa"/>
              <w:right w:w="140.0" w:type="dxa"/>
            </w:tcMar>
          </w:tcPr>
          <w:p w:rsidR="00000000" w:rsidDel="00000000" w:rsidP="00000000" w:rsidRDefault="00000000" w:rsidRPr="00000000" w14:paraId="00000076">
            <w:pPr>
              <w:spacing w:after="0" w:line="260" w:lineRule="auto"/>
              <w:rPr/>
            </w:pPr>
            <w:r w:rsidDel="00000000" w:rsidR="00000000" w:rsidRPr="00000000">
              <w:rPr>
                <w:b w:val="0"/>
                <w:bCs w:val="0"/>
                <w:color w:val="000000"/>
                <w:sz w:val="20"/>
                <w:szCs w:val="20"/>
                <w:rtl w:val="0"/>
              </w:rPr>
              <w:t xml:space="preserve">OpenAI / SoftBank / Oracle / MGX; behind-the-meter</w:t>
            </w:r>
            <w:r w:rsidDel="00000000" w:rsidR="00000000" w:rsidRPr="00000000">
              <w:rPr>
                <w:rtl w:val="0"/>
              </w:rPr>
            </w:r>
          </w:p>
        </w:tc>
      </w:tr>
      <w:tr>
        <w:trPr>
          <w:cantSplit w:val="0"/>
          <w:tblHeader w:val="0"/>
        </w:trPr>
        <w:tc>
          <w:tcPr>
            <w:tcBorders>
              <w:top w:color="b7c3d0" w:space="0" w:sz="4" w:val="single"/>
              <w:left w:color="b7c3d0" w:space="0" w:sz="4" w:val="single"/>
              <w:bottom w:color="b7c3d0" w:space="0" w:sz="4" w:val="single"/>
              <w:right w:color="b7c3d0" w:space="0" w:sz="4" w:val="single"/>
            </w:tcBorders>
            <w:tcMar>
              <w:top w:w="100.0" w:type="dxa"/>
              <w:left w:w="140.0" w:type="dxa"/>
              <w:bottom w:w="100.0" w:type="dxa"/>
              <w:right w:w="140.0" w:type="dxa"/>
            </w:tcMar>
          </w:tcPr>
          <w:p w:rsidR="00000000" w:rsidDel="00000000" w:rsidP="00000000" w:rsidRDefault="00000000" w:rsidRPr="00000000" w14:paraId="00000077">
            <w:pPr>
              <w:spacing w:after="0" w:line="260" w:lineRule="auto"/>
              <w:rPr/>
            </w:pPr>
            <w:r w:rsidDel="00000000" w:rsidR="00000000" w:rsidRPr="00000000">
              <w:rPr>
                <w:b w:val="1"/>
                <w:bCs w:val="1"/>
                <w:color w:val="000000"/>
                <w:sz w:val="20"/>
                <w:szCs w:val="20"/>
                <w:rtl w:val="0"/>
              </w:rPr>
              <w:t xml:space="preserve">Chevron</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100.0" w:type="dxa"/>
              <w:left w:w="140.0" w:type="dxa"/>
              <w:bottom w:w="100.0" w:type="dxa"/>
              <w:right w:w="140.0" w:type="dxa"/>
            </w:tcMar>
          </w:tcPr>
          <w:p w:rsidR="00000000" w:rsidDel="00000000" w:rsidP="00000000" w:rsidRDefault="00000000" w:rsidRPr="00000000" w14:paraId="00000078">
            <w:pPr>
              <w:spacing w:after="0" w:line="260" w:lineRule="auto"/>
              <w:rPr/>
            </w:pPr>
            <w:r w:rsidDel="00000000" w:rsidR="00000000" w:rsidRPr="00000000">
              <w:rPr>
                <w:b w:val="0"/>
                <w:bCs w:val="0"/>
                <w:color w:val="000000"/>
                <w:sz w:val="20"/>
                <w:szCs w:val="20"/>
                <w:rtl w:val="0"/>
              </w:rPr>
              <w:t xml:space="preserve">Texas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100.0" w:type="dxa"/>
              <w:left w:w="140.0" w:type="dxa"/>
              <w:bottom w:w="100.0" w:type="dxa"/>
              <w:right w:w="140.0" w:type="dxa"/>
            </w:tcMar>
          </w:tcPr>
          <w:p w:rsidR="00000000" w:rsidDel="00000000" w:rsidP="00000000" w:rsidRDefault="00000000" w:rsidRPr="00000000" w14:paraId="00000079">
            <w:pPr>
              <w:spacing w:after="0" w:line="260" w:lineRule="auto"/>
              <w:rPr/>
            </w:pPr>
            <w:r w:rsidDel="00000000" w:rsidR="00000000" w:rsidRPr="00000000">
              <w:rPr>
                <w:b w:val="0"/>
                <w:bCs w:val="0"/>
                <w:color w:val="000000"/>
                <w:sz w:val="20"/>
                <w:szCs w:val="20"/>
                <w:rtl w:val="0"/>
              </w:rPr>
              <w:t xml:space="preserve">5 GW behind-the-meter</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100.0" w:type="dxa"/>
              <w:left w:w="140.0" w:type="dxa"/>
              <w:bottom w:w="100.0" w:type="dxa"/>
              <w:right w:w="140.0" w:type="dxa"/>
            </w:tcMar>
          </w:tcPr>
          <w:p w:rsidR="00000000" w:rsidDel="00000000" w:rsidP="00000000" w:rsidRDefault="00000000" w:rsidRPr="00000000" w14:paraId="0000007A">
            <w:pPr>
              <w:spacing w:after="0" w:line="260" w:lineRule="auto"/>
              <w:rPr/>
            </w:pPr>
            <w:r w:rsidDel="00000000" w:rsidR="00000000" w:rsidRPr="00000000">
              <w:rPr>
                <w:b w:val="0"/>
                <w:bCs w:val="0"/>
                <w:color w:val="000000"/>
                <w:sz w:val="20"/>
                <w:szCs w:val="20"/>
                <w:rtl w:val="0"/>
              </w:rPr>
              <w:t xml:space="preserve">Chevron's first dedicated power plant</w:t>
            </w:r>
            <w:r w:rsidDel="00000000" w:rsidR="00000000" w:rsidRPr="00000000">
              <w:rPr>
                <w:rtl w:val="0"/>
              </w:rPr>
            </w:r>
          </w:p>
        </w:tc>
      </w:tr>
      <w:tr>
        <w:trPr>
          <w:cantSplit w:val="0"/>
          <w:tblHeader w:val="0"/>
        </w:trPr>
        <w:tc>
          <w:tcPr>
            <w:tcBorders>
              <w:top w:color="b7c3d0" w:space="0" w:sz="4" w:val="single"/>
              <w:left w:color="b7c3d0" w:space="0" w:sz="4" w:val="single"/>
              <w:bottom w:color="b7c3d0" w:space="0" w:sz="4" w:val="single"/>
              <w:right w:color="b7c3d0" w:space="0" w:sz="4" w:val="single"/>
            </w:tcBorders>
            <w:tcMar>
              <w:top w:w="100.0" w:type="dxa"/>
              <w:left w:w="140.0" w:type="dxa"/>
              <w:bottom w:w="100.0" w:type="dxa"/>
              <w:right w:w="140.0" w:type="dxa"/>
            </w:tcMar>
          </w:tcPr>
          <w:p w:rsidR="00000000" w:rsidDel="00000000" w:rsidP="00000000" w:rsidRDefault="00000000" w:rsidRPr="00000000" w14:paraId="0000007B">
            <w:pPr>
              <w:spacing w:after="0" w:line="260" w:lineRule="auto"/>
              <w:rPr/>
            </w:pPr>
            <w:r w:rsidDel="00000000" w:rsidR="00000000" w:rsidRPr="00000000">
              <w:rPr>
                <w:b w:val="1"/>
                <w:bCs w:val="1"/>
                <w:color w:val="000000"/>
                <w:sz w:val="20"/>
                <w:szCs w:val="20"/>
                <w:rtl w:val="0"/>
              </w:rPr>
              <w:t xml:space="preserve">Scott Tomsu (this portfolio)</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100.0" w:type="dxa"/>
              <w:left w:w="140.0" w:type="dxa"/>
              <w:bottom w:w="100.0" w:type="dxa"/>
              <w:right w:w="140.0" w:type="dxa"/>
            </w:tcMar>
          </w:tcPr>
          <w:p w:rsidR="00000000" w:rsidDel="00000000" w:rsidP="00000000" w:rsidRDefault="00000000" w:rsidRPr="00000000" w14:paraId="0000007C">
            <w:pPr>
              <w:spacing w:after="0" w:line="260" w:lineRule="auto"/>
              <w:rPr/>
            </w:pPr>
            <w:r w:rsidDel="00000000" w:rsidR="00000000" w:rsidRPr="00000000">
              <w:rPr>
                <w:b w:val="0"/>
                <w:bCs w:val="0"/>
                <w:color w:val="000000"/>
                <w:sz w:val="20"/>
                <w:szCs w:val="20"/>
                <w:rtl w:val="0"/>
              </w:rPr>
              <w:t xml:space="preserve">Louisiana</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100.0" w:type="dxa"/>
              <w:left w:w="140.0" w:type="dxa"/>
              <w:bottom w:w="100.0" w:type="dxa"/>
              <w:right w:w="140.0" w:type="dxa"/>
            </w:tcMar>
          </w:tcPr>
          <w:p w:rsidR="00000000" w:rsidDel="00000000" w:rsidP="00000000" w:rsidRDefault="00000000" w:rsidRPr="00000000" w14:paraId="0000007D">
            <w:pPr>
              <w:spacing w:after="0" w:line="260" w:lineRule="auto"/>
              <w:rPr/>
            </w:pPr>
            <w:r w:rsidDel="00000000" w:rsidR="00000000" w:rsidRPr="00000000">
              <w:rPr>
                <w:rFonts w:ascii="Arial Unicode MS" w:cs="Arial Unicode MS" w:eastAsia="Arial Unicode MS" w:hAnsi="Arial Unicode MS"/>
                <w:b w:val="0"/>
                <w:bCs w:val="0"/>
                <w:color w:val="000000"/>
                <w:sz w:val="20"/>
                <w:szCs w:val="20"/>
                <w:rtl w:val="0"/>
              </w:rPr>
              <w:t xml:space="preserve">10 MW → 100 MW → gigawatt-class; behind-the-meter</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100.0" w:type="dxa"/>
              <w:left w:w="140.0" w:type="dxa"/>
              <w:bottom w:w="100.0" w:type="dxa"/>
              <w:right w:w="140.0" w:type="dxa"/>
            </w:tcMar>
          </w:tcPr>
          <w:p w:rsidR="00000000" w:rsidDel="00000000" w:rsidP="00000000" w:rsidRDefault="00000000" w:rsidRPr="00000000" w14:paraId="0000007E">
            <w:pPr>
              <w:spacing w:after="0" w:line="260" w:lineRule="auto"/>
              <w:rPr/>
            </w:pPr>
            <w:r w:rsidDel="00000000" w:rsidR="00000000" w:rsidRPr="00000000">
              <w:rPr>
                <w:b w:val="0"/>
                <w:bCs w:val="0"/>
                <w:color w:val="000000"/>
                <w:sz w:val="20"/>
                <w:szCs w:val="20"/>
                <w:rtl w:val="0"/>
              </w:rPr>
              <w:t xml:space="preserve">Phased, power-first; microgrid LCOE ~$108.70/MWh, 17.8% IRR (base pro forma)</w:t>
            </w:r>
            <w:r w:rsidDel="00000000" w:rsidR="00000000" w:rsidRPr="00000000">
              <w:rPr>
                <w:rtl w:val="0"/>
              </w:rPr>
            </w:r>
          </w:p>
        </w:tc>
      </w:tr>
    </w:tbl>
    <w:p w:rsidR="00000000" w:rsidDel="00000000" w:rsidP="00000000" w:rsidRDefault="00000000" w:rsidRPr="00000000" w14:paraId="0000007F">
      <w:pPr>
        <w:spacing w:after="240" w:before="80" w:lineRule="auto"/>
        <w:rPr/>
      </w:pPr>
      <w:r w:rsidDel="00000000" w:rsidR="00000000" w:rsidRPr="00000000">
        <w:rPr>
          <w:i w:val="1"/>
          <w:iCs w:val="1"/>
          <w:color w:val="595959"/>
          <w:sz w:val="18"/>
          <w:szCs w:val="18"/>
          <w:rtl w:val="0"/>
        </w:rPr>
        <w:t xml:space="preserve">Illustrative comparables; figures from public filings and reporting, 2025–2026. Not a representation of returns.</w:t>
      </w:r>
      <w:r w:rsidDel="00000000" w:rsidR="00000000" w:rsidRPr="00000000">
        <w:rPr>
          <w:rtl w:val="0"/>
        </w:rPr>
      </w:r>
    </w:p>
    <w:p w:rsidR="00000000" w:rsidDel="00000000" w:rsidP="00000000" w:rsidRDefault="00000000" w:rsidRPr="00000000" w14:paraId="00000080">
      <w:pPr>
        <w:pStyle w:val="Heading1"/>
        <w:pBdr>
          <w:bottom w:color="3d5a80" w:space="4" w:sz="6" w:val="single"/>
        </w:pBdr>
        <w:spacing w:after="200" w:before="360" w:lineRule="auto"/>
        <w:rPr/>
      </w:pPr>
      <w:r w:rsidDel="00000000" w:rsidR="00000000" w:rsidRPr="00000000">
        <w:rPr>
          <w:color w:val="1b2a4a"/>
          <w:rtl w:val="0"/>
        </w:rPr>
        <w:t xml:space="preserve">Risk and mitigation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b7c3d0" w:space="0" w:sz="4" w:val="single"/>
              <w:left w:color="b7c3d0" w:space="0" w:sz="4" w:val="single"/>
              <w:bottom w:color="b7c3d0" w:space="0" w:sz="4" w:val="single"/>
              <w:right w:color="b7c3d0" w:space="0" w:sz="4" w:val="single"/>
            </w:tcBorders>
            <w:shd w:fill="1b2a4a" w:val="clear"/>
            <w:tcMar>
              <w:top w:w="100.0" w:type="dxa"/>
              <w:left w:w="140.0" w:type="dxa"/>
              <w:bottom w:w="100.0" w:type="dxa"/>
              <w:right w:w="140.0" w:type="dxa"/>
            </w:tcMar>
          </w:tcPr>
          <w:p w:rsidR="00000000" w:rsidDel="00000000" w:rsidP="00000000" w:rsidRDefault="00000000" w:rsidRPr="00000000" w14:paraId="00000081">
            <w:pPr>
              <w:spacing w:after="0" w:line="260" w:lineRule="auto"/>
              <w:rPr/>
            </w:pPr>
            <w:r w:rsidDel="00000000" w:rsidR="00000000" w:rsidRPr="00000000">
              <w:rPr>
                <w:b w:val="1"/>
                <w:bCs w:val="1"/>
                <w:color w:val="ffffff"/>
                <w:sz w:val="20"/>
                <w:szCs w:val="20"/>
                <w:rtl w:val="0"/>
              </w:rPr>
              <w:t xml:space="preserve">Risk</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1b2a4a" w:val="clear"/>
            <w:tcMar>
              <w:top w:w="100.0" w:type="dxa"/>
              <w:left w:w="140.0" w:type="dxa"/>
              <w:bottom w:w="100.0" w:type="dxa"/>
              <w:right w:w="140.0" w:type="dxa"/>
            </w:tcMar>
          </w:tcPr>
          <w:p w:rsidR="00000000" w:rsidDel="00000000" w:rsidP="00000000" w:rsidRDefault="00000000" w:rsidRPr="00000000" w14:paraId="00000082">
            <w:pPr>
              <w:spacing w:after="0" w:line="260" w:lineRule="auto"/>
              <w:rPr/>
            </w:pPr>
            <w:r w:rsidDel="00000000" w:rsidR="00000000" w:rsidRPr="00000000">
              <w:rPr>
                <w:b w:val="1"/>
                <w:bCs w:val="1"/>
                <w:color w:val="ffffff"/>
                <w:sz w:val="20"/>
                <w:szCs w:val="20"/>
                <w:rtl w:val="0"/>
              </w:rPr>
              <w:t xml:space="preserve">Mitigation</w:t>
            </w:r>
            <w:r w:rsidDel="00000000" w:rsidR="00000000" w:rsidRPr="00000000">
              <w:rPr>
                <w:rtl w:val="0"/>
              </w:rPr>
            </w:r>
          </w:p>
        </w:tc>
      </w:tr>
      <w:tr>
        <w:trPr>
          <w:cantSplit w:val="0"/>
          <w:tblHeader w:val="0"/>
        </w:trPr>
        <w:tc>
          <w:tcPr>
            <w:tcBorders>
              <w:top w:color="b7c3d0" w:space="0" w:sz="4" w:val="single"/>
              <w:left w:color="b7c3d0" w:space="0" w:sz="4" w:val="single"/>
              <w:bottom w:color="b7c3d0" w:space="0" w:sz="4" w:val="single"/>
              <w:right w:color="b7c3d0" w:space="0" w:sz="4" w:val="single"/>
            </w:tcBorders>
            <w:tcMar>
              <w:top w:w="100.0" w:type="dxa"/>
              <w:left w:w="140.0" w:type="dxa"/>
              <w:bottom w:w="100.0" w:type="dxa"/>
              <w:right w:w="140.0" w:type="dxa"/>
            </w:tcMar>
          </w:tcPr>
          <w:p w:rsidR="00000000" w:rsidDel="00000000" w:rsidP="00000000" w:rsidRDefault="00000000" w:rsidRPr="00000000" w14:paraId="00000083">
            <w:pPr>
              <w:spacing w:after="0" w:line="260" w:lineRule="auto"/>
              <w:rPr/>
            </w:pPr>
            <w:r w:rsidDel="00000000" w:rsidR="00000000" w:rsidRPr="00000000">
              <w:rPr>
                <w:b w:val="1"/>
                <w:bCs w:val="1"/>
                <w:color w:val="000000"/>
                <w:sz w:val="20"/>
                <w:szCs w:val="20"/>
                <w:rtl w:val="0"/>
              </w:rPr>
              <w:t xml:space="preserve">Interconnection delay (utility queue)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100.0" w:type="dxa"/>
              <w:left w:w="140.0" w:type="dxa"/>
              <w:bottom w:w="100.0" w:type="dxa"/>
              <w:right w:w="140.0" w:type="dxa"/>
            </w:tcMar>
          </w:tcPr>
          <w:p w:rsidR="00000000" w:rsidDel="00000000" w:rsidP="00000000" w:rsidRDefault="00000000" w:rsidRPr="00000000" w14:paraId="00000084">
            <w:pPr>
              <w:spacing w:after="0" w:line="260" w:lineRule="auto"/>
              <w:rPr/>
            </w:pPr>
            <w:r w:rsidDel="00000000" w:rsidR="00000000" w:rsidRPr="00000000">
              <w:rPr>
                <w:b w:val="0"/>
                <w:bCs w:val="0"/>
                <w:color w:val="000000"/>
                <w:sz w:val="20"/>
                <w:szCs w:val="20"/>
                <w:rtl w:val="0"/>
              </w:rPr>
              <w:t xml:space="preserve">Behind-the-meter gas generation removes dependence on the grid queue.</w:t>
            </w:r>
            <w:r w:rsidDel="00000000" w:rsidR="00000000" w:rsidRPr="00000000">
              <w:rPr>
                <w:rtl w:val="0"/>
              </w:rPr>
            </w:r>
          </w:p>
        </w:tc>
      </w:tr>
      <w:tr>
        <w:trPr>
          <w:cantSplit w:val="0"/>
          <w:tblHeader w:val="0"/>
        </w:trPr>
        <w:tc>
          <w:tcPr>
            <w:tcBorders>
              <w:top w:color="b7c3d0" w:space="0" w:sz="4" w:val="single"/>
              <w:left w:color="b7c3d0" w:space="0" w:sz="4" w:val="single"/>
              <w:bottom w:color="b7c3d0" w:space="0" w:sz="4" w:val="single"/>
              <w:right w:color="b7c3d0" w:space="0" w:sz="4" w:val="single"/>
            </w:tcBorders>
            <w:tcMar>
              <w:top w:w="100.0" w:type="dxa"/>
              <w:left w:w="140.0" w:type="dxa"/>
              <w:bottom w:w="100.0" w:type="dxa"/>
              <w:right w:w="140.0" w:type="dxa"/>
            </w:tcMar>
          </w:tcPr>
          <w:p w:rsidR="00000000" w:rsidDel="00000000" w:rsidP="00000000" w:rsidRDefault="00000000" w:rsidRPr="00000000" w14:paraId="00000085">
            <w:pPr>
              <w:spacing w:after="0" w:line="260" w:lineRule="auto"/>
              <w:rPr/>
            </w:pPr>
            <w:r w:rsidDel="00000000" w:rsidR="00000000" w:rsidRPr="00000000">
              <w:rPr>
                <w:b w:val="1"/>
                <w:bCs w:val="1"/>
                <w:color w:val="000000"/>
                <w:sz w:val="20"/>
                <w:szCs w:val="20"/>
                <w:rtl w:val="0"/>
              </w:rPr>
              <w:t xml:space="preserve">Hurricane / extreme weather</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100.0" w:type="dxa"/>
              <w:left w:w="140.0" w:type="dxa"/>
              <w:bottom w:w="100.0" w:type="dxa"/>
              <w:right w:w="140.0" w:type="dxa"/>
            </w:tcMar>
          </w:tcPr>
          <w:p w:rsidR="00000000" w:rsidDel="00000000" w:rsidP="00000000" w:rsidRDefault="00000000" w:rsidRPr="00000000" w14:paraId="00000086">
            <w:pPr>
              <w:spacing w:after="0" w:line="260" w:lineRule="auto"/>
              <w:rPr/>
            </w:pPr>
            <w:r w:rsidDel="00000000" w:rsidR="00000000" w:rsidRPr="00000000">
              <w:rPr>
                <w:b w:val="0"/>
                <w:bCs w:val="0"/>
                <w:color w:val="000000"/>
                <w:sz w:val="20"/>
                <w:szCs w:val="20"/>
                <w:rtl w:val="0"/>
              </w:rPr>
              <w:t xml:space="preserve">Islandable on-site generation keeps the campus running through grid outages; hardened, inland-capable siting.</w:t>
            </w:r>
            <w:r w:rsidDel="00000000" w:rsidR="00000000" w:rsidRPr="00000000">
              <w:rPr>
                <w:rtl w:val="0"/>
              </w:rPr>
            </w:r>
          </w:p>
        </w:tc>
      </w:tr>
      <w:tr>
        <w:trPr>
          <w:cantSplit w:val="0"/>
          <w:tblHeader w:val="0"/>
        </w:trPr>
        <w:tc>
          <w:tcPr>
            <w:tcBorders>
              <w:top w:color="b7c3d0" w:space="0" w:sz="4" w:val="single"/>
              <w:left w:color="b7c3d0" w:space="0" w:sz="4" w:val="single"/>
              <w:bottom w:color="b7c3d0" w:space="0" w:sz="4" w:val="single"/>
              <w:right w:color="b7c3d0" w:space="0" w:sz="4" w:val="single"/>
            </w:tcBorders>
            <w:tcMar>
              <w:top w:w="100.0" w:type="dxa"/>
              <w:left w:w="140.0" w:type="dxa"/>
              <w:bottom w:w="100.0" w:type="dxa"/>
              <w:right w:w="140.0" w:type="dxa"/>
            </w:tcMar>
          </w:tcPr>
          <w:p w:rsidR="00000000" w:rsidDel="00000000" w:rsidP="00000000" w:rsidRDefault="00000000" w:rsidRPr="00000000" w14:paraId="00000087">
            <w:pPr>
              <w:spacing w:after="0" w:line="260" w:lineRule="auto"/>
              <w:rPr/>
            </w:pPr>
            <w:r w:rsidDel="00000000" w:rsidR="00000000" w:rsidRPr="00000000">
              <w:rPr>
                <w:b w:val="1"/>
                <w:bCs w:val="1"/>
                <w:color w:val="000000"/>
                <w:sz w:val="20"/>
                <w:szCs w:val="20"/>
                <w:rtl w:val="0"/>
              </w:rPr>
              <w:t xml:space="preserve">Demand / offtake realization</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100.0" w:type="dxa"/>
              <w:left w:w="140.0" w:type="dxa"/>
              <w:bottom w:w="100.0" w:type="dxa"/>
              <w:right w:w="140.0" w:type="dxa"/>
            </w:tcMar>
          </w:tcPr>
          <w:p w:rsidR="00000000" w:rsidDel="00000000" w:rsidP="00000000" w:rsidRDefault="00000000" w:rsidRPr="00000000" w14:paraId="00000088">
            <w:pPr>
              <w:spacing w:after="0" w:line="260" w:lineRule="auto"/>
              <w:rPr/>
            </w:pPr>
            <w:r w:rsidDel="00000000" w:rsidR="00000000" w:rsidRPr="00000000">
              <w:rPr>
                <w:b w:val="0"/>
                <w:bCs w:val="0"/>
                <w:color w:val="000000"/>
                <w:sz w:val="20"/>
                <w:szCs w:val="20"/>
                <w:rtl w:val="0"/>
              </w:rPr>
              <w:t xml:space="preserve">Phased, proof-of-concept-first build; secure a contracted offtake before scaling.</w:t>
            </w:r>
            <w:r w:rsidDel="00000000" w:rsidR="00000000" w:rsidRPr="00000000">
              <w:rPr>
                <w:rtl w:val="0"/>
              </w:rPr>
            </w:r>
          </w:p>
        </w:tc>
      </w:tr>
      <w:tr>
        <w:trPr>
          <w:cantSplit w:val="0"/>
          <w:tblHeader w:val="0"/>
        </w:trPr>
        <w:tc>
          <w:tcPr>
            <w:tcBorders>
              <w:top w:color="b7c3d0" w:space="0" w:sz="4" w:val="single"/>
              <w:left w:color="b7c3d0" w:space="0" w:sz="4" w:val="single"/>
              <w:bottom w:color="b7c3d0" w:space="0" w:sz="4" w:val="single"/>
              <w:right w:color="b7c3d0" w:space="0" w:sz="4" w:val="single"/>
            </w:tcBorders>
            <w:tcMar>
              <w:top w:w="100.0" w:type="dxa"/>
              <w:left w:w="140.0" w:type="dxa"/>
              <w:bottom w:w="100.0" w:type="dxa"/>
              <w:right w:w="140.0" w:type="dxa"/>
            </w:tcMar>
          </w:tcPr>
          <w:p w:rsidR="00000000" w:rsidDel="00000000" w:rsidP="00000000" w:rsidRDefault="00000000" w:rsidRPr="00000000" w14:paraId="00000089">
            <w:pPr>
              <w:spacing w:after="0" w:line="260" w:lineRule="auto"/>
              <w:rPr/>
            </w:pPr>
            <w:r w:rsidDel="00000000" w:rsidR="00000000" w:rsidRPr="00000000">
              <w:rPr>
                <w:b w:val="1"/>
                <w:bCs w:val="1"/>
                <w:color w:val="000000"/>
                <w:sz w:val="20"/>
                <w:szCs w:val="20"/>
                <w:rtl w:val="0"/>
              </w:rPr>
              <w:t xml:space="preserve">Ratepayer &amp; community opposition</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100.0" w:type="dxa"/>
              <w:left w:w="140.0" w:type="dxa"/>
              <w:bottom w:w="100.0" w:type="dxa"/>
              <w:right w:w="140.0" w:type="dxa"/>
            </w:tcMar>
          </w:tcPr>
          <w:p w:rsidR="00000000" w:rsidDel="00000000" w:rsidP="00000000" w:rsidRDefault="00000000" w:rsidRPr="00000000" w14:paraId="0000008A">
            <w:pPr>
              <w:spacing w:after="0" w:line="260" w:lineRule="auto"/>
              <w:rPr/>
            </w:pPr>
            <w:r w:rsidDel="00000000" w:rsidR="00000000" w:rsidRPr="00000000">
              <w:rPr>
                <w:b w:val="0"/>
                <w:bCs w:val="0"/>
                <w:color w:val="000000"/>
                <w:sz w:val="20"/>
                <w:szCs w:val="20"/>
                <w:rtl w:val="0"/>
              </w:rPr>
              <w:t xml:space="preserve">Self-generation socializes no transmission cost onto ratepayers; transparent ITEP / PILOT exchange.</w:t>
            </w:r>
            <w:r w:rsidDel="00000000" w:rsidR="00000000" w:rsidRPr="00000000">
              <w:rPr>
                <w:rtl w:val="0"/>
              </w:rPr>
            </w:r>
          </w:p>
        </w:tc>
      </w:tr>
      <w:tr>
        <w:trPr>
          <w:cantSplit w:val="0"/>
          <w:tblHeader w:val="0"/>
        </w:trPr>
        <w:tc>
          <w:tcPr>
            <w:tcBorders>
              <w:top w:color="b7c3d0" w:space="0" w:sz="4" w:val="single"/>
              <w:left w:color="b7c3d0" w:space="0" w:sz="4" w:val="single"/>
              <w:bottom w:color="b7c3d0" w:space="0" w:sz="4" w:val="single"/>
              <w:right w:color="b7c3d0" w:space="0" w:sz="4" w:val="single"/>
            </w:tcBorders>
            <w:tcMar>
              <w:top w:w="100.0" w:type="dxa"/>
              <w:left w:w="140.0" w:type="dxa"/>
              <w:bottom w:w="100.0" w:type="dxa"/>
              <w:right w:w="140.0" w:type="dxa"/>
            </w:tcMar>
          </w:tcPr>
          <w:p w:rsidR="00000000" w:rsidDel="00000000" w:rsidP="00000000" w:rsidRDefault="00000000" w:rsidRPr="00000000" w14:paraId="0000008B">
            <w:pPr>
              <w:spacing w:after="0" w:line="260" w:lineRule="auto"/>
              <w:rPr/>
            </w:pPr>
            <w:r w:rsidDel="00000000" w:rsidR="00000000" w:rsidRPr="00000000">
              <w:rPr>
                <w:b w:val="1"/>
                <w:bCs w:val="1"/>
                <w:color w:val="000000"/>
                <w:sz w:val="20"/>
                <w:szCs w:val="20"/>
                <w:rtl w:val="0"/>
              </w:rPr>
              <w:t xml:space="preserve">Air permitting / emissions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100.0" w:type="dxa"/>
              <w:left w:w="140.0" w:type="dxa"/>
              <w:bottom w:w="100.0" w:type="dxa"/>
              <w:right w:w="140.0" w:type="dxa"/>
            </w:tcMar>
          </w:tcPr>
          <w:p w:rsidR="00000000" w:rsidDel="00000000" w:rsidP="00000000" w:rsidRDefault="00000000" w:rsidRPr="00000000" w14:paraId="0000008C">
            <w:pPr>
              <w:spacing w:after="0" w:line="260" w:lineRule="auto"/>
              <w:rPr/>
            </w:pPr>
            <w:r w:rsidDel="00000000" w:rsidR="00000000" w:rsidRPr="00000000">
              <w:rPr>
                <w:b w:val="0"/>
                <w:bCs w:val="0"/>
                <w:color w:val="000000"/>
                <w:sz w:val="20"/>
                <w:szCs w:val="20"/>
                <w:rtl w:val="0"/>
              </w:rPr>
              <w:t xml:space="preserve">LDEQ Title V permitting is well-established in-state; high-efficiency generation with emissions controls and carbon-capture and hydrogen-co-firing readiness.</w:t>
            </w:r>
            <w:r w:rsidDel="00000000" w:rsidR="00000000" w:rsidRPr="00000000">
              <w:rPr>
                <w:rtl w:val="0"/>
              </w:rPr>
            </w:r>
          </w:p>
        </w:tc>
      </w:tr>
      <w:tr>
        <w:trPr>
          <w:cantSplit w:val="0"/>
          <w:tblHeader w:val="0"/>
        </w:trPr>
        <w:tc>
          <w:tcPr>
            <w:tcBorders>
              <w:top w:color="b7c3d0" w:space="0" w:sz="4" w:val="single"/>
              <w:left w:color="b7c3d0" w:space="0" w:sz="4" w:val="single"/>
              <w:bottom w:color="b7c3d0" w:space="0" w:sz="4" w:val="single"/>
              <w:right w:color="b7c3d0" w:space="0" w:sz="4" w:val="single"/>
            </w:tcBorders>
            <w:tcMar>
              <w:top w:w="100.0" w:type="dxa"/>
              <w:left w:w="140.0" w:type="dxa"/>
              <w:bottom w:w="100.0" w:type="dxa"/>
              <w:right w:w="140.0" w:type="dxa"/>
            </w:tcMar>
          </w:tcPr>
          <w:p w:rsidR="00000000" w:rsidDel="00000000" w:rsidP="00000000" w:rsidRDefault="00000000" w:rsidRPr="00000000" w14:paraId="0000008D">
            <w:pPr>
              <w:spacing w:after="0" w:line="260" w:lineRule="auto"/>
              <w:rPr/>
            </w:pPr>
            <w:r w:rsidDel="00000000" w:rsidR="00000000" w:rsidRPr="00000000">
              <w:rPr>
                <w:b w:val="1"/>
                <w:bCs w:val="1"/>
                <w:color w:val="000000"/>
                <w:sz w:val="20"/>
                <w:szCs w:val="20"/>
                <w:rtl w:val="0"/>
              </w:rPr>
              <w:t xml:space="preserve">Water-use optics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100.0" w:type="dxa"/>
              <w:left w:w="140.0" w:type="dxa"/>
              <w:bottom w:w="100.0" w:type="dxa"/>
              <w:right w:w="140.0" w:type="dxa"/>
            </w:tcMar>
          </w:tcPr>
          <w:p w:rsidR="00000000" w:rsidDel="00000000" w:rsidP="00000000" w:rsidRDefault="00000000" w:rsidRPr="00000000" w14:paraId="0000008E">
            <w:pPr>
              <w:spacing w:after="0" w:line="260" w:lineRule="auto"/>
              <w:rPr/>
            </w:pPr>
            <w:r w:rsidDel="00000000" w:rsidR="00000000" w:rsidRPr="00000000">
              <w:rPr>
                <w:b w:val="0"/>
                <w:bCs w:val="0"/>
                <w:color w:val="000000"/>
                <w:sz w:val="20"/>
                <w:szCs w:val="20"/>
                <w:rtl w:val="0"/>
              </w:rPr>
              <w:t xml:space="preserve">Closed-loop liquid cooling minimizes consumptive use; abundant regional supply removes scarcity risk.</w:t>
            </w:r>
            <w:r w:rsidDel="00000000" w:rsidR="00000000" w:rsidRPr="00000000">
              <w:rPr>
                <w:rtl w:val="0"/>
              </w:rPr>
            </w:r>
          </w:p>
        </w:tc>
      </w:tr>
      <w:tr>
        <w:trPr>
          <w:cantSplit w:val="0"/>
          <w:tblHeader w:val="0"/>
        </w:trPr>
        <w:tc>
          <w:tcPr>
            <w:tcBorders>
              <w:top w:color="b7c3d0" w:space="0" w:sz="4" w:val="single"/>
              <w:left w:color="b7c3d0" w:space="0" w:sz="4" w:val="single"/>
              <w:bottom w:color="b7c3d0" w:space="0" w:sz="4" w:val="single"/>
              <w:right w:color="b7c3d0" w:space="0" w:sz="4" w:val="single"/>
            </w:tcBorders>
            <w:tcMar>
              <w:top w:w="100.0" w:type="dxa"/>
              <w:left w:w="140.0" w:type="dxa"/>
              <w:bottom w:w="100.0" w:type="dxa"/>
              <w:right w:w="140.0" w:type="dxa"/>
            </w:tcMar>
          </w:tcPr>
          <w:p w:rsidR="00000000" w:rsidDel="00000000" w:rsidP="00000000" w:rsidRDefault="00000000" w:rsidRPr="00000000" w14:paraId="0000008F">
            <w:pPr>
              <w:spacing w:after="0" w:line="260" w:lineRule="auto"/>
              <w:rPr/>
            </w:pPr>
            <w:r w:rsidDel="00000000" w:rsidR="00000000" w:rsidRPr="00000000">
              <w:rPr>
                <w:b w:val="1"/>
                <w:bCs w:val="1"/>
                <w:color w:val="000000"/>
                <w:sz w:val="20"/>
                <w:szCs w:val="20"/>
                <w:rtl w:val="0"/>
              </w:rPr>
              <w:t xml:space="preserve">Commodity gas-price volatility</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100.0" w:type="dxa"/>
              <w:left w:w="140.0" w:type="dxa"/>
              <w:bottom w:w="100.0" w:type="dxa"/>
              <w:right w:w="140.0" w:type="dxa"/>
            </w:tcMar>
          </w:tcPr>
          <w:p w:rsidR="00000000" w:rsidDel="00000000" w:rsidP="00000000" w:rsidRDefault="00000000" w:rsidRPr="00000000" w14:paraId="00000090">
            <w:pPr>
              <w:spacing w:after="0" w:line="260" w:lineRule="auto"/>
              <w:rPr/>
            </w:pPr>
            <w:r w:rsidDel="00000000" w:rsidR="00000000" w:rsidRPr="00000000">
              <w:rPr>
                <w:b w:val="0"/>
                <w:bCs w:val="0"/>
                <w:color w:val="000000"/>
                <w:sz w:val="20"/>
                <w:szCs w:val="20"/>
                <w:rtl w:val="0"/>
              </w:rPr>
              <w:t xml:space="preserve">Henry Hub proximity, Haynesville supply depth, and long-term gas contracting; pro forma stress-tested around ~$108.70/MWh.</w:t>
            </w:r>
            <w:r w:rsidDel="00000000" w:rsidR="00000000" w:rsidRPr="00000000">
              <w:rPr>
                <w:rtl w:val="0"/>
              </w:rPr>
            </w:r>
          </w:p>
        </w:tc>
      </w:tr>
      <w:tr>
        <w:trPr>
          <w:cantSplit w:val="0"/>
          <w:tblHeader w:val="0"/>
        </w:trPr>
        <w:tc>
          <w:tcPr>
            <w:tcBorders>
              <w:top w:color="b7c3d0" w:space="0" w:sz="4" w:val="single"/>
              <w:left w:color="b7c3d0" w:space="0" w:sz="4" w:val="single"/>
              <w:bottom w:color="b7c3d0" w:space="0" w:sz="4" w:val="single"/>
              <w:right w:color="b7c3d0" w:space="0" w:sz="4" w:val="single"/>
            </w:tcBorders>
            <w:tcMar>
              <w:top w:w="100.0" w:type="dxa"/>
              <w:left w:w="140.0" w:type="dxa"/>
              <w:bottom w:w="100.0" w:type="dxa"/>
              <w:right w:w="140.0" w:type="dxa"/>
            </w:tcMar>
          </w:tcPr>
          <w:p w:rsidR="00000000" w:rsidDel="00000000" w:rsidP="00000000" w:rsidRDefault="00000000" w:rsidRPr="00000000" w14:paraId="00000091">
            <w:pPr>
              <w:spacing w:after="0" w:line="260" w:lineRule="auto"/>
              <w:rPr/>
            </w:pPr>
            <w:r w:rsidDel="00000000" w:rsidR="00000000" w:rsidRPr="00000000">
              <w:rPr>
                <w:b w:val="1"/>
                <w:bCs w:val="1"/>
                <w:color w:val="000000"/>
                <w:sz w:val="20"/>
                <w:szCs w:val="20"/>
                <w:rtl w:val="0"/>
              </w:rPr>
              <w:t xml:space="preserve">Compute / rack obsolescence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100.0" w:type="dxa"/>
              <w:left w:w="140.0" w:type="dxa"/>
              <w:bottom w:w="100.0" w:type="dxa"/>
              <w:right w:w="140.0" w:type="dxa"/>
            </w:tcMar>
          </w:tcPr>
          <w:p w:rsidR="00000000" w:rsidDel="00000000" w:rsidP="00000000" w:rsidRDefault="00000000" w:rsidRPr="00000000" w14:paraId="00000092">
            <w:pPr>
              <w:spacing w:after="0" w:line="260" w:lineRule="auto"/>
              <w:rPr/>
            </w:pPr>
            <w:r w:rsidDel="00000000" w:rsidR="00000000" w:rsidRPr="00000000">
              <w:rPr>
                <w:b w:val="0"/>
                <w:bCs w:val="0"/>
                <w:color w:val="000000"/>
                <w:sz w:val="20"/>
                <w:szCs w:val="20"/>
                <w:rtl w:val="0"/>
              </w:rPr>
              <w:t xml:space="preserve">Standardized, replicable block and alignment to the 800-VDC, liquid-cooled standard allow GPU refresh without rebuilding the shell or power backbone.</w:t>
            </w:r>
            <w:r w:rsidDel="00000000" w:rsidR="00000000" w:rsidRPr="00000000">
              <w:rPr>
                <w:rtl w:val="0"/>
              </w:rPr>
            </w:r>
          </w:p>
        </w:tc>
      </w:tr>
    </w:tbl>
    <w:p w:rsidR="00000000" w:rsidDel="00000000" w:rsidP="00000000" w:rsidRDefault="00000000" w:rsidRPr="00000000" w14:paraId="00000093">
      <w:pPr>
        <w:pStyle w:val="Heading1"/>
        <w:pBdr>
          <w:bottom w:color="3d5a80" w:space="4" w:sz="6" w:val="single"/>
        </w:pBdr>
        <w:spacing w:after="200" w:before="360" w:lineRule="auto"/>
        <w:rPr/>
      </w:pPr>
      <w:r w:rsidDel="00000000" w:rsidR="00000000" w:rsidRPr="00000000">
        <w:rPr>
          <w:color w:val="1b2a4a"/>
          <w:rtl w:val="0"/>
        </w:rPr>
        <w:t xml:space="preserve">The execution thesis</w:t>
      </w:r>
      <w:r w:rsidDel="00000000" w:rsidR="00000000" w:rsidRPr="00000000">
        <w:rPr>
          <w:rtl w:val="0"/>
        </w:rPr>
      </w:r>
    </w:p>
    <w:p w:rsidR="00000000" w:rsidDel="00000000" w:rsidP="00000000" w:rsidRDefault="00000000" w:rsidRPr="00000000" w14:paraId="00000094">
      <w:pPr>
        <w:spacing w:after="160" w:line="300" w:lineRule="auto"/>
        <w:jc w:val="both"/>
        <w:rPr/>
      </w:pPr>
      <w:r w:rsidDel="00000000" w:rsidR="00000000" w:rsidRPr="00000000">
        <w:rPr>
          <w:sz w:val="22"/>
          <w:szCs w:val="22"/>
          <w:rtl w:val="0"/>
        </w:rPr>
        <w:t xml:space="preserve">Reading the map is easy; building on it is not. The scarce capability is the ability to execute heavy-industrial AI infrastructure inside the Gulf Coast ecosystem, on schedule — and that capability is the basis of this opportunity. Scott Tomsu is a Louisiana-licensed general contractor with more than twenty years in heavy industrial construction, electronics, robotics, and subsea operations, holding NVIDIA infrastructure credentials and direct command of the regional energy supply chain. The project portfolio is the thesis in physical form, built deliberately in stages.</w:t>
      </w:r>
      <w:r w:rsidDel="00000000" w:rsidR="00000000" w:rsidRPr="00000000">
        <w:rPr>
          <w:rtl w:val="0"/>
        </w:rPr>
      </w:r>
    </w:p>
    <w:p w:rsidR="00000000" w:rsidDel="00000000" w:rsidP="00000000" w:rsidRDefault="00000000" w:rsidRPr="00000000" w14:paraId="00000095">
      <w:pPr>
        <w:pStyle w:val="Heading2"/>
        <w:spacing w:after="140" w:before="260" w:lineRule="auto"/>
        <w:rPr/>
      </w:pPr>
      <w:r w:rsidDel="00000000" w:rsidR="00000000" w:rsidRPr="00000000">
        <w:rPr>
          <w:color w:val="3d5a80"/>
          <w:rtl w:val="0"/>
        </w:rPr>
        <w:t xml:space="preserve">Phase one — the proof of concept</w:t>
      </w:r>
      <w:r w:rsidDel="00000000" w:rsidR="00000000" w:rsidRPr="00000000">
        <w:rPr>
          <w:rtl w:val="0"/>
        </w:rPr>
      </w:r>
    </w:p>
    <w:p w:rsidR="00000000" w:rsidDel="00000000" w:rsidP="00000000" w:rsidRDefault="00000000" w:rsidRPr="00000000" w14:paraId="00000096">
      <w:pPr>
        <w:spacing w:after="160" w:line="300" w:lineRule="auto"/>
        <w:jc w:val="both"/>
        <w:rPr/>
      </w:pPr>
      <w:r w:rsidDel="00000000" w:rsidR="00000000" w:rsidRPr="00000000">
        <w:rPr>
          <w:sz w:val="22"/>
          <w:szCs w:val="22"/>
          <w:rtl w:val="0"/>
        </w:rPr>
        <w:t xml:space="preserve">A behind-the-meter proof-of-concept AI factory of ten megawatts or less, using lean-burn natural gas reciprocating generation. It is the de-risking vehicle and the architectural template for everything that follows.</w:t>
      </w:r>
      <w:r w:rsidDel="00000000" w:rsidR="00000000" w:rsidRPr="00000000">
        <w:rPr>
          <w:rtl w:val="0"/>
        </w:rPr>
      </w:r>
    </w:p>
    <w:p w:rsidR="00000000" w:rsidDel="00000000" w:rsidP="00000000" w:rsidRDefault="00000000" w:rsidRPr="00000000" w14:paraId="00000097">
      <w:pPr>
        <w:pStyle w:val="Heading2"/>
        <w:spacing w:after="140" w:before="260" w:lineRule="auto"/>
        <w:rPr/>
      </w:pPr>
      <w:r w:rsidDel="00000000" w:rsidR="00000000" w:rsidRPr="00000000">
        <w:rPr>
          <w:color w:val="3d5a80"/>
          <w:rtl w:val="0"/>
        </w:rPr>
        <w:t xml:space="preserve">Phase two — the first commercial block</w:t>
      </w:r>
      <w:r w:rsidDel="00000000" w:rsidR="00000000" w:rsidRPr="00000000">
        <w:rPr>
          <w:rtl w:val="0"/>
        </w:rPr>
      </w:r>
    </w:p>
    <w:p w:rsidR="00000000" w:rsidDel="00000000" w:rsidP="00000000" w:rsidRDefault="00000000" w:rsidRPr="00000000" w14:paraId="00000098">
      <w:pPr>
        <w:spacing w:after="160" w:line="300" w:lineRule="auto"/>
        <w:jc w:val="both"/>
        <w:rPr/>
      </w:pPr>
      <w:r w:rsidDel="00000000" w:rsidR="00000000" w:rsidRPr="00000000">
        <w:rPr>
          <w:sz w:val="22"/>
          <w:szCs w:val="22"/>
          <w:rtl w:val="0"/>
        </w:rPr>
        <w:t xml:space="preserve">A 100-megawatt campus on an industrial brownfield site, built as replicated proof-of-concept blocks, each with an 800-volt-DC common bus, DC-coupled storage and solar, in-row power, and dedicated gas generation.</w:t>
      </w:r>
      <w:r w:rsidDel="00000000" w:rsidR="00000000" w:rsidRPr="00000000">
        <w:rPr>
          <w:rtl w:val="0"/>
        </w:rPr>
      </w:r>
    </w:p>
    <w:p w:rsidR="00000000" w:rsidDel="00000000" w:rsidP="00000000" w:rsidRDefault="00000000" w:rsidRPr="00000000" w14:paraId="00000099">
      <w:pPr>
        <w:pStyle w:val="Heading2"/>
        <w:spacing w:after="140" w:before="260" w:lineRule="auto"/>
        <w:rPr/>
      </w:pPr>
      <w:r w:rsidDel="00000000" w:rsidR="00000000" w:rsidRPr="00000000">
        <w:rPr>
          <w:color w:val="3d5a80"/>
          <w:rtl w:val="0"/>
        </w:rPr>
        <w:t xml:space="preserve">Phase three — utility scale</w:t>
      </w:r>
      <w:r w:rsidDel="00000000" w:rsidR="00000000" w:rsidRPr="00000000">
        <w:rPr>
          <w:rtl w:val="0"/>
        </w:rPr>
      </w:r>
    </w:p>
    <w:p w:rsidR="00000000" w:rsidDel="00000000" w:rsidP="00000000" w:rsidRDefault="00000000" w:rsidRPr="00000000" w14:paraId="0000009A">
      <w:pPr>
        <w:spacing w:after="160" w:line="300" w:lineRule="auto"/>
        <w:jc w:val="both"/>
        <w:rPr/>
      </w:pPr>
      <w:r w:rsidDel="00000000" w:rsidR="00000000" w:rsidRPr="00000000">
        <w:rPr>
          <w:sz w:val="22"/>
          <w:szCs w:val="22"/>
          <w:rtl w:val="0"/>
        </w:rPr>
        <w:t xml:space="preserve">A gigawatt-class hybrid campus on a former power-generation site that already carries high-voltage switchyard, deepwater dock, and rail infrastructure — combining confirmed on-site grid capacity with a behind-the-meter gas island.</w:t>
      </w:r>
      <w:r w:rsidDel="00000000" w:rsidR="00000000" w:rsidRPr="00000000">
        <w:rPr>
          <w:rtl w:val="0"/>
        </w:rPr>
      </w:r>
    </w:p>
    <w:p w:rsidR="00000000" w:rsidDel="00000000" w:rsidP="00000000" w:rsidRDefault="00000000" w:rsidRPr="00000000" w14:paraId="0000009B">
      <w:pPr>
        <w:pStyle w:val="Heading2"/>
        <w:spacing w:after="140" w:before="260" w:lineRule="auto"/>
        <w:rPr/>
      </w:pPr>
      <w:r w:rsidDel="00000000" w:rsidR="00000000" w:rsidRPr="00000000">
        <w:rPr>
          <w:color w:val="3d5a80"/>
          <w:rtl w:val="0"/>
        </w:rPr>
        <w:t xml:space="preserve">The microgrid platform — the power engine</w:t>
      </w:r>
      <w:r w:rsidDel="00000000" w:rsidR="00000000" w:rsidRPr="00000000">
        <w:rPr>
          <w:rtl w:val="0"/>
        </w:rPr>
      </w:r>
    </w:p>
    <w:p w:rsidR="00000000" w:rsidDel="00000000" w:rsidP="00000000" w:rsidRDefault="00000000" w:rsidRPr="00000000" w14:paraId="0000009C">
      <w:pPr>
        <w:spacing w:after="160" w:line="300" w:lineRule="auto"/>
        <w:jc w:val="both"/>
        <w:rPr/>
      </w:pPr>
      <w:r w:rsidDel="00000000" w:rsidR="00000000" w:rsidRPr="00000000">
        <w:rPr>
          <w:sz w:val="22"/>
          <w:szCs w:val="22"/>
          <w:rtl w:val="0"/>
        </w:rPr>
        <w:t xml:space="preserve">Underpinning the portfolio is a behind-the-meter natural gas microgrid platform — the power-delivery engine — modeled at a levelized cost of energy of about 108.70 dollars per megawatt-hour and a 17.8 percent internal rate of return over a twenty-year pro forma, modular in eight-node, 200-megawatt increments.</w:t>
      </w:r>
      <w:r w:rsidDel="00000000" w:rsidR="00000000" w:rsidRPr="00000000">
        <w:rPr>
          <w:rtl w:val="0"/>
        </w:rPr>
      </w:r>
    </w:p>
    <w:p w:rsidR="00000000" w:rsidDel="00000000" w:rsidP="00000000" w:rsidRDefault="00000000" w:rsidRPr="00000000" w14:paraId="0000009D">
      <w:pPr>
        <w:spacing w:after="160" w:line="300" w:lineRule="auto"/>
        <w:jc w:val="both"/>
        <w:rPr/>
      </w:pPr>
      <w:r w:rsidDel="00000000" w:rsidR="00000000" w:rsidRPr="00000000">
        <w:rPr>
          <w:sz w:val="22"/>
          <w:szCs w:val="22"/>
          <w:rtl w:val="0"/>
        </w:rPr>
        <w:t xml:space="preserve">The approach is deliberately phased and de-risked: prove the architecture at ten megawatts, contract an offtake, then replicate the block — the same disciplined, power-first model that carried River Bend to investment-grade financing.</w:t>
      </w:r>
      <w:r w:rsidDel="00000000" w:rsidR="00000000" w:rsidRPr="00000000">
        <w:rPr>
          <w:rtl w:val="0"/>
        </w:rPr>
      </w:r>
    </w:p>
    <w:p w:rsidR="00000000" w:rsidDel="00000000" w:rsidP="00000000" w:rsidRDefault="00000000" w:rsidRPr="00000000" w14:paraId="0000009E">
      <w:pPr>
        <w:pStyle w:val="Heading1"/>
        <w:pBdr>
          <w:bottom w:color="3d5a80" w:space="4" w:sz="6" w:val="single"/>
        </w:pBdr>
        <w:spacing w:after="200" w:before="360" w:lineRule="auto"/>
        <w:rPr/>
      </w:pPr>
      <w:r w:rsidDel="00000000" w:rsidR="00000000" w:rsidRPr="00000000">
        <w:rPr>
          <w:color w:val="1b2a4a"/>
          <w:rtl w:val="0"/>
        </w:rPr>
        <w:t xml:space="preserve">Conclusion</w:t>
      </w:r>
      <w:r w:rsidDel="00000000" w:rsidR="00000000" w:rsidRPr="00000000">
        <w:rPr>
          <w:rtl w:val="0"/>
        </w:rPr>
      </w:r>
    </w:p>
    <w:p w:rsidR="00000000" w:rsidDel="00000000" w:rsidP="00000000" w:rsidRDefault="00000000" w:rsidRPr="00000000" w14:paraId="0000009F">
      <w:pPr>
        <w:spacing w:after="160" w:line="300" w:lineRule="auto"/>
        <w:jc w:val="both"/>
        <w:rPr/>
      </w:pPr>
      <w:r w:rsidDel="00000000" w:rsidR="00000000" w:rsidRPr="00000000">
        <w:rPr>
          <w:sz w:val="22"/>
          <w:szCs w:val="22"/>
          <w:rtl w:val="0"/>
        </w:rPr>
        <w:t xml:space="preserve">The buildout of artificial intelligence is, at its core, the largest new industrial-energy program in a generation. Its binding constraint is power, and its hard problems — gigawatts of firm generation, gigawatts of transmission and switchgear, and the skilled trades to install them on schedule — are precisely the problems the Gulf Coast has spent a century solving. Louisiana did not pivot to chase technology; the bottleneck of the technology moved to Louisiana's core competency.</w:t>
      </w:r>
      <w:r w:rsidDel="00000000" w:rsidR="00000000" w:rsidRPr="00000000">
        <w:rPr>
          <w:rtl w:val="0"/>
        </w:rPr>
      </w:r>
    </w:p>
    <w:p w:rsidR="00000000" w:rsidDel="00000000" w:rsidP="00000000" w:rsidRDefault="00000000" w:rsidRPr="00000000" w14:paraId="000000A0">
      <w:pPr>
        <w:spacing w:after="160" w:line="300" w:lineRule="auto"/>
        <w:jc w:val="both"/>
        <w:rPr/>
      </w:pPr>
      <w:r w:rsidDel="00000000" w:rsidR="00000000" w:rsidRPr="00000000">
        <w:rPr>
          <w:sz w:val="22"/>
          <w:szCs w:val="22"/>
          <w:rtl w:val="0"/>
        </w:rPr>
        <w:t xml:space="preserve">Texas demonstrated that the gas-powered, behind-the-meter model works, and it is now demonstrating the limits of going first. Louisiana is the natural next stage: cheaper firm power, more water, comparable land, a deeper industrial base, the nation's most generous incentives, and — already on the ground — three of the country's largest AI campuses. For investors, developers, utilities, and the communities that host these projects, the alignment of interest is unusually clean when power is generated behind the meter: capital earns a contracted return, the grid and its ratepayers are protected, and the jobs and tax base land in the parishes that need them most.</w:t>
      </w:r>
      <w:r w:rsidDel="00000000" w:rsidR="00000000" w:rsidRPr="00000000">
        <w:rPr>
          <w:rtl w:val="0"/>
        </w:rPr>
      </w:r>
    </w:p>
    <w:p w:rsidR="00000000" w:rsidDel="00000000" w:rsidP="00000000" w:rsidRDefault="00000000" w:rsidRPr="00000000" w14:paraId="000000A1">
      <w:pPr>
        <w:spacing w:after="160" w:line="300" w:lineRule="auto"/>
        <w:jc w:val="both"/>
        <w:rPr>
          <w:b w:val="1"/>
          <w:bCs w:val="1"/>
          <w:sz w:val="22"/>
          <w:szCs w:val="22"/>
        </w:rPr>
      </w:pPr>
      <w:r w:rsidDel="00000000" w:rsidR="00000000" w:rsidRPr="00000000">
        <w:rPr>
          <w:b w:val="1"/>
          <w:bCs w:val="1"/>
          <w:sz w:val="22"/>
          <w:szCs w:val="22"/>
          <w:rtl w:val="0"/>
        </w:rPr>
        <w:t xml:space="preserve">To discuss investment, partnership, offtake, or site development, contact Scott Tomsu at scott@adc3k.com or (337) 780-1535.</w:t>
      </w:r>
    </w:p>
    <w:p w:rsidR="00000000" w:rsidDel="00000000" w:rsidP="00000000" w:rsidRDefault="00000000" w:rsidRPr="00000000" w14:paraId="000000A2">
      <w:pPr>
        <w:spacing w:after="160" w:line="300" w:lineRule="auto"/>
        <w:jc w:val="both"/>
        <w:rPr>
          <w:b w:val="1"/>
          <w:bCs w:val="1"/>
        </w:rPr>
      </w:pPr>
      <w:r w:rsidDel="00000000" w:rsidR="00000000" w:rsidRPr="00000000">
        <w:rPr>
          <w:b w:val="1"/>
          <w:bCs w:val="1"/>
        </w:rPr>
        <w:drawing>
          <wp:inline distB="114300" distT="114300" distL="114300" distR="114300">
            <wp:extent cx="5943600" cy="45974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pStyle w:val="Heading1"/>
        <w:pBdr>
          <w:bottom w:color="3d5a80" w:space="4" w:sz="6" w:val="single"/>
        </w:pBdr>
        <w:spacing w:after="200" w:before="360" w:lineRule="auto"/>
        <w:rPr>
          <w:sz w:val="24"/>
          <w:szCs w:val="24"/>
        </w:rPr>
      </w:pPr>
      <w:r w:rsidDel="00000000" w:rsidR="00000000" w:rsidRPr="00000000">
        <w:rPr>
          <w:color w:val="1b2a4a"/>
          <w:sz w:val="24"/>
          <w:szCs w:val="24"/>
          <w:rtl w:val="0"/>
        </w:rPr>
        <w:t xml:space="preserve">Sources &amp; references</w:t>
      </w:r>
      <w:r w:rsidDel="00000000" w:rsidR="00000000" w:rsidRPr="00000000">
        <w:rPr>
          <w:rtl w:val="0"/>
        </w:rPr>
      </w:r>
    </w:p>
    <w:p w:rsidR="00000000" w:rsidDel="00000000" w:rsidP="00000000" w:rsidRDefault="00000000" w:rsidRPr="00000000" w14:paraId="000000A4">
      <w:pPr>
        <w:spacing w:after="160" w:line="300" w:lineRule="auto"/>
        <w:jc w:val="both"/>
        <w:rPr>
          <w:sz w:val="14"/>
          <w:szCs w:val="14"/>
        </w:rPr>
      </w:pPr>
      <w:r w:rsidDel="00000000" w:rsidR="00000000" w:rsidRPr="00000000">
        <w:rPr>
          <w:sz w:val="14"/>
          <w:szCs w:val="14"/>
          <w:rtl w:val="0"/>
        </w:rPr>
        <w:t xml:space="preserve">Figures in this document are drawn from public filings, regulatory dockets, government data, and industry reporting current as of mid-2026. Key sources:</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sz w:val="14"/>
          <w:szCs w:val="14"/>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U.S. Energy Information Administration — natural gas production, Henry Hub pricing, and state industrial electricity prices (2024–2026).</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sz w:val="14"/>
          <w:szCs w:val="14"/>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Louisiana Economic Development (opportunitylouisiana.gov) — Act 730 data-center incentive, tax-climate reform, and tech-talent rankings.</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sz w:val="14"/>
          <w:szCs w:val="14"/>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Louisiana Legislature — Act 730 (HB 827), 2024 Regular Session, full digest.</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sz w:val="14"/>
          <w:szCs w:val="14"/>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Electric Reliability Council of Texas (ERCOT) — 2025 long-term load forecast and State of the Grid report; large-load interconnection queue data.</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sz w:val="14"/>
          <w:szCs w:val="14"/>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Entergy Louisiana — Hyperion generation and transmission announcements (2025–2026).</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sz w:val="14"/>
          <w:szCs w:val="14"/>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Hut 8 Corp. — River Bend lease and $3.25B investment-grade bond disclosures (PR Newswire / SEC, Dec. 2025–May 2026).</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sz w:val="14"/>
          <w:szCs w:val="14"/>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DataCenterDynamics, DataCenterKnowledge, Natural Gas Intelligence, Reuters, Tom's Hardware — Texas and Louisiana data-center and gas-generation reporting (2025–2026).</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sz w:val="14"/>
          <w:szCs w:val="14"/>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BDO, PwC, CLA, Stinson LLP — One Big Beautiful Bill Act analyses (bonus depreciation, Opportunity Zones, solar ITC termination), 2025–2026.</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sz w:val="14"/>
          <w:szCs w:val="14"/>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American Oil &amp; Gas Reporter; RBN Energy; LSU Center for Energy Studies — Haynesville production and Gulf Coast LNG capacity (2025–2026).</w:t>
      </w:r>
    </w:p>
    <w:p w:rsidR="00000000" w:rsidDel="00000000" w:rsidP="00000000" w:rsidRDefault="00000000" w:rsidRPr="00000000" w14:paraId="000000AE">
      <w:pPr>
        <w:spacing w:after="0" w:before="240" w:lineRule="auto"/>
        <w:rPr>
          <w:sz w:val="14"/>
          <w:szCs w:val="14"/>
        </w:rPr>
      </w:pPr>
      <w:r w:rsidDel="00000000" w:rsidR="00000000" w:rsidRPr="00000000">
        <w:rPr>
          <w:i w:val="1"/>
          <w:iCs w:val="1"/>
          <w:color w:val="595959"/>
          <w:sz w:val="10"/>
          <w:szCs w:val="10"/>
          <w:rtl w:val="0"/>
        </w:rPr>
        <w:t xml:space="preserve">Prepared by Scott Tomsu. This document is informational and does not constitute an offer to sell or a solicitation of any security, nor legal, tax, or investment advice.</w:t>
      </w:r>
      <w:r w:rsidDel="00000000" w:rsidR="00000000" w:rsidRPr="00000000">
        <w:rPr>
          <w:rtl w:val="0"/>
        </w:rPr>
      </w:r>
    </w:p>
    <w:sectPr>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pBdr>
        <w:top w:color="b7c3d0" w:space="4" w:sz="4" w:val="single"/>
      </w:pBdr>
      <w:tabs>
        <w:tab w:val="right" w:leader="none" w:pos="9360"/>
      </w:tabs>
      <w:rPr/>
    </w:pPr>
    <w:r w:rsidDel="00000000" w:rsidR="00000000" w:rsidRPr="00000000">
      <w:rPr>
        <w:color w:val="595959"/>
        <w:sz w:val="16"/>
        <w:szCs w:val="16"/>
        <w:rtl w:val="0"/>
      </w:rPr>
      <w:t xml:space="preserve">Scott Tomsu · scott@adc3k.com · (337) 780-1535Page </w:t>
    </w:r>
    <w:r w:rsidDel="00000000" w:rsidR="00000000" w:rsidRPr="00000000">
      <w:rPr>
        <w:color w:val="595959"/>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2a4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60" w:line="240" w:lineRule="auto"/>
      <w:ind w:left="0" w:right="0" w:firstLine="0"/>
      <w:jc w:val="left"/>
    </w:pPr>
    <w:rPr>
      <w:rFonts w:ascii="Arial" w:cs="Arial" w:eastAsia="Arial" w:hAnsi="Arial"/>
      <w:b w:val="1"/>
      <w:bCs w:val="1"/>
      <w:i w:val="0"/>
      <w:iCs w:val="0"/>
      <w:smallCaps w:val="0"/>
      <w:strike w:val="0"/>
      <w:color w:val="3d5a8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