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center"/>
      </w:pPr>
      <w:r>
        <w:rPr>
          <w:b/>
          <w:bCs/>
          <w:color w:val="1F4E5F"/>
          <w:sz w:val="52"/>
          <w:szCs w:val="52"/>
        </w:rPr>
        <w:t xml:space="preserve">REQUEST FOR QUOTATION</w:t>
      </w:r>
    </w:p>
    <w:p>
      <w:pPr>
        <w:spacing w:after="200"/>
        <w:jc w:val="center"/>
      </w:pPr>
      <w:r>
        <w:rPr>
          <w:b/>
          <w:bCs/>
          <w:sz w:val="30"/>
          <w:szCs w:val="30"/>
        </w:rPr>
        <w:t xml:space="preserve">PACKAGE 1 — CONTAINERIZED LFP BATTERY ENERGY STORAGE SYSTEM</w:t>
      </w:r>
    </w:p>
    <w:p>
      <w:pPr>
        <w:spacing w:after="600"/>
        <w:jc w:val="center"/>
      </w:pPr>
      <w:r>
        <w:rPr>
          <w:sz w:val="26"/>
          <w:szCs w:val="26"/>
        </w:rPr>
        <w:t xml:space="preserve">6 MW / 3 MWh — Outdoor Containerized — DC-Coupled</w:t>
      </w:r>
    </w:p>
    <w:p>
      <w:pPr>
        <w:spacing w:after="100"/>
        <w:jc w:val="center"/>
      </w:pPr>
      <w:r>
        <w:rPr>
          <w:sz w:val="24"/>
          <w:szCs w:val="24"/>
        </w:rPr>
        <w:t xml:space="preserve">Document No. ESS-RFQ-001 — Revision 0.1 — Issued for Bid</w:t>
      </w:r>
    </w:p>
    <w:p>
      <w:pPr>
        <w:spacing w:after="600"/>
        <w:jc w:val="center"/>
      </w:pPr>
      <w:r>
        <w:rPr>
          <w:sz w:val="24"/>
          <w:szCs w:val="24"/>
        </w:rPr>
        <w:t xml:space="preserve">June 11, 2026</w:t>
      </w:r>
    </w:p>
    <w:p>
      <w:pPr>
        <w:spacing w:after="100"/>
        <w:jc w:val="center"/>
      </w:pPr>
      <w:r>
        <w:rPr>
          <w:sz w:val="22"/>
          <w:szCs w:val="22"/>
        </w:rPr>
        <w:t xml:space="preserve">Issued by: Scott Tomsu — scott@adc3k.com — (337) 780-1535</w:t>
      </w:r>
    </w:p>
    <w:p>
      <w:pPr>
        <w:spacing w:after="100"/>
        <w:jc w:val="center"/>
      </w:pPr>
      <w:r>
        <w:rPr>
          <w:i/>
          <w:iCs/>
          <w:sz w:val="20"/>
          <w:szCs w:val="20"/>
        </w:rPr>
        <w:t xml:space="preserve">Governing engineering document: ESS-BOD-001 Rev 0.2 — Energy Storage System Basis of Design</w:t>
      </w:r>
    </w:p>
    <w:p>
      <w:r>
        <w:br w:type="page"/>
      </w:r>
    </w:p>
    <w:p>
      <w:pPr>
        <w:pStyle w:val="Heading1"/>
      </w:pPr>
      <w:r>
        <w:t xml:space="preserve">Revision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1100"/>
        <w:gridCol w:w="2200"/>
        <w:gridCol w:w="4760"/>
      </w:tblGrid>
      <w:tr>
        <w:trPr>
          <w:tblHeader/>
        </w:trPr>
        <w:tc>
          <w:tcPr>
            <w:tcW w:type="dxa" w:w="1300"/>
            <w:tcBorders>
              <w:top w:val="single" w:color="AFC3CC" w:sz="1"/>
              <w:left w:val="single" w:color="AFC3CC" w:sz="1"/>
              <w:bottom w:val="single" w:color="AFC3CC" w:sz="1"/>
              <w:right w:val="single" w:color="AFC3CC" w:sz="1"/>
            </w:tcBorders>
            <w:shd w:fill="DDE7EC" w:val="clear"/>
            <w:tcMar>
              <w:top w:type="dxa" w:w="80"/>
              <w:left w:type="dxa" w:w="120"/>
              <w:bottom w:type="dxa" w:w="80"/>
              <w:right w:type="dxa" w:w="120"/>
            </w:tcMar>
            <w:vAlign w:val="center"/>
          </w:tcPr>
          <w:p>
            <w:r>
              <w:rPr>
                <w:b/>
                <w:bCs/>
              </w:rPr>
              <w:t xml:space="preserve">Rev</w:t>
            </w:r>
          </w:p>
        </w:tc>
        <w:tc>
          <w:tcPr>
            <w:tcW w:type="dxa" w:w="1100"/>
            <w:tcBorders>
              <w:top w:val="single" w:color="AFC3CC" w:sz="1"/>
              <w:left w:val="single" w:color="AFC3CC" w:sz="1"/>
              <w:bottom w:val="single" w:color="AFC3CC" w:sz="1"/>
              <w:right w:val="single" w:color="AFC3CC" w:sz="1"/>
            </w:tcBorders>
            <w:shd w:fill="DDE7EC" w:val="clear"/>
            <w:tcMar>
              <w:top w:type="dxa" w:w="80"/>
              <w:left w:type="dxa" w:w="120"/>
              <w:bottom w:type="dxa" w:w="80"/>
              <w:right w:type="dxa" w:w="120"/>
            </w:tcMar>
            <w:vAlign w:val="center"/>
          </w:tcPr>
          <w:p>
            <w:r>
              <w:rPr>
                <w:b/>
                <w:bCs/>
              </w:rPr>
              <w:t xml:space="preserve">Date</w:t>
            </w:r>
          </w:p>
        </w:tc>
        <w:tc>
          <w:tcPr>
            <w:tcW w:type="dxa" w:w="2200"/>
            <w:tcBorders>
              <w:top w:val="single" w:color="AFC3CC" w:sz="1"/>
              <w:left w:val="single" w:color="AFC3CC" w:sz="1"/>
              <w:bottom w:val="single" w:color="AFC3CC" w:sz="1"/>
              <w:right w:val="single" w:color="AFC3CC" w:sz="1"/>
            </w:tcBorders>
            <w:shd w:fill="DDE7EC" w:val="clear"/>
            <w:tcMar>
              <w:top w:type="dxa" w:w="80"/>
              <w:left w:type="dxa" w:w="120"/>
              <w:bottom w:type="dxa" w:w="80"/>
              <w:right w:type="dxa" w:w="120"/>
            </w:tcMar>
            <w:vAlign w:val="center"/>
          </w:tcPr>
          <w:p>
            <w:r>
              <w:rPr>
                <w:b/>
                <w:bCs/>
              </w:rPr>
              <w:t xml:space="preserve">Author</w:t>
            </w:r>
          </w:p>
        </w:tc>
        <w:tc>
          <w:tcPr>
            <w:tcW w:type="dxa" w:w="4760"/>
            <w:tcBorders>
              <w:top w:val="single" w:color="AFC3CC" w:sz="1"/>
              <w:left w:val="single" w:color="AFC3CC" w:sz="1"/>
              <w:bottom w:val="single" w:color="AFC3CC" w:sz="1"/>
              <w:right w:val="single" w:color="AFC3CC" w:sz="1"/>
            </w:tcBorders>
            <w:shd w:fill="DDE7EC" w:val="clear"/>
            <w:tcMar>
              <w:top w:type="dxa" w:w="80"/>
              <w:left w:type="dxa" w:w="120"/>
              <w:bottom w:type="dxa" w:w="80"/>
              <w:right w:type="dxa" w:w="120"/>
            </w:tcMar>
            <w:vAlign w:val="center"/>
          </w:tcPr>
          <w:p>
            <w:r>
              <w:rPr>
                <w:b/>
                <w:bCs/>
              </w:rPr>
              <w:t xml:space="preserve">Description</w:t>
            </w:r>
          </w:p>
        </w:tc>
      </w:tr>
      <w:tr>
        <w:tc>
          <w:tcPr>
            <w:tcW w:type="dxa" w:w="1300"/>
            <w:tcBorders>
              <w:top w:val="single" w:color="AFC3CC" w:sz="1"/>
              <w:left w:val="single" w:color="AFC3CC" w:sz="1"/>
              <w:bottom w:val="single" w:color="AFC3CC" w:sz="1"/>
              <w:right w:val="single" w:color="AFC3CC" w:sz="1"/>
            </w:tcBorders>
            <w:tcMar>
              <w:top w:type="dxa" w:w="80"/>
              <w:left w:type="dxa" w:w="120"/>
              <w:bottom w:type="dxa" w:w="80"/>
              <w:right w:type="dxa" w:w="120"/>
            </w:tcMar>
            <w:vAlign w:val="center"/>
          </w:tcPr>
          <w:p>
            <w:r>
              <w:rPr>
                <w:b w:val="false"/>
                <w:bCs w:val="false"/>
              </w:rPr>
              <w:t xml:space="preserve">0.1</w:t>
            </w:r>
          </w:p>
        </w:tc>
        <w:tc>
          <w:tcPr>
            <w:tcW w:type="dxa" w:w="1100"/>
            <w:tcBorders>
              <w:top w:val="single" w:color="AFC3CC" w:sz="1"/>
              <w:left w:val="single" w:color="AFC3CC" w:sz="1"/>
              <w:bottom w:val="single" w:color="AFC3CC" w:sz="1"/>
              <w:right w:val="single" w:color="AFC3CC" w:sz="1"/>
            </w:tcBorders>
            <w:tcMar>
              <w:top w:type="dxa" w:w="80"/>
              <w:left w:type="dxa" w:w="120"/>
              <w:bottom w:type="dxa" w:w="80"/>
              <w:right w:type="dxa" w:w="120"/>
            </w:tcMar>
            <w:vAlign w:val="center"/>
          </w:tcPr>
          <w:p>
            <w:r>
              <w:rPr>
                <w:b w:val="false"/>
                <w:bCs w:val="false"/>
              </w:rPr>
              <w:t xml:space="preserve">11 Jun 2026</w:t>
            </w:r>
          </w:p>
        </w:tc>
        <w:tc>
          <w:tcPr>
            <w:tcW w:type="dxa" w:w="2200"/>
            <w:tcBorders>
              <w:top w:val="single" w:color="AFC3CC" w:sz="1"/>
              <w:left w:val="single" w:color="AFC3CC" w:sz="1"/>
              <w:bottom w:val="single" w:color="AFC3CC" w:sz="1"/>
              <w:right w:val="single" w:color="AFC3CC" w:sz="1"/>
            </w:tcBorders>
            <w:tcMar>
              <w:top w:type="dxa" w:w="80"/>
              <w:left w:type="dxa" w:w="120"/>
              <w:bottom w:type="dxa" w:w="80"/>
              <w:right w:type="dxa" w:w="120"/>
            </w:tcMar>
            <w:vAlign w:val="center"/>
          </w:tcPr>
          <w:p>
            <w:r>
              <w:rPr>
                <w:b w:val="false"/>
                <w:bCs w:val="false"/>
              </w:rPr>
              <w:t xml:space="preserve">Scott Tomsu</w:t>
            </w:r>
          </w:p>
        </w:tc>
        <w:tc>
          <w:tcPr>
            <w:tcW w:type="dxa" w:w="4760"/>
            <w:tcBorders>
              <w:top w:val="single" w:color="AFC3CC" w:sz="1"/>
              <w:left w:val="single" w:color="AFC3CC" w:sz="1"/>
              <w:bottom w:val="single" w:color="AFC3CC" w:sz="1"/>
              <w:right w:val="single" w:color="AFC3CC" w:sz="1"/>
            </w:tcBorders>
            <w:tcMar>
              <w:top w:type="dxa" w:w="80"/>
              <w:left w:type="dxa" w:w="120"/>
              <w:bottom w:type="dxa" w:w="80"/>
              <w:right w:type="dxa" w:w="120"/>
            </w:tcMar>
            <w:vAlign w:val="center"/>
          </w:tcPr>
          <w:p>
            <w:r>
              <w:rPr>
                <w:b w:val="false"/>
                <w:bCs w:val="false"/>
              </w:rPr>
              <w:t xml:space="preserve">Initial issue for bid. Scope, technical requirements, compliance gates, submittal list, evaluation criteria, and bidder compliance matrix.</w:t>
            </w:r>
          </w:p>
        </w:tc>
      </w:tr>
    </w:tbl>
    <w:p>
      <w:r>
        <w:br w:type="page"/>
      </w:r>
    </w:p>
    <w:p>
      <w:pPr>
        <w:pStyle w:val="Heading1"/>
      </w:pPr>
      <w: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§1 Introduction and Project Overview</w:t>
      </w:r>
    </w:p>
    <w:p>
      <w:pPr>
        <w:spacing w:after="160"/>
      </w:pPr>
      <w:r>
        <w:t xml:space="preserve">The Buyer is procuring a containerized lithium iron phosphate (LFP) Battery Energy Storage System for a grid-interactive microgrid serving a critical IT load. This Request for Quotation covers Package 1 as defined in ESS-BOD-001 Rev 0.2 (the “BOD”): the complete containerized BESS, including batteries, battery management system, container enclosures, integrated thermal management, integrated detection and explosion control within the listing boundary, and all engineering data required for permitting.</w:t>
      </w:r>
    </w:p>
    <w:p>
      <w:pPr>
        <w:spacing w:after="160"/>
      </w:pPr>
      <w:r>
        <w:t xml:space="preserve">The BOD is the governing engineering document for this procurement. Requirement identifiers cited in this RFQ (G-#, D-#, SEP-1, EI-#, CE-#, PS-#, etc.) refer to the BOD. The Open Compute Project white paper “Requirements for Energy Storage Systems Used in Data Centers,” Rev 1.0 (January 2026), is the governing industry reference adopted by the BOD.</w:t>
      </w:r>
    </w:p>
    <w:p>
      <w:pPr>
        <w:pStyle w:val="Heading2"/>
      </w:pPr>
      <w:r>
        <w:t xml:space="preserve">§1.1 Application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AFC3CC" w:sz="1"/>
              <w:left w:val="single" w:color="AFC3CC" w:sz="1"/>
              <w:bottom w:val="single" w:color="AFC3CC" w:sz="1"/>
              <w:right w:val="single" w:color="AFC3CC" w:sz="1"/>
            </w:tcBorders>
            <w:shd w:fill="DDE7EC" w:val="clear"/>
            <w:tcMar>
              <w:top w:type="dxa" w:w="80"/>
              <w:left w:type="dxa" w:w="120"/>
              <w:bottom w:type="dxa" w:w="80"/>
              <w:right w:type="dxa" w:w="120"/>
            </w:tcMar>
            <w:vAlign w:val="center"/>
          </w:tcPr>
          <w:p>
            <w:r>
              <w:rPr>
                <w:b/>
                <w:bCs/>
              </w:rPr>
              <w:t xml:space="preserve">Parameter</w:t>
            </w:r>
          </w:p>
        </w:tc>
        <w:tc>
          <w:tcPr>
            <w:tcW w:type="dxa" w:w="5760"/>
            <w:tcBorders>
              <w:top w:val="single" w:color="AFC3CC" w:sz="1"/>
              <w:left w:val="single" w:color="AFC3CC" w:sz="1"/>
              <w:bottom w:val="single" w:color="AFC3CC" w:sz="1"/>
              <w:right w:val="single" w:color="AFC3CC" w:sz="1"/>
            </w:tcBorders>
            <w:shd w:fill="DDE7EC" w:val="clear"/>
            <w:tcMar>
              <w:top w:type="dxa" w:w="80"/>
              <w:left w:type="dxa" w:w="120"/>
              <w:bottom w:type="dxa" w:w="80"/>
              <w:right w:type="dxa" w:w="120"/>
            </w:tcMar>
            <w:vAlign w:val="center"/>
          </w:tcPr>
          <w:p>
            <w:r>
              <w:rPr>
                <w:b/>
                <w:bCs/>
              </w:rPr>
              <w:t xml:space="preserve">Value</w:t>
            </w:r>
          </w:p>
        </w:tc>
      </w:tr>
      <w:tr>
        <w:tc>
          <w:tcPr>
            <w:tcW w:type="dxa" w:w="3600"/>
            <w:tcBorders>
              <w:top w:val="single" w:color="AFC3CC" w:sz="1"/>
              <w:left w:val="single" w:color="AFC3CC" w:sz="1"/>
              <w:bottom w:val="single" w:color="AFC3CC" w:sz="1"/>
              <w:right w:val="single" w:color="AFC3CC" w:sz="1"/>
            </w:tcBorders>
            <w:tcMar>
              <w:top w:type="dxa" w:w="80"/>
              <w:left w:type="dxa" w:w="120"/>
              <w:bottom w:type="dxa" w:w="80"/>
              <w:right w:type="dxa" w:w="120"/>
            </w:tcMar>
            <w:vAlign w:val="center"/>
          </w:tcPr>
          <w:p>
            <w:r>
              <w:rPr>
                <w:b w:val="false"/>
                <w:bCs w:val="false"/>
              </w:rPr>
              <w:t xml:space="preserve">Critical IT load</w:t>
            </w:r>
          </w:p>
        </w:tc>
        <w:tc>
          <w:tcPr>
            <w:tcW w:type="dxa" w:w="5760"/>
            <w:tcBorders>
              <w:top w:val="single" w:color="AFC3CC" w:sz="1"/>
              <w:left w:val="single" w:color="AFC3CC" w:sz="1"/>
              <w:bottom w:val="single" w:color="AFC3CC" w:sz="1"/>
              <w:right w:val="single" w:color="AFC3CC" w:sz="1"/>
            </w:tcBorders>
            <w:tcMar>
              <w:top w:type="dxa" w:w="80"/>
              <w:left w:type="dxa" w:w="120"/>
              <w:bottom w:type="dxa" w:w="80"/>
              <w:right w:type="dxa" w:w="120"/>
            </w:tcMar>
            <w:vAlign w:val="center"/>
          </w:tcPr>
          <w:p>
            <w:r>
              <w:rPr>
                <w:b w:val="false"/>
                <w:bCs w:val="false"/>
              </w:rPr>
              <w:t xml:space="preserve">5.0 MW</w:t>
            </w:r>
          </w:p>
        </w:tc>
      </w:tr>
      <w:tr>
        <w:tc>
          <w:tcPr>
            <w:tcW w:type="dxa" w:w="3600"/>
            <w:tcBorders>
              <w:top w:val="single" w:color="AFC3CC" w:sz="1"/>
              <w:left w:val="single" w:color="AFC3CC" w:sz="1"/>
              <w:bottom w:val="single" w:color="AFC3CC" w:sz="1"/>
              <w:right w:val="single" w:color="AFC3CC" w:sz="1"/>
            </w:tcBorders>
            <w:tcMar>
              <w:top w:type="dxa" w:w="80"/>
              <w:left w:type="dxa" w:w="120"/>
              <w:bottom w:type="dxa" w:w="80"/>
              <w:right w:type="dxa" w:w="120"/>
            </w:tcMar>
            <w:vAlign w:val="center"/>
          </w:tcPr>
          <w:p>
            <w:r>
              <w:rPr>
                <w:b w:val="false"/>
                <w:bCs w:val="false"/>
              </w:rPr>
              <w:t xml:space="preserve">Microgrid capacity</w:t>
            </w:r>
          </w:p>
        </w:tc>
        <w:tc>
          <w:tcPr>
            <w:tcW w:type="dxa" w:w="5760"/>
            <w:tcBorders>
              <w:top w:val="single" w:color="AFC3CC" w:sz="1"/>
              <w:left w:val="single" w:color="AFC3CC" w:sz="1"/>
              <w:bottom w:val="single" w:color="AFC3CC" w:sz="1"/>
              <w:right w:val="single" w:color="AFC3CC" w:sz="1"/>
            </w:tcBorders>
            <w:tcMar>
              <w:top w:type="dxa" w:w="80"/>
              <w:left w:type="dxa" w:w="120"/>
              <w:bottom w:type="dxa" w:w="80"/>
              <w:right w:type="dxa" w:w="120"/>
            </w:tcMar>
            <w:vAlign w:val="center"/>
          </w:tcPr>
          <w:p>
            <w:r>
              <w:rPr>
                <w:b w:val="false"/>
                <w:bCs w:val="false"/>
              </w:rPr>
              <w:t xml:space="preserve">10.0 MW on-site generation island, grid-interactive</w:t>
            </w:r>
          </w:p>
        </w:tc>
      </w:tr>
      <w:tr>
        <w:tc>
          <w:tcPr>
            <w:tcW w:type="dxa" w:w="3600"/>
            <w:tcBorders>
              <w:top w:val="single" w:color="AFC3CC" w:sz="1"/>
              <w:left w:val="single" w:color="AFC3CC" w:sz="1"/>
              <w:bottom w:val="single" w:color="AFC3CC" w:sz="1"/>
              <w:right w:val="single" w:color="AFC3CC" w:sz="1"/>
            </w:tcBorders>
            <w:tcMar>
              <w:top w:type="dxa" w:w="80"/>
              <w:left w:type="dxa" w:w="120"/>
              <w:bottom w:type="dxa" w:w="80"/>
              <w:right w:type="dxa" w:w="120"/>
            </w:tcMar>
            <w:vAlign w:val="center"/>
          </w:tcPr>
          <w:p>
            <w:r>
              <w:rPr>
                <w:b w:val="false"/>
                <w:bCs w:val="false"/>
              </w:rPr>
              <w:t xml:space="preserve">BESS function</w:t>
            </w:r>
          </w:p>
        </w:tc>
        <w:tc>
          <w:tcPr>
            <w:tcW w:type="dxa" w:w="5760"/>
            <w:tcBorders>
              <w:top w:val="single" w:color="AFC3CC" w:sz="1"/>
              <w:left w:val="single" w:color="AFC3CC" w:sz="1"/>
              <w:bottom w:val="single" w:color="AFC3CC" w:sz="1"/>
              <w:right w:val="single" w:color="AFC3CC" w:sz="1"/>
            </w:tcBorders>
            <w:tcMar>
              <w:top w:type="dxa" w:w="80"/>
              <w:left w:type="dxa" w:w="120"/>
              <w:bottom w:type="dxa" w:w="80"/>
              <w:right w:type="dxa" w:w="120"/>
            </w:tcMar>
            <w:vAlign w:val="center"/>
          </w:tcPr>
          <w:p>
            <w:r>
              <w:rPr>
                <w:b w:val="false"/>
                <w:bCs w:val="false"/>
              </w:rPr>
              <w:t xml:space="preserve">Power-oriented: load-step bridging, generator-start ride-through, controlled transfer. Not energy shifting.</w:t>
            </w:r>
          </w:p>
        </w:tc>
      </w:tr>
      <w:tr>
        <w:tc>
          <w:tcPr>
            <w:tcW w:type="dxa" w:w="3600"/>
            <w:tcBorders>
              <w:top w:val="single" w:color="AFC3CC" w:sz="1"/>
              <w:left w:val="single" w:color="AFC3CC" w:sz="1"/>
              <w:bottom w:val="single" w:color="AFC3CC" w:sz="1"/>
              <w:right w:val="single" w:color="AFC3CC" w:sz="1"/>
            </w:tcBorders>
            <w:tcMar>
              <w:top w:type="dxa" w:w="80"/>
              <w:left w:type="dxa" w:w="120"/>
              <w:bottom w:type="dxa" w:w="80"/>
              <w:right w:type="dxa" w:w="120"/>
            </w:tcMar>
            <w:vAlign w:val="center"/>
          </w:tcPr>
          <w:p>
            <w:r>
              <w:rPr>
                <w:b w:val="false"/>
                <w:bCs w:val="false"/>
              </w:rPr>
              <w:t xml:space="preserve">BESS rating</w:t>
            </w:r>
          </w:p>
        </w:tc>
        <w:tc>
          <w:tcPr>
            <w:tcW w:type="dxa" w:w="5760"/>
            <w:tcBorders>
              <w:top w:val="single" w:color="AFC3CC" w:sz="1"/>
              <w:left w:val="single" w:color="AFC3CC" w:sz="1"/>
              <w:bottom w:val="single" w:color="AFC3CC" w:sz="1"/>
              <w:right w:val="single" w:color="AFC3CC" w:sz="1"/>
            </w:tcBorders>
            <w:tcMar>
              <w:top w:type="dxa" w:w="80"/>
              <w:left w:type="dxa" w:w="120"/>
              <w:bottom w:type="dxa" w:w="80"/>
              <w:right w:type="dxa" w:w="120"/>
            </w:tcMar>
            <w:vAlign w:val="center"/>
          </w:tcPr>
          <w:p>
            <w:r>
              <w:rPr>
                <w:b w:val="false"/>
                <w:bCs w:val="false"/>
              </w:rPr>
              <w:t xml:space="preserve">6.0 MW PCS-side / 3.0 MWh usable (30 min at rated power, nominal)</w:t>
            </w:r>
          </w:p>
        </w:tc>
      </w:tr>
      <w:tr>
        <w:tc>
          <w:tcPr>
            <w:tcW w:type="dxa" w:w="3600"/>
            <w:tcBorders>
              <w:top w:val="single" w:color="AFC3CC" w:sz="1"/>
              <w:left w:val="single" w:color="AFC3CC" w:sz="1"/>
              <w:bottom w:val="single" w:color="AFC3CC" w:sz="1"/>
              <w:right w:val="single" w:color="AFC3CC" w:sz="1"/>
            </w:tcBorders>
            <w:tcMar>
              <w:top w:type="dxa" w:w="80"/>
              <w:left w:type="dxa" w:w="120"/>
              <w:bottom w:type="dxa" w:w="80"/>
              <w:right w:type="dxa" w:w="120"/>
            </w:tcMar>
            <w:vAlign w:val="center"/>
          </w:tcPr>
          <w:p>
            <w:r>
              <w:rPr>
                <w:b w:val="false"/>
                <w:bCs w:val="false"/>
              </w:rPr>
              <w:t xml:space="preserve">Worst-case coherent load step</w:t>
            </w:r>
          </w:p>
        </w:tc>
        <w:tc>
          <w:tcPr>
            <w:tcW w:type="dxa" w:w="5760"/>
            <w:tcBorders>
              <w:top w:val="single" w:color="AFC3CC" w:sz="1"/>
              <w:left w:val="single" w:color="AFC3CC" w:sz="1"/>
              <w:bottom w:val="single" w:color="AFC3CC" w:sz="1"/>
              <w:right w:val="single" w:color="AFC3CC" w:sz="1"/>
            </w:tcBorders>
            <w:tcMar>
              <w:top w:type="dxa" w:w="80"/>
              <w:left w:type="dxa" w:w="120"/>
              <w:bottom w:type="dxa" w:w="80"/>
              <w:right w:type="dxa" w:w="120"/>
            </w:tcMar>
            <w:vAlign w:val="center"/>
          </w:tcPr>
          <w:p>
            <w:r>
              <w:rPr>
                <w:b w:val="false"/>
                <w:bCs w:val="false"/>
              </w:rPr>
              <w:t xml:space="preserve">5.0 MW (full IT block); BESS rating = step × 1.20</w:t>
            </w:r>
          </w:p>
        </w:tc>
      </w:tr>
      <w:tr>
        <w:tc>
          <w:tcPr>
            <w:tcW w:type="dxa" w:w="3600"/>
            <w:tcBorders>
              <w:top w:val="single" w:color="AFC3CC" w:sz="1"/>
              <w:left w:val="single" w:color="AFC3CC" w:sz="1"/>
              <w:bottom w:val="single" w:color="AFC3CC" w:sz="1"/>
              <w:right w:val="single" w:color="AFC3CC" w:sz="1"/>
            </w:tcBorders>
            <w:tcMar>
              <w:top w:type="dxa" w:w="80"/>
              <w:left w:type="dxa" w:w="120"/>
              <w:bottom w:type="dxa" w:w="80"/>
              <w:right w:type="dxa" w:w="120"/>
            </w:tcMar>
            <w:vAlign w:val="center"/>
          </w:tcPr>
          <w:p>
            <w:r>
              <w:rPr>
                <w:b w:val="false"/>
                <w:bCs w:val="false"/>
              </w:rPr>
              <w:t xml:space="preserve">Electrical coupling</w:t>
            </w:r>
          </w:p>
        </w:tc>
        <w:tc>
          <w:tcPr>
            <w:tcW w:type="dxa" w:w="5760"/>
            <w:tcBorders>
              <w:top w:val="single" w:color="AFC3CC" w:sz="1"/>
              <w:left w:val="single" w:color="AFC3CC" w:sz="1"/>
              <w:bottom w:val="single" w:color="AFC3CC" w:sz="1"/>
              <w:right w:val="single" w:color="AFC3CC" w:sz="1"/>
            </w:tcBorders>
            <w:tcMar>
              <w:top w:type="dxa" w:w="80"/>
              <w:left w:type="dxa" w:w="120"/>
              <w:bottom w:type="dxa" w:w="80"/>
              <w:right w:type="dxa" w:w="120"/>
            </w:tcMar>
            <w:vAlign w:val="center"/>
          </w:tcPr>
          <w:p>
            <w:r>
              <w:rPr>
                <w:b w:val="false"/>
                <w:bCs w:val="false"/>
              </w:rPr>
              <w:t xml:space="preserve">DC-coupled to an 800 V-class common DC bus (PCS/DC-DC procured under separate Package 2; Bidder shall state battery-side DC voltage window)</w:t>
            </w:r>
          </w:p>
        </w:tc>
      </w:tr>
      <w:tr>
        <w:tc>
          <w:tcPr>
            <w:tcW w:type="dxa" w:w="3600"/>
            <w:tcBorders>
              <w:top w:val="single" w:color="AFC3CC" w:sz="1"/>
              <w:left w:val="single" w:color="AFC3CC" w:sz="1"/>
              <w:bottom w:val="single" w:color="AFC3CC" w:sz="1"/>
              <w:right w:val="single" w:color="AFC3CC" w:sz="1"/>
            </w:tcBorders>
            <w:tcMar>
              <w:top w:type="dxa" w:w="80"/>
              <w:left w:type="dxa" w:w="120"/>
              <w:bottom w:type="dxa" w:w="80"/>
              <w:right w:type="dxa" w:w="120"/>
            </w:tcMar>
            <w:vAlign w:val="center"/>
          </w:tcPr>
          <w:p>
            <w:r>
              <w:rPr>
                <w:b w:val="false"/>
                <w:bCs w:val="false"/>
              </w:rPr>
              <w:t xml:space="preserve">Fault domains</w:t>
            </w:r>
          </w:p>
        </w:tc>
        <w:tc>
          <w:tcPr>
            <w:tcW w:type="dxa" w:w="5760"/>
            <w:tcBorders>
              <w:top w:val="single" w:color="AFC3CC" w:sz="1"/>
              <w:left w:val="single" w:color="AFC3CC" w:sz="1"/>
              <w:bottom w:val="single" w:color="AFC3CC" w:sz="1"/>
              <w:right w:val="single" w:color="AFC3CC" w:sz="1"/>
            </w:tcBorders>
            <w:tcMar>
              <w:top w:type="dxa" w:w="80"/>
              <w:left w:type="dxa" w:w="120"/>
              <w:bottom w:type="dxa" w:w="80"/>
              <w:right w:type="dxa" w:w="120"/>
            </w:tcMar>
            <w:vAlign w:val="center"/>
          </w:tcPr>
          <w:p>
            <w:r>
              <w:rPr>
                <w:b w:val="false"/>
                <w:bCs w:val="false"/>
              </w:rPr>
              <w:t xml:space="preserve">Minimum two independent battery/PCS groups (BOD D-04)</w:t>
            </w:r>
          </w:p>
        </w:tc>
      </w:tr>
      <w:tr>
        <w:tc>
          <w:tcPr>
            <w:tcW w:type="dxa" w:w="3600"/>
            <w:tcBorders>
              <w:top w:val="single" w:color="AFC3CC" w:sz="1"/>
              <w:left w:val="single" w:color="AFC3CC" w:sz="1"/>
              <w:bottom w:val="single" w:color="AFC3CC" w:sz="1"/>
              <w:right w:val="single" w:color="AFC3CC" w:sz="1"/>
            </w:tcBorders>
            <w:tcMar>
              <w:top w:type="dxa" w:w="80"/>
              <w:left w:type="dxa" w:w="120"/>
              <w:bottom w:type="dxa" w:w="80"/>
              <w:right w:type="dxa" w:w="120"/>
            </w:tcMar>
            <w:vAlign w:val="center"/>
          </w:tcPr>
          <w:p>
            <w:r>
              <w:rPr>
                <w:b w:val="false"/>
                <w:bCs w:val="false"/>
              </w:rPr>
              <w:t xml:space="preserve">Deployment</w:t>
            </w:r>
          </w:p>
        </w:tc>
        <w:tc>
          <w:tcPr>
            <w:tcW w:type="dxa" w:w="5760"/>
            <w:tcBorders>
              <w:top w:val="single" w:color="AFC3CC" w:sz="1"/>
              <w:left w:val="single" w:color="AFC3CC" w:sz="1"/>
              <w:bottom w:val="single" w:color="AFC3CC" w:sz="1"/>
              <w:right w:val="single" w:color="AFC3CC" w:sz="1"/>
            </w:tcBorders>
            <w:tcMar>
              <w:top w:type="dxa" w:w="80"/>
              <w:left w:type="dxa" w:w="120"/>
              <w:bottom w:type="dxa" w:w="80"/>
              <w:right w:type="dxa" w:w="120"/>
            </w:tcMar>
            <w:vAlign w:val="center"/>
          </w:tcPr>
          <w:p>
            <w:r>
              <w:rPr>
                <w:b w:val="false"/>
                <w:bCs w:val="false"/>
              </w:rPr>
              <w:t xml:space="preserve">Outdoor containerized, dedicated yard; unoccupiable enclosures (BOD D-03)</w:t>
            </w:r>
          </w:p>
        </w:tc>
      </w:tr>
      <w:tr>
        <w:tc>
          <w:tcPr>
            <w:tcW w:type="dxa" w:w="3600"/>
            <w:tcBorders>
              <w:top w:val="single" w:color="AFC3CC" w:sz="1"/>
              <w:left w:val="single" w:color="AFC3CC" w:sz="1"/>
              <w:bottom w:val="single" w:color="AFC3CC" w:sz="1"/>
              <w:right w:val="single" w:color="AFC3CC" w:sz="1"/>
            </w:tcBorders>
            <w:tcMar>
              <w:top w:type="dxa" w:w="80"/>
              <w:left w:type="dxa" w:w="120"/>
              <w:bottom w:type="dxa" w:w="80"/>
              <w:right w:type="dxa" w:w="120"/>
            </w:tcMar>
            <w:vAlign w:val="center"/>
          </w:tcPr>
          <w:p>
            <w:r>
              <w:rPr>
                <w:b w:val="false"/>
                <w:bCs w:val="false"/>
              </w:rPr>
              <w:t xml:space="preserve">Site</w:t>
            </w:r>
          </w:p>
        </w:tc>
        <w:tc>
          <w:tcPr>
            <w:tcW w:type="dxa" w:w="5760"/>
            <w:tcBorders>
              <w:top w:val="single" w:color="AFC3CC" w:sz="1"/>
              <w:left w:val="single" w:color="AFC3CC" w:sz="1"/>
              <w:bottom w:val="single" w:color="AFC3CC" w:sz="1"/>
              <w:right w:val="single" w:color="AFC3CC" w:sz="1"/>
            </w:tcBorders>
            <w:tcMar>
              <w:top w:type="dxa" w:w="80"/>
              <w:left w:type="dxa" w:w="120"/>
              <w:bottom w:type="dxa" w:w="80"/>
              <w:right w:type="dxa" w:w="120"/>
            </w:tcMar>
            <w:vAlign w:val="center"/>
          </w:tcPr>
          <w:p>
            <w:r>
              <w:rPr>
                <w:b w:val="false"/>
                <w:bCs w:val="false"/>
              </w:rPr>
              <w:t xml:space="preserve">US Gulf Coast region. Site-specific data sheet (wind, seismic, flood, ambient design temperatures, geotechnical) issued as RFQ Attachment A upon execution of NDA.</w:t>
            </w:r>
          </w:p>
        </w:tc>
      </w:tr>
    </w:tbl>
    <w:p>
      <w:r>
        <w:br w:type="page"/>
      </w:r>
    </w:p>
    <w:p>
      <w:pPr>
        <w:pStyle w:val="Heading1"/>
      </w:pPr>
      <w:r>
        <w:t xml:space="preserve">§2 Scope of Supply</w:t>
      </w:r>
    </w:p>
    <w:p>
      <w:pPr>
        <w:pStyle w:val="Heading2"/>
      </w:pPr>
      <w:r>
        <w:t xml:space="preserve">§2.1 Included in Bidder Scope</w:t>
      </w:r>
    </w:p>
    <w:p>
      <w:pPr>
        <w:pStyle w:val="ListParagraph"/>
        <w:numPr>
          <w:ilvl w:val="0"/>
          <w:numId w:val="2"/>
        </w:numPr>
        <w:spacing w:after="100"/>
      </w:pPr>
      <w:r>
        <w:t xml:space="preserve">LFP battery containers, modules, racks, and cells, delivering 3.0 MWh usable at beginning of life under the duty cycle of §3.2, partitioned into ≥2 fault domains.</w:t>
      </w:r>
    </w:p>
    <w:p>
      <w:pPr>
        <w:pStyle w:val="ListParagraph"/>
        <w:numPr>
          <w:ilvl w:val="0"/>
          <w:numId w:val="2"/>
        </w:numPr>
        <w:spacing w:after="100"/>
      </w:pPr>
      <w:r>
        <w:t xml:space="preserve">Battery Management System with all monitoring, protection, and control hardware/firmware, including external communications interface per §3.5.</w:t>
      </w:r>
    </w:p>
    <w:p>
      <w:pPr>
        <w:pStyle w:val="ListParagraph"/>
        <w:numPr>
          <w:ilvl w:val="0"/>
          <w:numId w:val="2"/>
        </w:numPr>
        <w:spacing w:after="100"/>
      </w:pPr>
      <w:r>
        <w:t xml:space="preserve">Integrated thermal management (HVAC or liquid cooling). If liquid-cooled: coolant leak detection is mandatory in scope (BOD P-1).</w:t>
      </w:r>
    </w:p>
    <w:p>
      <w:pPr>
        <w:pStyle w:val="ListParagraph"/>
        <w:numPr>
          <w:ilvl w:val="0"/>
          <w:numId w:val="2"/>
        </w:numPr>
        <w:spacing w:after="100"/>
      </w:pPr>
      <w:r>
        <w:t xml:space="preserve">All detection and explosion-control equipment within the UL 9540 listing boundary: off-gas/VOC detection, hydrogen detection, smoke/heat detection, deflagration vent panels, and emergency ventilation as applicable to the listed design.</w:t>
      </w:r>
    </w:p>
    <w:p>
      <w:pPr>
        <w:pStyle w:val="ListParagraph"/>
        <w:numPr>
          <w:ilvl w:val="0"/>
          <w:numId w:val="2"/>
        </w:numPr>
        <w:spacing w:after="100"/>
      </w:pPr>
      <w:r>
        <w:t xml:space="preserve">Automatic electrical isolation implementing both BOD early-intervention approaches: EI-1 (cell temperature, majority of cells per module monitored, manufacturer abuse threshold at 100% SOC) and EI-2 (FM Approved off-gas detection).</w:t>
      </w:r>
    </w:p>
    <w:p>
      <w:pPr>
        <w:pStyle w:val="ListParagraph"/>
        <w:numPr>
          <w:ilvl w:val="0"/>
          <w:numId w:val="2"/>
        </w:numPr>
        <w:spacing w:after="100"/>
      </w:pPr>
      <w:r>
        <w:t xml:space="preserve">Container-mounted DC disconnect/isolation devices and battery-side protection coordinated with Package 2 PCS.</w:t>
      </w:r>
    </w:p>
    <w:p>
      <w:pPr>
        <w:pStyle w:val="ListParagraph"/>
        <w:numPr>
          <w:ilvl w:val="0"/>
          <w:numId w:val="2"/>
        </w:numPr>
        <w:spacing w:after="100"/>
      </w:pPr>
      <w:r>
        <w:t xml:space="preserve">Anchoring design and foundation loading data; lifting/rigging plan; delivery to site.</w:t>
      </w:r>
    </w:p>
    <w:p>
      <w:pPr>
        <w:pStyle w:val="ListParagraph"/>
        <w:numPr>
          <w:ilvl w:val="0"/>
          <w:numId w:val="2"/>
        </w:numPr>
        <w:spacing w:after="100"/>
      </w:pPr>
      <w:r>
        <w:t xml:space="preserve">Commissioning, site acceptance testing, and operator training.</w:t>
      </w:r>
    </w:p>
    <w:p>
      <w:pPr>
        <w:pStyle w:val="ListParagraph"/>
        <w:numPr>
          <w:ilvl w:val="0"/>
          <w:numId w:val="2"/>
        </w:numPr>
        <w:spacing w:after="100"/>
      </w:pPr>
      <w:r>
        <w:t xml:space="preserve">Complete engineering data package for AHJ permitting per §4.</w:t>
      </w:r>
    </w:p>
    <w:p>
      <w:pPr>
        <w:pStyle w:val="Heading2"/>
      </w:pPr>
      <w:r>
        <w:t xml:space="preserve">§2.2 Excluded from Bidder Scope (by Others)</w:t>
      </w:r>
    </w:p>
    <w:p>
      <w:pPr>
        <w:pStyle w:val="ListParagraph"/>
        <w:numPr>
          <w:ilvl w:val="0"/>
          <w:numId w:val="2"/>
        </w:numPr>
        <w:spacing w:after="100"/>
      </w:pPr>
      <w:r>
        <w:t xml:space="preserve">PCS / DC-DC conversion (Package 2); supercapacitors (Package 3); yard-level detection head-end, thermal imaging, and constantly-attended-location alarm integration (Package 4); yard-level emergency exhaust outside the listing boundary (Package 5).</w:t>
      </w:r>
    </w:p>
    <w:p>
      <w:pPr>
        <w:pStyle w:val="ListParagraph"/>
        <w:numPr>
          <w:ilvl w:val="0"/>
          <w:numId w:val="2"/>
        </w:numPr>
        <w:spacing w:after="100"/>
      </w:pPr>
      <w:r>
        <w:t xml:space="preserve">Foundations, civil works, MV interconnection, and the site EMS. Bidder provides interface data for each.</w:t>
      </w:r>
    </w:p>
    <w:p>
      <w:pPr>
        <w:pStyle w:val="Heading2"/>
      </w:pPr>
      <w:r>
        <w:t xml:space="preserve">§2.3 Options to be Priced Separately</w:t>
      </w:r>
    </w:p>
    <w:p>
      <w:pPr>
        <w:pStyle w:val="ListParagraph"/>
        <w:numPr>
          <w:ilvl w:val="0"/>
          <w:numId w:val="3"/>
        </w:numPr>
        <w:spacing w:after="100"/>
      </w:pPr>
      <w:r>
        <w:t xml:space="preserve">Long-term service agreement (LTSA), 10- and 20-year terms, including capacity maintenance schedule.</w:t>
      </w:r>
    </w:p>
    <w:p>
      <w:pPr>
        <w:pStyle w:val="ListParagraph"/>
        <w:numPr>
          <w:ilvl w:val="0"/>
          <w:numId w:val="3"/>
        </w:numPr>
        <w:spacing w:after="100"/>
      </w:pPr>
      <w:r>
        <w:t xml:space="preserve">Extended capacity warranty / augmentation plan to sustain 3.0 MWh usable for 20 years.</w:t>
      </w:r>
    </w:p>
    <w:p>
      <w:pPr>
        <w:pStyle w:val="ListParagraph"/>
        <w:numPr>
          <w:ilvl w:val="0"/>
          <w:numId w:val="3"/>
        </w:numPr>
        <w:spacing w:after="100"/>
      </w:pPr>
      <w:r>
        <w:t xml:space="preserve">Installation-level UL 9540A test program (if not already complete) to support reduced inter-container spacing per BOD SEP-1 / E-3.</w:t>
      </w:r>
    </w:p>
    <w:p>
      <w:pPr>
        <w:pStyle w:val="ListParagraph"/>
        <w:numPr>
          <w:ilvl w:val="0"/>
          <w:numId w:val="3"/>
        </w:numPr>
        <w:spacing w:after="100"/>
      </w:pPr>
      <w:r>
        <w:t xml:space="preserve">Spare parts package: modules, BMS boards, sensors, vent panels.</w:t>
      </w:r>
    </w:p>
    <w:p>
      <w:r>
        <w:br w:type="page"/>
      </w:r>
    </w:p>
    <w:p>
      <w:pPr>
        <w:pStyle w:val="Heading1"/>
      </w:pPr>
      <w:r>
        <w:t xml:space="preserve">§3 Technical Requirements</w:t>
      </w:r>
    </w:p>
    <w:p>
      <w:pPr>
        <w:pStyle w:val="Heading2"/>
      </w:pPr>
      <w:r>
        <w:t xml:space="preserve">§3.1 Chemistry and Architecture</w:t>
      </w:r>
    </w:p>
    <w:p>
      <w:pPr>
        <w:pStyle w:val="ListParagraph"/>
        <w:numPr>
          <w:ilvl w:val="0"/>
          <w:numId w:val="2"/>
        </w:numPr>
        <w:spacing w:after="100"/>
      </w:pPr>
      <w:r>
        <w:t xml:space="preserve">Cell chemistry: lithium iron phosphate (LFP) only (BOD D-02). State cell manufacturer, factory location, and form factor. Identify domestic (US) content percentage at cell, module, and system level for ITC domestic-content evaluation.</w:t>
      </w:r>
    </w:p>
    <w:p>
      <w:pPr>
        <w:pStyle w:val="ListParagraph"/>
        <w:numPr>
          <w:ilvl w:val="0"/>
          <w:numId w:val="2"/>
        </w:numPr>
        <w:spacing w:after="100"/>
      </w:pPr>
      <w:r>
        <w:t xml:space="preserve">DC-coupled architecture (BOD §2): state battery-side DC voltage window, permissible ripple, and any constraints on external DC-DC converter selection.</w:t>
      </w:r>
    </w:p>
    <w:p>
      <w:pPr>
        <w:pStyle w:val="ListParagraph"/>
        <w:numPr>
          <w:ilvl w:val="0"/>
          <w:numId w:val="2"/>
        </w:numPr>
        <w:spacing w:after="100"/>
      </w:pPr>
      <w:r>
        <w:t xml:space="preserve">Minimum two fully independent fault domains (BOD D-04): independent BMS, isolation, and detection per domain. Bidder shall propose domain split (e.g., 2 × 3 MW / 1.5 MWh) with rationale; this informs Buyer decision E-1.</w:t>
      </w:r>
    </w:p>
    <w:p>
      <w:pPr>
        <w:pStyle w:val="Heading2"/>
      </w:pPr>
      <w:r>
        <w:t xml:space="preserve">§3.2 Duty Cycle and Performance</w:t>
      </w:r>
    </w:p>
    <w:p>
      <w:pPr>
        <w:pStyle w:val="ListParagraph"/>
        <w:numPr>
          <w:ilvl w:val="0"/>
          <w:numId w:val="2"/>
        </w:numPr>
        <w:spacing w:after="100"/>
      </w:pPr>
      <w:r>
        <w:t xml:space="preserve">Rated discharge: 6.0 MW for 30 minutes (3.0 MWh usable), beginning of life, at site design ambient.</w:t>
      </w:r>
    </w:p>
    <w:p>
      <w:pPr>
        <w:pStyle w:val="ListParagraph"/>
        <w:numPr>
          <w:ilvl w:val="0"/>
          <w:numId w:val="2"/>
        </w:numPr>
        <w:spacing w:after="100"/>
      </w:pPr>
      <w:r>
        <w:t xml:space="preserve">Step response: support a 0-to-6.0 MW discharge step; state response time from dispatch signal to rated power.</w:t>
      </w:r>
    </w:p>
    <w:p>
      <w:pPr>
        <w:pStyle w:val="ListParagraph"/>
        <w:numPr>
          <w:ilvl w:val="0"/>
          <w:numId w:val="2"/>
        </w:numPr>
        <w:spacing w:after="100"/>
      </w:pPr>
      <w:r>
        <w:t xml:space="preserve">Cycling: approximately 50–150 equivalent full cycles per year (bridging/transfer duty). State calendar and cycle degradation curves and end-of-life capacity at years 10, 15, 20.</w:t>
      </w:r>
    </w:p>
    <w:p>
      <w:pPr>
        <w:pStyle w:val="ListParagraph"/>
        <w:numPr>
          <w:ilvl w:val="0"/>
          <w:numId w:val="2"/>
        </w:numPr>
        <w:spacing w:after="100"/>
      </w:pPr>
      <w:r>
        <w:t xml:space="preserve">Recharge: capability up to 6.0 MW, externally rate-limited by site EMS per BOD CE-1/CE-2. State minimum and maximum recharge rates and any SOC-dependent limits.</w:t>
      </w:r>
    </w:p>
    <w:p>
      <w:pPr>
        <w:pStyle w:val="ListParagraph"/>
        <w:numPr>
          <w:ilvl w:val="0"/>
          <w:numId w:val="2"/>
        </w:numPr>
        <w:spacing w:after="100"/>
      </w:pPr>
      <w:r>
        <w:t xml:space="preserve">Round-trip efficiency at the DC terminals: state at 25°C and at site design ambient.</w:t>
      </w:r>
    </w:p>
    <w:p>
      <w:pPr>
        <w:pStyle w:val="ListParagraph"/>
        <w:numPr>
          <w:ilvl w:val="0"/>
          <w:numId w:val="2"/>
        </w:numPr>
        <w:spacing w:after="100"/>
      </w:pPr>
      <w:r>
        <w:t xml:space="preserve">Standby/auxiliary load: state HVAC and auxiliary consumption at site design conditions (feeds Buyer microgrid load model).</w:t>
      </w:r>
    </w:p>
    <w:p>
      <w:pPr>
        <w:pStyle w:val="Heading2"/>
      </w:pPr>
      <w:r>
        <w:t xml:space="preserve">§3.3 Environmental and Site</w:t>
      </w:r>
    </w:p>
    <w:p>
      <w:pPr>
        <w:pStyle w:val="ListParagraph"/>
        <w:numPr>
          <w:ilvl w:val="0"/>
          <w:numId w:val="2"/>
        </w:numPr>
        <w:spacing w:after="100"/>
      </w:pPr>
      <w:r>
        <w:t xml:space="preserve">Outdoor rating for US Gulf Coast service: high ambient temperature and humidity, wind-borne debris regions, and corrosive coastal atmosphere. State enclosure ratings (NEMA/IP), wind design basis, and corrosion protection system.</w:t>
      </w:r>
    </w:p>
    <w:p>
      <w:pPr>
        <w:pStyle w:val="ListParagraph"/>
        <w:numPr>
          <w:ilvl w:val="0"/>
          <w:numId w:val="2"/>
        </w:numPr>
        <w:spacing w:after="100"/>
      </w:pPr>
      <w:r>
        <w:t xml:space="preserve">Container mass and footprint with foundation loading diagram (BOD C-1 input); anchoring specification per manufacturer (BOD §4.3).</w:t>
      </w:r>
    </w:p>
    <w:p>
      <w:pPr>
        <w:pStyle w:val="ListParagraph"/>
        <w:numPr>
          <w:ilvl w:val="0"/>
          <w:numId w:val="2"/>
        </w:numPr>
        <w:spacing w:after="100"/>
      </w:pPr>
      <w:r>
        <w:t xml:space="preserve">Flood/elevation constraints to be confirmed against Attachment A; state minimum mounting elevation requirements.</w:t>
      </w:r>
    </w:p>
    <w:p>
      <w:pPr>
        <w:pStyle w:val="Heading2"/>
      </w:pPr>
      <w:r>
        <w:t xml:space="preserve">§3.4 Safety Systems (within listing boundary)</w:t>
      </w:r>
    </w:p>
    <w:p>
      <w:pPr>
        <w:pStyle w:val="ListParagraph"/>
        <w:numPr>
          <w:ilvl w:val="0"/>
          <w:numId w:val="2"/>
        </w:numPr>
        <w:spacing w:after="100"/>
      </w:pPr>
      <w:r>
        <w:t xml:space="preserve">Off-gas/VOC detection: FM Approved devices; identify make/model and approval listing (BOD EI-2).</w:t>
      </w:r>
    </w:p>
    <w:p>
      <w:pPr>
        <w:pStyle w:val="ListParagraph"/>
        <w:numPr>
          <w:ilvl w:val="0"/>
          <w:numId w:val="2"/>
        </w:numPr>
        <w:spacing w:after="100"/>
      </w:pPr>
      <w:r>
        <w:t xml:space="preserve">Hydrogen detection supporting emergency-ventilation activation at ≤10% LFL (BOD §6.3); identify make/model and listing (UL 2075 or equivalent).</w:t>
      </w:r>
    </w:p>
    <w:p>
      <w:pPr>
        <w:pStyle w:val="ListParagraph"/>
        <w:numPr>
          <w:ilvl w:val="0"/>
          <w:numId w:val="2"/>
        </w:numPr>
        <w:spacing w:after="100"/>
      </w:pPr>
      <w:r>
        <w:t xml:space="preserve">Deflagration venting per NFPA 68 and/or combustible concentration reduction per NFPA 69 (BOD F-2): state which approach(es) the listed design uses, with sizing basis and the UL 9540A gas-generation data supporting it.</w:t>
      </w:r>
    </w:p>
    <w:p>
      <w:pPr>
        <w:pStyle w:val="ListParagraph"/>
        <w:numPr>
          <w:ilvl w:val="0"/>
          <w:numId w:val="2"/>
        </w:numPr>
        <w:spacing w:after="100"/>
      </w:pPr>
      <w:r>
        <w:t xml:space="preserve">No clean agent suppression within the BESS envelope (BOD FP-1). No integrated water suppression expected for unoccupiable outdoor containers (BOD D-06); state the listed design’s suppression approach if any.</w:t>
      </w:r>
    </w:p>
    <w:p>
      <w:pPr>
        <w:pStyle w:val="ListParagraph"/>
        <w:numPr>
          <w:ilvl w:val="0"/>
          <w:numId w:val="2"/>
        </w:numPr>
        <w:spacing w:after="100"/>
      </w:pPr>
      <w:r>
        <w:t xml:space="preserve">Thermal runaway non-propagation: state demonstrated behavior at cell, module, unit, and (if tested) installation level.</w:t>
      </w:r>
    </w:p>
    <w:p>
      <w:pPr>
        <w:pStyle w:val="Heading2"/>
      </w:pPr>
      <w:r>
        <w:t xml:space="preserve">§3.5 Controls and Telemetry Interface</w:t>
      </w:r>
    </w:p>
    <w:p>
      <w:pPr>
        <w:pStyle w:val="ListParagraph"/>
        <w:numPr>
          <w:ilvl w:val="0"/>
          <w:numId w:val="2"/>
        </w:numPr>
        <w:spacing w:after="100"/>
      </w:pPr>
      <w:r>
        <w:t xml:space="preserve">BMS external interface: Modbus TCP required; IEC 61850 capability shall be stated (supported / roadmap / not supported) as input to Buyer decision T-2.</w:t>
      </w:r>
    </w:p>
    <w:p>
      <w:pPr>
        <w:pStyle w:val="ListParagraph"/>
        <w:numPr>
          <w:ilvl w:val="0"/>
          <w:numId w:val="2"/>
        </w:numPr>
        <w:spacing w:after="100"/>
      </w:pPr>
      <w:r>
        <w:t xml:space="preserve">Point list: all safety-instrumented points (cell/module temperatures, off-gas, H₂, isolation status, fan status, door/intrusion) available to the site telemetry system, including a read-only subset suitable for first-responder display (BOD §6.6, NFPA 855 Annex G).</w:t>
      </w:r>
    </w:p>
    <w:p>
      <w:pPr>
        <w:pStyle w:val="ListParagraph"/>
        <w:numPr>
          <w:ilvl w:val="0"/>
          <w:numId w:val="2"/>
        </w:numPr>
        <w:spacing w:after="100"/>
      </w:pPr>
      <w:r>
        <w:t xml:space="preserve">All critical safety subsystems powered from an external emergency source provided by Buyer (BOD BP-1/BP-2); state auxiliary power requirements (voltage, load, redundancy) for 24–48 h event-mode operation.</w:t>
      </w:r>
    </w:p>
    <w:p>
      <w:r>
        <w:br w:type="page"/>
      </w:r>
    </w:p>
    <w:p>
      <w:pPr>
        <w:pStyle w:val="Heading1"/>
      </w:pPr>
      <w:r>
        <w:t xml:space="preserve">§4 Compliance and Certification Requirements (Gates)</w:t>
      </w:r>
    </w:p>
    <w:p>
      <w:pPr>
        <w:spacing w:after="160"/>
      </w:pPr>
      <w:r>
        <w:t xml:space="preserve">The following are pass/fail bid requirements keyed to BOD §7. Bids that cannot satisfy G-2 at submission will be set aside unpriced (BOD PS-2).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5260"/>
        <w:gridCol w:w="2800"/>
      </w:tblGrid>
      <w:tr>
        <w:trPr>
          <w:tblHeader/>
        </w:trPr>
        <w:tc>
          <w:tcPr>
            <w:tcW w:type="dxa" w:w="1300"/>
            <w:tcBorders>
              <w:top w:val="single" w:color="AFC3CC" w:sz="1"/>
              <w:left w:val="single" w:color="AFC3CC" w:sz="1"/>
              <w:bottom w:val="single" w:color="AFC3CC" w:sz="1"/>
              <w:right w:val="single" w:color="AFC3CC" w:sz="1"/>
            </w:tcBorders>
            <w:shd w:fill="DDE7EC" w:val="clear"/>
            <w:tcMar>
              <w:top w:type="dxa" w:w="80"/>
              <w:left w:type="dxa" w:w="120"/>
              <w:bottom w:type="dxa" w:w="80"/>
              <w:right w:type="dxa" w:w="120"/>
            </w:tcMar>
            <w:vAlign w:val="center"/>
          </w:tcPr>
          <w:p>
            <w:r>
              <w:rPr>
                <w:b/>
                <w:bCs/>
              </w:rPr>
              <w:t xml:space="preserve">Gate</w:t>
            </w:r>
          </w:p>
        </w:tc>
        <w:tc>
          <w:tcPr>
            <w:tcW w:type="dxa" w:w="5260"/>
            <w:tcBorders>
              <w:top w:val="single" w:color="AFC3CC" w:sz="1"/>
              <w:left w:val="single" w:color="AFC3CC" w:sz="1"/>
              <w:bottom w:val="single" w:color="AFC3CC" w:sz="1"/>
              <w:right w:val="single" w:color="AFC3CC" w:sz="1"/>
            </w:tcBorders>
            <w:shd w:fill="DDE7EC" w:val="clear"/>
            <w:tcMar>
              <w:top w:type="dxa" w:w="80"/>
              <w:left w:type="dxa" w:w="120"/>
              <w:bottom w:type="dxa" w:w="80"/>
              <w:right w:type="dxa" w:w="120"/>
            </w:tcMar>
            <w:vAlign w:val="center"/>
          </w:tcPr>
          <w:p>
            <w:r>
              <w:rPr>
                <w:b/>
                <w:bCs/>
              </w:rPr>
              <w:t xml:space="preserve">Requirement</w:t>
            </w:r>
          </w:p>
        </w:tc>
        <w:tc>
          <w:tcPr>
            <w:tcW w:type="dxa" w:w="2800"/>
            <w:tcBorders>
              <w:top w:val="single" w:color="AFC3CC" w:sz="1"/>
              <w:left w:val="single" w:color="AFC3CC" w:sz="1"/>
              <w:bottom w:val="single" w:color="AFC3CC" w:sz="1"/>
              <w:right w:val="single" w:color="AFC3CC" w:sz="1"/>
            </w:tcBorders>
            <w:shd w:fill="DDE7EC" w:val="clear"/>
            <w:tcMar>
              <w:top w:type="dxa" w:w="80"/>
              <w:left w:type="dxa" w:w="120"/>
              <w:bottom w:type="dxa" w:w="80"/>
              <w:right w:type="dxa" w:w="120"/>
            </w:tcMar>
            <w:vAlign w:val="center"/>
          </w:tcPr>
          <w:p>
            <w:r>
              <w:rPr>
                <w:b/>
                <w:bCs/>
              </w:rPr>
              <w:t xml:space="preserve">Bid Evidence</w:t>
            </w:r>
          </w:p>
        </w:tc>
      </w:tr>
      <w:tr>
        <w:tc>
          <w:tcPr>
            <w:tcW w:type="dxa" w:w="1300"/>
            <w:tcBorders>
              <w:top w:val="single" w:color="AFC3CC" w:sz="1"/>
              <w:left w:val="single" w:color="AFC3CC" w:sz="1"/>
              <w:bottom w:val="single" w:color="AFC3CC" w:sz="1"/>
              <w:right w:val="single" w:color="AFC3CC" w:sz="1"/>
            </w:tcBorders>
            <w:tcMar>
              <w:top w:type="dxa" w:w="80"/>
              <w:left w:type="dxa" w:w="120"/>
              <w:bottom w:type="dxa" w:w="80"/>
              <w:right w:type="dxa" w:w="120"/>
            </w:tcMar>
            <w:vAlign w:val="center"/>
          </w:tcPr>
          <w:p>
            <w:r>
              <w:rPr>
                <w:b w:val="false"/>
                <w:bCs w:val="false"/>
              </w:rPr>
              <w:t xml:space="preserve">G-1</w:t>
            </w:r>
          </w:p>
        </w:tc>
        <w:tc>
          <w:tcPr>
            <w:tcW w:type="dxa" w:w="5260"/>
            <w:tcBorders>
              <w:top w:val="single" w:color="AFC3CC" w:sz="1"/>
              <w:left w:val="single" w:color="AFC3CC" w:sz="1"/>
              <w:bottom w:val="single" w:color="AFC3CC" w:sz="1"/>
              <w:right w:val="single" w:color="AFC3CC" w:sz="1"/>
            </w:tcBorders>
            <w:tcMar>
              <w:top w:type="dxa" w:w="80"/>
              <w:left w:type="dxa" w:w="120"/>
              <w:bottom w:type="dxa" w:w="80"/>
              <w:right w:type="dxa" w:w="120"/>
            </w:tcMar>
            <w:vAlign w:val="center"/>
          </w:tcPr>
          <w:p>
            <w:r>
              <w:rPr>
                <w:b w:val="false"/>
                <w:bCs w:val="false"/>
              </w:rPr>
              <w:t xml:space="preserve">System listed to ANSI/CAN/UL 9540 by an NRTL</w:t>
            </w:r>
          </w:p>
        </w:tc>
        <w:tc>
          <w:tcPr>
            <w:tcW w:type="dxa" w:w="2800"/>
            <w:tcBorders>
              <w:top w:val="single" w:color="AFC3CC" w:sz="1"/>
              <w:left w:val="single" w:color="AFC3CC" w:sz="1"/>
              <w:bottom w:val="single" w:color="AFC3CC" w:sz="1"/>
              <w:right w:val="single" w:color="AFC3CC" w:sz="1"/>
            </w:tcBorders>
            <w:tcMar>
              <w:top w:type="dxa" w:w="80"/>
              <w:left w:type="dxa" w:w="120"/>
              <w:bottom w:type="dxa" w:w="80"/>
              <w:right w:type="dxa" w:w="120"/>
            </w:tcMar>
            <w:vAlign w:val="center"/>
          </w:tcPr>
          <w:p>
            <w:r>
              <w:rPr>
                <w:b w:val="false"/>
                <w:bCs w:val="false"/>
              </w:rPr>
              <w:t xml:space="preserve">Listing certificate; permission to release test data and calculations to the AHJ</w:t>
            </w:r>
          </w:p>
        </w:tc>
      </w:tr>
      <w:tr>
        <w:tc>
          <w:tcPr>
            <w:tcW w:type="dxa" w:w="1300"/>
            <w:tcBorders>
              <w:top w:val="single" w:color="AFC3CC" w:sz="1"/>
              <w:left w:val="single" w:color="AFC3CC" w:sz="1"/>
              <w:bottom w:val="single" w:color="AFC3CC" w:sz="1"/>
              <w:right w:val="single" w:color="AFC3CC" w:sz="1"/>
            </w:tcBorders>
            <w:tcMar>
              <w:top w:type="dxa" w:w="80"/>
              <w:left w:type="dxa" w:w="120"/>
              <w:bottom w:type="dxa" w:w="80"/>
              <w:right w:type="dxa" w:w="120"/>
            </w:tcMar>
            <w:vAlign w:val="center"/>
          </w:tcPr>
          <w:p>
            <w:r>
              <w:rPr>
                <w:b w:val="false"/>
                <w:bCs w:val="false"/>
              </w:rPr>
              <w:t xml:space="preserve">G-2</w:t>
            </w:r>
          </w:p>
        </w:tc>
        <w:tc>
          <w:tcPr>
            <w:tcW w:type="dxa" w:w="5260"/>
            <w:tcBorders>
              <w:top w:val="single" w:color="AFC3CC" w:sz="1"/>
              <w:left w:val="single" w:color="AFC3CC" w:sz="1"/>
              <w:bottom w:val="single" w:color="AFC3CC" w:sz="1"/>
              <w:right w:val="single" w:color="AFC3CC" w:sz="1"/>
            </w:tcBorders>
            <w:tcMar>
              <w:top w:type="dxa" w:w="80"/>
              <w:left w:type="dxa" w:w="120"/>
              <w:bottom w:type="dxa" w:w="80"/>
              <w:right w:type="dxa" w:w="120"/>
            </w:tcMar>
            <w:vAlign w:val="center"/>
          </w:tcPr>
          <w:p>
            <w:r>
              <w:rPr>
                <w:b w:val="false"/>
                <w:bCs w:val="false"/>
              </w:rPr>
              <w:t xml:space="preserve">Large-Scale Fire Test completed: UL 9540A 5th Ed. (2025) or CSA/ANSI C800:25</w:t>
            </w:r>
          </w:p>
        </w:tc>
        <w:tc>
          <w:tcPr>
            <w:tcW w:type="dxa" w:w="2800"/>
            <w:tcBorders>
              <w:top w:val="single" w:color="AFC3CC" w:sz="1"/>
              <w:left w:val="single" w:color="AFC3CC" w:sz="1"/>
              <w:bottom w:val="single" w:color="AFC3CC" w:sz="1"/>
              <w:right w:val="single" w:color="AFC3CC" w:sz="1"/>
            </w:tcBorders>
            <w:tcMar>
              <w:top w:type="dxa" w:w="80"/>
              <w:left w:type="dxa" w:w="120"/>
              <w:bottom w:type="dxa" w:w="80"/>
              <w:right w:type="dxa" w:w="120"/>
            </w:tcMar>
            <w:vAlign w:val="center"/>
          </w:tcPr>
          <w:p>
            <w:r>
              <w:rPr>
                <w:b w:val="false"/>
                <w:bCs w:val="false"/>
              </w:rPr>
              <w:t xml:space="preserve">Full LSFT report submitted with bid (NDA acceptable)</w:t>
            </w:r>
          </w:p>
        </w:tc>
      </w:tr>
      <w:tr>
        <w:tc>
          <w:tcPr>
            <w:tcW w:type="dxa" w:w="1300"/>
            <w:tcBorders>
              <w:top w:val="single" w:color="AFC3CC" w:sz="1"/>
              <w:left w:val="single" w:color="AFC3CC" w:sz="1"/>
              <w:bottom w:val="single" w:color="AFC3CC" w:sz="1"/>
              <w:right w:val="single" w:color="AFC3CC" w:sz="1"/>
            </w:tcBorders>
            <w:tcMar>
              <w:top w:type="dxa" w:w="80"/>
              <w:left w:type="dxa" w:w="120"/>
              <w:bottom w:type="dxa" w:w="80"/>
              <w:right w:type="dxa" w:w="120"/>
            </w:tcMar>
            <w:vAlign w:val="center"/>
          </w:tcPr>
          <w:p>
            <w:r>
              <w:rPr>
                <w:b w:val="false"/>
                <w:bCs w:val="false"/>
              </w:rPr>
              <w:t xml:space="preserve">G-2a</w:t>
            </w:r>
          </w:p>
        </w:tc>
        <w:tc>
          <w:tcPr>
            <w:tcW w:type="dxa" w:w="5260"/>
            <w:tcBorders>
              <w:top w:val="single" w:color="AFC3CC" w:sz="1"/>
              <w:left w:val="single" w:color="AFC3CC" w:sz="1"/>
              <w:bottom w:val="single" w:color="AFC3CC" w:sz="1"/>
              <w:right w:val="single" w:color="AFC3CC" w:sz="1"/>
            </w:tcBorders>
            <w:tcMar>
              <w:top w:type="dxa" w:w="80"/>
              <w:left w:type="dxa" w:w="120"/>
              <w:bottom w:type="dxa" w:w="80"/>
              <w:right w:type="dxa" w:w="120"/>
            </w:tcMar>
            <w:vAlign w:val="center"/>
          </w:tcPr>
          <w:p>
            <w:r>
              <w:rPr>
                <w:b w:val="false"/>
                <w:bCs w:val="false"/>
              </w:rPr>
              <w:t xml:space="preserve">Installation-level non-propagation result (if claimed)</w:t>
            </w:r>
          </w:p>
        </w:tc>
        <w:tc>
          <w:tcPr>
            <w:tcW w:type="dxa" w:w="2800"/>
            <w:tcBorders>
              <w:top w:val="single" w:color="AFC3CC" w:sz="1"/>
              <w:left w:val="single" w:color="AFC3CC" w:sz="1"/>
              <w:bottom w:val="single" w:color="AFC3CC" w:sz="1"/>
              <w:right w:val="single" w:color="AFC3CC" w:sz="1"/>
            </w:tcBorders>
            <w:tcMar>
              <w:top w:type="dxa" w:w="80"/>
              <w:left w:type="dxa" w:w="120"/>
              <w:bottom w:type="dxa" w:w="80"/>
              <w:right w:type="dxa" w:w="120"/>
            </w:tcMar>
            <w:vAlign w:val="center"/>
          </w:tcPr>
          <w:p>
            <w:r>
              <w:rPr>
                <w:b w:val="false"/>
                <w:bCs w:val="false"/>
              </w:rPr>
              <w:t xml:space="preserve">Installation-level test report; absent this, Buyer assumes propagation between containers and sizes yard spacing accordingly (BOD SEP-1 / E-3)</w:t>
            </w:r>
          </w:p>
        </w:tc>
      </w:tr>
      <w:tr>
        <w:tc>
          <w:tcPr>
            <w:tcW w:type="dxa" w:w="1300"/>
            <w:tcBorders>
              <w:top w:val="single" w:color="AFC3CC" w:sz="1"/>
              <w:left w:val="single" w:color="AFC3CC" w:sz="1"/>
              <w:bottom w:val="single" w:color="AFC3CC" w:sz="1"/>
              <w:right w:val="single" w:color="AFC3CC" w:sz="1"/>
            </w:tcBorders>
            <w:tcMar>
              <w:top w:type="dxa" w:w="80"/>
              <w:left w:type="dxa" w:w="120"/>
              <w:bottom w:type="dxa" w:w="80"/>
              <w:right w:type="dxa" w:w="120"/>
            </w:tcMar>
            <w:vAlign w:val="center"/>
          </w:tcPr>
          <w:p>
            <w:r>
              <w:rPr>
                <w:b w:val="false"/>
                <w:bCs w:val="false"/>
              </w:rPr>
              <w:t xml:space="preserve">G-3/G-4</w:t>
            </w:r>
          </w:p>
        </w:tc>
        <w:tc>
          <w:tcPr>
            <w:tcW w:type="dxa" w:w="5260"/>
            <w:tcBorders>
              <w:top w:val="single" w:color="AFC3CC" w:sz="1"/>
              <w:left w:val="single" w:color="AFC3CC" w:sz="1"/>
              <w:bottom w:val="single" w:color="AFC3CC" w:sz="1"/>
              <w:right w:val="single" w:color="AFC3CC" w:sz="1"/>
            </w:tcBorders>
            <w:tcMar>
              <w:top w:type="dxa" w:w="80"/>
              <w:left w:type="dxa" w:w="120"/>
              <w:bottom w:type="dxa" w:w="80"/>
              <w:right w:type="dxa" w:w="120"/>
            </w:tcMar>
            <w:vAlign w:val="center"/>
          </w:tcPr>
          <w:p>
            <w:r>
              <w:rPr>
                <w:b w:val="false"/>
                <w:bCs w:val="false"/>
              </w:rPr>
              <w:t xml:space="preserve">Data supporting Buyer Hazard Mitigation Analysis per NFPA 855 (2026) 4.4, including product FMEA scope and critical-safety-system survivability data</w:t>
            </w:r>
          </w:p>
        </w:tc>
        <w:tc>
          <w:tcPr>
            <w:tcW w:type="dxa" w:w="2800"/>
            <w:tcBorders>
              <w:top w:val="single" w:color="AFC3CC" w:sz="1"/>
              <w:left w:val="single" w:color="AFC3CC" w:sz="1"/>
              <w:bottom w:val="single" w:color="AFC3CC" w:sz="1"/>
              <w:right w:val="single" w:color="AFC3CC" w:sz="1"/>
            </w:tcBorders>
            <w:tcMar>
              <w:top w:type="dxa" w:w="80"/>
              <w:left w:type="dxa" w:w="120"/>
              <w:bottom w:type="dxa" w:w="80"/>
              <w:right w:type="dxa" w:w="120"/>
            </w:tcMar>
            <w:vAlign w:val="center"/>
          </w:tcPr>
          <w:p>
            <w:r>
              <w:rPr>
                <w:b w:val="false"/>
                <w:bCs w:val="false"/>
              </w:rPr>
              <w:t xml:space="preserve">FMEA summary; failure-mode data; safety-system specifications</w:t>
            </w:r>
          </w:p>
        </w:tc>
      </w:tr>
      <w:tr>
        <w:tc>
          <w:tcPr>
            <w:tcW w:type="dxa" w:w="1300"/>
            <w:tcBorders>
              <w:top w:val="single" w:color="AFC3CC" w:sz="1"/>
              <w:left w:val="single" w:color="AFC3CC" w:sz="1"/>
              <w:bottom w:val="single" w:color="AFC3CC" w:sz="1"/>
              <w:right w:val="single" w:color="AFC3CC" w:sz="1"/>
            </w:tcBorders>
            <w:tcMar>
              <w:top w:type="dxa" w:w="80"/>
              <w:left w:type="dxa" w:w="120"/>
              <w:bottom w:type="dxa" w:w="80"/>
              <w:right w:type="dxa" w:w="120"/>
            </w:tcMar>
            <w:vAlign w:val="center"/>
          </w:tcPr>
          <w:p>
            <w:r>
              <w:rPr>
                <w:b w:val="false"/>
                <w:bCs w:val="false"/>
              </w:rPr>
              <w:t xml:space="preserve">G-5</w:t>
            </w:r>
          </w:p>
        </w:tc>
        <w:tc>
          <w:tcPr>
            <w:tcW w:type="dxa" w:w="5260"/>
            <w:tcBorders>
              <w:top w:val="single" w:color="AFC3CC" w:sz="1"/>
              <w:left w:val="single" w:color="AFC3CC" w:sz="1"/>
              <w:bottom w:val="single" w:color="AFC3CC" w:sz="1"/>
              <w:right w:val="single" w:color="AFC3CC" w:sz="1"/>
            </w:tcBorders>
            <w:tcMar>
              <w:top w:type="dxa" w:w="80"/>
              <w:left w:type="dxa" w:w="120"/>
              <w:bottom w:type="dxa" w:w="80"/>
              <w:right w:type="dxa" w:w="120"/>
            </w:tcMar>
            <w:vAlign w:val="center"/>
          </w:tcPr>
          <w:p>
            <w:r>
              <w:rPr>
                <w:b w:val="false"/>
                <w:bCs w:val="false"/>
              </w:rPr>
              <w:t xml:space="preserve">NFPA 68/69 design data for the container envelope</w:t>
            </w:r>
          </w:p>
        </w:tc>
        <w:tc>
          <w:tcPr>
            <w:tcW w:type="dxa" w:w="2800"/>
            <w:tcBorders>
              <w:top w:val="single" w:color="AFC3CC" w:sz="1"/>
              <w:left w:val="single" w:color="AFC3CC" w:sz="1"/>
              <w:bottom w:val="single" w:color="AFC3CC" w:sz="1"/>
              <w:right w:val="single" w:color="AFC3CC" w:sz="1"/>
            </w:tcBorders>
            <w:tcMar>
              <w:top w:type="dxa" w:w="80"/>
              <w:left w:type="dxa" w:w="120"/>
              <w:bottom w:type="dxa" w:w="80"/>
              <w:right w:type="dxa" w:w="120"/>
            </w:tcMar>
            <w:vAlign w:val="center"/>
          </w:tcPr>
          <w:p>
            <w:r>
              <w:rPr>
                <w:b w:val="false"/>
                <w:bCs w:val="false"/>
              </w:rPr>
              <w:t xml:space="preserve">Gas generation rates from 9540A; vent sizing and/or CCR design calculations</w:t>
            </w:r>
          </w:p>
        </w:tc>
      </w:tr>
      <w:tr>
        <w:tc>
          <w:tcPr>
            <w:tcW w:type="dxa" w:w="1300"/>
            <w:tcBorders>
              <w:top w:val="single" w:color="AFC3CC" w:sz="1"/>
              <w:left w:val="single" w:color="AFC3CC" w:sz="1"/>
              <w:bottom w:val="single" w:color="AFC3CC" w:sz="1"/>
              <w:right w:val="single" w:color="AFC3CC" w:sz="1"/>
            </w:tcBorders>
            <w:tcMar>
              <w:top w:type="dxa" w:w="80"/>
              <w:left w:type="dxa" w:w="120"/>
              <w:bottom w:type="dxa" w:w="80"/>
              <w:right w:type="dxa" w:w="120"/>
            </w:tcMar>
            <w:vAlign w:val="center"/>
          </w:tcPr>
          <w:p>
            <w:r>
              <w:rPr>
                <w:b w:val="false"/>
                <w:bCs w:val="false"/>
              </w:rPr>
              <w:t xml:space="preserve">—</w:t>
            </w:r>
          </w:p>
        </w:tc>
        <w:tc>
          <w:tcPr>
            <w:tcW w:type="dxa" w:w="5260"/>
            <w:tcBorders>
              <w:top w:val="single" w:color="AFC3CC" w:sz="1"/>
              <w:left w:val="single" w:color="AFC3CC" w:sz="1"/>
              <w:bottom w:val="single" w:color="AFC3CC" w:sz="1"/>
              <w:right w:val="single" w:color="AFC3CC" w:sz="1"/>
            </w:tcBorders>
            <w:tcMar>
              <w:top w:type="dxa" w:w="80"/>
              <w:left w:type="dxa" w:w="120"/>
              <w:bottom w:type="dxa" w:w="80"/>
              <w:right w:type="dxa" w:w="120"/>
            </w:tcMar>
            <w:vAlign w:val="center"/>
          </w:tcPr>
          <w:p>
            <w:r>
              <w:rPr>
                <w:b w:val="false"/>
                <w:bCs w:val="false"/>
              </w:rPr>
              <w:t xml:space="preserve">UN 38.3 transport test summaries for all cell/battery design types</w:t>
            </w:r>
          </w:p>
        </w:tc>
        <w:tc>
          <w:tcPr>
            <w:tcW w:type="dxa" w:w="2800"/>
            <w:tcBorders>
              <w:top w:val="single" w:color="AFC3CC" w:sz="1"/>
              <w:left w:val="single" w:color="AFC3CC" w:sz="1"/>
              <w:bottom w:val="single" w:color="AFC3CC" w:sz="1"/>
              <w:right w:val="single" w:color="AFC3CC" w:sz="1"/>
            </w:tcBorders>
            <w:tcMar>
              <w:top w:type="dxa" w:w="80"/>
              <w:left w:type="dxa" w:w="120"/>
              <w:bottom w:type="dxa" w:w="80"/>
              <w:right w:type="dxa" w:w="120"/>
            </w:tcMar>
            <w:vAlign w:val="center"/>
          </w:tcPr>
          <w:p>
            <w:r>
              <w:rPr>
                <w:b w:val="false"/>
                <w:bCs w:val="false"/>
              </w:rPr>
              <w:t xml:space="preserve">Test summary documents (BOD §8.2)</w:t>
            </w:r>
          </w:p>
        </w:tc>
      </w:tr>
      <w:tr>
        <w:tc>
          <w:tcPr>
            <w:tcW w:type="dxa" w:w="1300"/>
            <w:tcBorders>
              <w:top w:val="single" w:color="AFC3CC" w:sz="1"/>
              <w:left w:val="single" w:color="AFC3CC" w:sz="1"/>
              <w:bottom w:val="single" w:color="AFC3CC" w:sz="1"/>
              <w:right w:val="single" w:color="AFC3CC" w:sz="1"/>
            </w:tcBorders>
            <w:tcMar>
              <w:top w:type="dxa" w:w="80"/>
              <w:left w:type="dxa" w:w="120"/>
              <w:bottom w:type="dxa" w:w="80"/>
              <w:right w:type="dxa" w:w="120"/>
            </w:tcMar>
            <w:vAlign w:val="center"/>
          </w:tcPr>
          <w:p>
            <w:r>
              <w:rPr>
                <w:b w:val="false"/>
                <w:bCs w:val="false"/>
              </w:rPr>
              <w:t xml:space="preserve">—</w:t>
            </w:r>
          </w:p>
        </w:tc>
        <w:tc>
          <w:tcPr>
            <w:tcW w:type="dxa" w:w="5260"/>
            <w:tcBorders>
              <w:top w:val="single" w:color="AFC3CC" w:sz="1"/>
              <w:left w:val="single" w:color="AFC3CC" w:sz="1"/>
              <w:bottom w:val="single" w:color="AFC3CC" w:sz="1"/>
              <w:right w:val="single" w:color="AFC3CC" w:sz="1"/>
            </w:tcBorders>
            <w:tcMar>
              <w:top w:type="dxa" w:w="80"/>
              <w:left w:type="dxa" w:w="120"/>
              <w:bottom w:type="dxa" w:w="80"/>
              <w:right w:type="dxa" w:w="120"/>
            </w:tcMar>
            <w:vAlign w:val="center"/>
          </w:tcPr>
          <w:p>
            <w:r>
              <w:rPr>
                <w:b w:val="false"/>
                <w:bCs w:val="false"/>
              </w:rPr>
              <w:t xml:space="preserve">Seismic/wind certification per site code</w:t>
            </w:r>
          </w:p>
        </w:tc>
        <w:tc>
          <w:tcPr>
            <w:tcW w:type="dxa" w:w="2800"/>
            <w:tcBorders>
              <w:top w:val="single" w:color="AFC3CC" w:sz="1"/>
              <w:left w:val="single" w:color="AFC3CC" w:sz="1"/>
              <w:bottom w:val="single" w:color="AFC3CC" w:sz="1"/>
              <w:right w:val="single" w:color="AFC3CC" w:sz="1"/>
            </w:tcBorders>
            <w:tcMar>
              <w:top w:type="dxa" w:w="80"/>
              <w:left w:type="dxa" w:w="120"/>
              <w:bottom w:type="dxa" w:w="80"/>
              <w:right w:type="dxa" w:w="120"/>
            </w:tcMar>
            <w:vAlign w:val="center"/>
          </w:tcPr>
          <w:p>
            <w:r>
              <w:rPr>
                <w:b w:val="false"/>
                <w:bCs w:val="false"/>
              </w:rPr>
              <w:t xml:space="preserve">Certification statement; anchoring calculations on receipt of Attachment A</w:t>
            </w:r>
          </w:p>
        </w:tc>
      </w:tr>
    </w:tbl>
    <w:p>
      <w:r>
        <w:br w:type="page"/>
      </w:r>
    </w:p>
    <w:p>
      <w:pPr>
        <w:pStyle w:val="Heading1"/>
      </w:pPr>
      <w:r>
        <w:t xml:space="preserve">§5 Bid Submittal Requirements</w:t>
      </w:r>
    </w:p>
    <w:p>
      <w:pPr>
        <w:spacing w:after="160"/>
      </w:pPr>
      <w:r>
        <w:t xml:space="preserve">Bidders shall submit the following, organized by the numbering below. Incomplete submittals may be rejected without clarification.</w:t>
      </w:r>
    </w:p>
    <w:p>
      <w:pPr>
        <w:pStyle w:val="ListParagraph"/>
        <w:numPr>
          <w:ilvl w:val="0"/>
          <w:numId w:val="3"/>
        </w:numPr>
        <w:spacing w:after="100"/>
      </w:pPr>
      <w:r>
        <w:t xml:space="preserve">Completed Bidder Compliance Matrix (Appendix A of this RFQ) with Comply / Exception / Alternate for every line, and a narrative for each exception.</w:t>
      </w:r>
    </w:p>
    <w:p>
      <w:pPr>
        <w:pStyle w:val="ListParagraph"/>
        <w:numPr>
          <w:ilvl w:val="0"/>
          <w:numId w:val="3"/>
        </w:numPr>
        <w:spacing w:after="100"/>
      </w:pPr>
      <w:r>
        <w:t xml:space="preserve">Technical proposal: system description, single-line diagram (battery side), container GA drawings, mass/footprint/foundation loading, thermal management description, BMS architecture, and fault-domain partitioning proposal with rationale (§3.1).</w:t>
      </w:r>
    </w:p>
    <w:p>
      <w:pPr>
        <w:pStyle w:val="ListParagraph"/>
        <w:numPr>
          <w:ilvl w:val="0"/>
          <w:numId w:val="3"/>
        </w:numPr>
        <w:spacing w:after="100"/>
      </w:pPr>
      <w:r>
        <w:t xml:space="preserve">Compliance evidence package per §4 (G-1 through G-5, UN 38.3, seismic/wind).</w:t>
      </w:r>
    </w:p>
    <w:p>
      <w:pPr>
        <w:pStyle w:val="ListParagraph"/>
        <w:numPr>
          <w:ilvl w:val="0"/>
          <w:numId w:val="3"/>
        </w:numPr>
        <w:spacing w:after="100"/>
      </w:pPr>
      <w:r>
        <w:t xml:space="preserve">Performance data: capacity/degradation curves, efficiency, step response, auxiliary loads, recharge limits (§3.2).</w:t>
      </w:r>
    </w:p>
    <w:p>
      <w:pPr>
        <w:pStyle w:val="ListParagraph"/>
        <w:numPr>
          <w:ilvl w:val="0"/>
          <w:numId w:val="3"/>
        </w:numPr>
        <w:spacing w:after="100"/>
      </w:pPr>
      <w:r>
        <w:t xml:space="preserve">Safety systems data: detection make/model/listings, isolation logic description, vent/CCR design basis (§3.4).</w:t>
      </w:r>
    </w:p>
    <w:p>
      <w:pPr>
        <w:pStyle w:val="ListParagraph"/>
        <w:numPr>
          <w:ilvl w:val="0"/>
          <w:numId w:val="3"/>
        </w:numPr>
        <w:spacing w:after="100"/>
      </w:pPr>
      <w:r>
        <w:t xml:space="preserve">Controls interface: protocol statement (Modbus TCP / IEC 61850), preliminary point list, first-responder read-only subset (§3.5).</w:t>
      </w:r>
    </w:p>
    <w:p>
      <w:pPr>
        <w:pStyle w:val="ListParagraph"/>
        <w:numPr>
          <w:ilvl w:val="0"/>
          <w:numId w:val="3"/>
        </w:numPr>
        <w:spacing w:after="100"/>
      </w:pPr>
      <w:r>
        <w:t xml:space="preserve">Domestic content: cell/module/system manufacturing locations and US content percentages, with the certification basis the Bidder will support for ITC domestic-content adder documentation.</w:t>
      </w:r>
    </w:p>
    <w:p>
      <w:pPr>
        <w:pStyle w:val="ListParagraph"/>
        <w:numPr>
          <w:ilvl w:val="0"/>
          <w:numId w:val="3"/>
        </w:numPr>
        <w:spacing w:after="100"/>
      </w:pPr>
      <w:r>
        <w:t xml:space="preserve">Commercial: firm pricing per §6, delivery schedule from PO to site delivery and to commercial operation, warranty terms, and the separately priced options of §2.3.</w:t>
      </w:r>
    </w:p>
    <w:p>
      <w:pPr>
        <w:pStyle w:val="ListParagraph"/>
        <w:numPr>
          <w:ilvl w:val="0"/>
          <w:numId w:val="3"/>
        </w:numPr>
        <w:spacing w:after="100"/>
      </w:pPr>
      <w:r>
        <w:t xml:space="preserve">Reference list: ≥3 comparable US deployments (size, application, COD, contactable reference).</w:t>
      </w:r>
    </w:p>
    <w:p>
      <w:pPr>
        <w:pStyle w:val="ListParagraph"/>
        <w:numPr>
          <w:ilvl w:val="0"/>
          <w:numId w:val="3"/>
        </w:numPr>
        <w:spacing w:after="100"/>
      </w:pPr>
      <w:r>
        <w:t xml:space="preserve">Exceptions to Buyer terms, if any, as a single consolidated list.</w:t>
      </w:r>
    </w:p>
    <w:p>
      <w:pPr>
        <w:pStyle w:val="Heading2"/>
      </w:pPr>
      <w:r>
        <w:t xml:space="preserve">§5.1 Schedule of This RFQ</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00"/>
        <w:gridCol w:w="4760"/>
      </w:tblGrid>
      <w:tr>
        <w:trPr>
          <w:tblHeader/>
        </w:trPr>
        <w:tc>
          <w:tcPr>
            <w:tcW w:type="dxa" w:w="4600"/>
            <w:tcBorders>
              <w:top w:val="single" w:color="AFC3CC" w:sz="1"/>
              <w:left w:val="single" w:color="AFC3CC" w:sz="1"/>
              <w:bottom w:val="single" w:color="AFC3CC" w:sz="1"/>
              <w:right w:val="single" w:color="AFC3CC" w:sz="1"/>
            </w:tcBorders>
            <w:shd w:fill="DDE7EC" w:val="clear"/>
            <w:tcMar>
              <w:top w:type="dxa" w:w="80"/>
              <w:left w:type="dxa" w:w="120"/>
              <w:bottom w:type="dxa" w:w="80"/>
              <w:right w:type="dxa" w:w="120"/>
            </w:tcMar>
            <w:vAlign w:val="center"/>
          </w:tcPr>
          <w:p>
            <w:r>
              <w:rPr>
                <w:b/>
                <w:bCs/>
              </w:rPr>
              <w:t xml:space="preserve">Milestone</w:t>
            </w:r>
          </w:p>
        </w:tc>
        <w:tc>
          <w:tcPr>
            <w:tcW w:type="dxa" w:w="4760"/>
            <w:tcBorders>
              <w:top w:val="single" w:color="AFC3CC" w:sz="1"/>
              <w:left w:val="single" w:color="AFC3CC" w:sz="1"/>
              <w:bottom w:val="single" w:color="AFC3CC" w:sz="1"/>
              <w:right w:val="single" w:color="AFC3CC" w:sz="1"/>
            </w:tcBorders>
            <w:shd w:fill="DDE7EC" w:val="clear"/>
            <w:tcMar>
              <w:top w:type="dxa" w:w="80"/>
              <w:left w:type="dxa" w:w="120"/>
              <w:bottom w:type="dxa" w:w="80"/>
              <w:right w:type="dxa" w:w="120"/>
            </w:tcMar>
            <w:vAlign w:val="center"/>
          </w:tcPr>
          <w:p>
            <w:r>
              <w:rPr>
                <w:b/>
                <w:bCs/>
              </w:rPr>
              <w:t xml:space="preserve">Date</w:t>
            </w:r>
          </w:p>
        </w:tc>
      </w:tr>
      <w:tr>
        <w:tc>
          <w:tcPr>
            <w:tcW w:type="dxa" w:w="4600"/>
            <w:tcBorders>
              <w:top w:val="single" w:color="AFC3CC" w:sz="1"/>
              <w:left w:val="single" w:color="AFC3CC" w:sz="1"/>
              <w:bottom w:val="single" w:color="AFC3CC" w:sz="1"/>
              <w:right w:val="single" w:color="AFC3CC" w:sz="1"/>
            </w:tcBorders>
            <w:tcMar>
              <w:top w:type="dxa" w:w="80"/>
              <w:left w:type="dxa" w:w="120"/>
              <w:bottom w:type="dxa" w:w="80"/>
              <w:right w:type="dxa" w:w="120"/>
            </w:tcMar>
            <w:vAlign w:val="center"/>
          </w:tcPr>
          <w:p>
            <w:r>
              <w:rPr>
                <w:b w:val="false"/>
                <w:bCs w:val="false"/>
              </w:rPr>
              <w:t xml:space="preserve">RFQ issue</w:t>
            </w:r>
          </w:p>
        </w:tc>
        <w:tc>
          <w:tcPr>
            <w:tcW w:type="dxa" w:w="4760"/>
            <w:tcBorders>
              <w:top w:val="single" w:color="AFC3CC" w:sz="1"/>
              <w:left w:val="single" w:color="AFC3CC" w:sz="1"/>
              <w:bottom w:val="single" w:color="AFC3CC" w:sz="1"/>
              <w:right w:val="single" w:color="AFC3CC" w:sz="1"/>
            </w:tcBorders>
            <w:tcMar>
              <w:top w:type="dxa" w:w="80"/>
              <w:left w:type="dxa" w:w="120"/>
              <w:bottom w:type="dxa" w:w="80"/>
              <w:right w:type="dxa" w:w="120"/>
            </w:tcMar>
            <w:vAlign w:val="center"/>
          </w:tcPr>
          <w:p>
            <w:r>
              <w:rPr>
                <w:b w:val="false"/>
                <w:bCs w:val="false"/>
              </w:rPr>
              <w:t xml:space="preserve">[ISSUE DATE]</w:t>
            </w:r>
          </w:p>
        </w:tc>
      </w:tr>
      <w:tr>
        <w:tc>
          <w:tcPr>
            <w:tcW w:type="dxa" w:w="4600"/>
            <w:tcBorders>
              <w:top w:val="single" w:color="AFC3CC" w:sz="1"/>
              <w:left w:val="single" w:color="AFC3CC" w:sz="1"/>
              <w:bottom w:val="single" w:color="AFC3CC" w:sz="1"/>
              <w:right w:val="single" w:color="AFC3CC" w:sz="1"/>
            </w:tcBorders>
            <w:tcMar>
              <w:top w:type="dxa" w:w="80"/>
              <w:left w:type="dxa" w:w="120"/>
              <w:bottom w:type="dxa" w:w="80"/>
              <w:right w:type="dxa" w:w="120"/>
            </w:tcMar>
            <w:vAlign w:val="center"/>
          </w:tcPr>
          <w:p>
            <w:r>
              <w:rPr>
                <w:b w:val="false"/>
                <w:bCs w:val="false"/>
              </w:rPr>
              <w:t xml:space="preserve">Intent to bid + NDA execution (Attachment A released)</w:t>
            </w:r>
          </w:p>
        </w:tc>
        <w:tc>
          <w:tcPr>
            <w:tcW w:type="dxa" w:w="4760"/>
            <w:tcBorders>
              <w:top w:val="single" w:color="AFC3CC" w:sz="1"/>
              <w:left w:val="single" w:color="AFC3CC" w:sz="1"/>
              <w:bottom w:val="single" w:color="AFC3CC" w:sz="1"/>
              <w:right w:val="single" w:color="AFC3CC" w:sz="1"/>
            </w:tcBorders>
            <w:tcMar>
              <w:top w:type="dxa" w:w="80"/>
              <w:left w:type="dxa" w:w="120"/>
              <w:bottom w:type="dxa" w:w="80"/>
              <w:right w:type="dxa" w:w="120"/>
            </w:tcMar>
            <w:vAlign w:val="center"/>
          </w:tcPr>
          <w:p>
            <w:r>
              <w:rPr>
                <w:b w:val="false"/>
                <w:bCs w:val="false"/>
              </w:rPr>
              <w:t xml:space="preserve">Issue + 1 week</w:t>
            </w:r>
          </w:p>
        </w:tc>
      </w:tr>
      <w:tr>
        <w:tc>
          <w:tcPr>
            <w:tcW w:type="dxa" w:w="4600"/>
            <w:tcBorders>
              <w:top w:val="single" w:color="AFC3CC" w:sz="1"/>
              <w:left w:val="single" w:color="AFC3CC" w:sz="1"/>
              <w:bottom w:val="single" w:color="AFC3CC" w:sz="1"/>
              <w:right w:val="single" w:color="AFC3CC" w:sz="1"/>
            </w:tcBorders>
            <w:tcMar>
              <w:top w:type="dxa" w:w="80"/>
              <w:left w:type="dxa" w:w="120"/>
              <w:bottom w:type="dxa" w:w="80"/>
              <w:right w:type="dxa" w:w="120"/>
            </w:tcMar>
            <w:vAlign w:val="center"/>
          </w:tcPr>
          <w:p>
            <w:r>
              <w:rPr>
                <w:b w:val="false"/>
                <w:bCs w:val="false"/>
              </w:rPr>
              <w:t xml:space="preserve">Bidder questions due</w:t>
            </w:r>
          </w:p>
        </w:tc>
        <w:tc>
          <w:tcPr>
            <w:tcW w:type="dxa" w:w="4760"/>
            <w:tcBorders>
              <w:top w:val="single" w:color="AFC3CC" w:sz="1"/>
              <w:left w:val="single" w:color="AFC3CC" w:sz="1"/>
              <w:bottom w:val="single" w:color="AFC3CC" w:sz="1"/>
              <w:right w:val="single" w:color="AFC3CC" w:sz="1"/>
            </w:tcBorders>
            <w:tcMar>
              <w:top w:type="dxa" w:w="80"/>
              <w:left w:type="dxa" w:w="120"/>
              <w:bottom w:type="dxa" w:w="80"/>
              <w:right w:type="dxa" w:w="120"/>
            </w:tcMar>
            <w:vAlign w:val="center"/>
          </w:tcPr>
          <w:p>
            <w:r>
              <w:rPr>
                <w:b w:val="false"/>
                <w:bCs w:val="false"/>
              </w:rPr>
              <w:t xml:space="preserve">Issue + 2 weeks</w:t>
            </w:r>
          </w:p>
        </w:tc>
      </w:tr>
      <w:tr>
        <w:tc>
          <w:tcPr>
            <w:tcW w:type="dxa" w:w="4600"/>
            <w:tcBorders>
              <w:top w:val="single" w:color="AFC3CC" w:sz="1"/>
              <w:left w:val="single" w:color="AFC3CC" w:sz="1"/>
              <w:bottom w:val="single" w:color="AFC3CC" w:sz="1"/>
              <w:right w:val="single" w:color="AFC3CC" w:sz="1"/>
            </w:tcBorders>
            <w:tcMar>
              <w:top w:type="dxa" w:w="80"/>
              <w:left w:type="dxa" w:w="120"/>
              <w:bottom w:type="dxa" w:w="80"/>
              <w:right w:type="dxa" w:w="120"/>
            </w:tcMar>
            <w:vAlign w:val="center"/>
          </w:tcPr>
          <w:p>
            <w:r>
              <w:rPr>
                <w:b w:val="false"/>
                <w:bCs w:val="false"/>
              </w:rPr>
              <w:t xml:space="preserve">Buyer responses to questions</w:t>
            </w:r>
          </w:p>
        </w:tc>
        <w:tc>
          <w:tcPr>
            <w:tcW w:type="dxa" w:w="4760"/>
            <w:tcBorders>
              <w:top w:val="single" w:color="AFC3CC" w:sz="1"/>
              <w:left w:val="single" w:color="AFC3CC" w:sz="1"/>
              <w:bottom w:val="single" w:color="AFC3CC" w:sz="1"/>
              <w:right w:val="single" w:color="AFC3CC" w:sz="1"/>
            </w:tcBorders>
            <w:tcMar>
              <w:top w:type="dxa" w:w="80"/>
              <w:left w:type="dxa" w:w="120"/>
              <w:bottom w:type="dxa" w:w="80"/>
              <w:right w:type="dxa" w:w="120"/>
            </w:tcMar>
            <w:vAlign w:val="center"/>
          </w:tcPr>
          <w:p>
            <w:r>
              <w:rPr>
                <w:b w:val="false"/>
                <w:bCs w:val="false"/>
              </w:rPr>
              <w:t xml:space="preserve">Issue + 3 weeks</w:t>
            </w:r>
          </w:p>
        </w:tc>
      </w:tr>
      <w:tr>
        <w:tc>
          <w:tcPr>
            <w:tcW w:type="dxa" w:w="4600"/>
            <w:tcBorders>
              <w:top w:val="single" w:color="AFC3CC" w:sz="1"/>
              <w:left w:val="single" w:color="AFC3CC" w:sz="1"/>
              <w:bottom w:val="single" w:color="AFC3CC" w:sz="1"/>
              <w:right w:val="single" w:color="AFC3CC" w:sz="1"/>
            </w:tcBorders>
            <w:tcMar>
              <w:top w:type="dxa" w:w="80"/>
              <w:left w:type="dxa" w:w="120"/>
              <w:bottom w:type="dxa" w:w="80"/>
              <w:right w:type="dxa" w:w="120"/>
            </w:tcMar>
            <w:vAlign w:val="center"/>
          </w:tcPr>
          <w:p>
            <w:r>
              <w:rPr>
                <w:b w:val="false"/>
                <w:bCs w:val="false"/>
              </w:rPr>
              <w:t xml:space="preserve">Bids due</w:t>
            </w:r>
          </w:p>
        </w:tc>
        <w:tc>
          <w:tcPr>
            <w:tcW w:type="dxa" w:w="4760"/>
            <w:tcBorders>
              <w:top w:val="single" w:color="AFC3CC" w:sz="1"/>
              <w:left w:val="single" w:color="AFC3CC" w:sz="1"/>
              <w:bottom w:val="single" w:color="AFC3CC" w:sz="1"/>
              <w:right w:val="single" w:color="AFC3CC" w:sz="1"/>
            </w:tcBorders>
            <w:tcMar>
              <w:top w:type="dxa" w:w="80"/>
              <w:left w:type="dxa" w:w="120"/>
              <w:bottom w:type="dxa" w:w="80"/>
              <w:right w:type="dxa" w:w="120"/>
            </w:tcMar>
            <w:vAlign w:val="center"/>
          </w:tcPr>
          <w:p>
            <w:r>
              <w:rPr>
                <w:b w:val="false"/>
                <w:bCs w:val="false"/>
              </w:rPr>
              <w:t xml:space="preserve">Issue + 5 weeks</w:t>
            </w:r>
          </w:p>
        </w:tc>
      </w:tr>
      <w:tr>
        <w:tc>
          <w:tcPr>
            <w:tcW w:type="dxa" w:w="4600"/>
            <w:tcBorders>
              <w:top w:val="single" w:color="AFC3CC" w:sz="1"/>
              <w:left w:val="single" w:color="AFC3CC" w:sz="1"/>
              <w:bottom w:val="single" w:color="AFC3CC" w:sz="1"/>
              <w:right w:val="single" w:color="AFC3CC" w:sz="1"/>
            </w:tcBorders>
            <w:tcMar>
              <w:top w:type="dxa" w:w="80"/>
              <w:left w:type="dxa" w:w="120"/>
              <w:bottom w:type="dxa" w:w="80"/>
              <w:right w:type="dxa" w:w="120"/>
            </w:tcMar>
            <w:vAlign w:val="center"/>
          </w:tcPr>
          <w:p>
            <w:r>
              <w:rPr>
                <w:b w:val="false"/>
                <w:bCs w:val="false"/>
              </w:rPr>
              <w:t xml:space="preserve">Clarifications / shortlist</w:t>
            </w:r>
          </w:p>
        </w:tc>
        <w:tc>
          <w:tcPr>
            <w:tcW w:type="dxa" w:w="4760"/>
            <w:tcBorders>
              <w:top w:val="single" w:color="AFC3CC" w:sz="1"/>
              <w:left w:val="single" w:color="AFC3CC" w:sz="1"/>
              <w:bottom w:val="single" w:color="AFC3CC" w:sz="1"/>
              <w:right w:val="single" w:color="AFC3CC" w:sz="1"/>
            </w:tcBorders>
            <w:tcMar>
              <w:top w:type="dxa" w:w="80"/>
              <w:left w:type="dxa" w:w="120"/>
              <w:bottom w:type="dxa" w:w="80"/>
              <w:right w:type="dxa" w:w="120"/>
            </w:tcMar>
            <w:vAlign w:val="center"/>
          </w:tcPr>
          <w:p>
            <w:r>
              <w:rPr>
                <w:b w:val="false"/>
                <w:bCs w:val="false"/>
              </w:rPr>
              <w:t xml:space="preserve">Issue + 7 weeks</w:t>
            </w:r>
          </w:p>
        </w:tc>
      </w:tr>
      <w:tr>
        <w:tc>
          <w:tcPr>
            <w:tcW w:type="dxa" w:w="4600"/>
            <w:tcBorders>
              <w:top w:val="single" w:color="AFC3CC" w:sz="1"/>
              <w:left w:val="single" w:color="AFC3CC" w:sz="1"/>
              <w:bottom w:val="single" w:color="AFC3CC" w:sz="1"/>
              <w:right w:val="single" w:color="AFC3CC" w:sz="1"/>
            </w:tcBorders>
            <w:tcMar>
              <w:top w:type="dxa" w:w="80"/>
              <w:left w:type="dxa" w:w="120"/>
              <w:bottom w:type="dxa" w:w="80"/>
              <w:right w:type="dxa" w:w="120"/>
            </w:tcMar>
            <w:vAlign w:val="center"/>
          </w:tcPr>
          <w:p>
            <w:r>
              <w:rPr>
                <w:b w:val="false"/>
                <w:bCs w:val="false"/>
              </w:rPr>
              <w:t xml:space="preserve">Award target</w:t>
            </w:r>
          </w:p>
        </w:tc>
        <w:tc>
          <w:tcPr>
            <w:tcW w:type="dxa" w:w="4760"/>
            <w:tcBorders>
              <w:top w:val="single" w:color="AFC3CC" w:sz="1"/>
              <w:left w:val="single" w:color="AFC3CC" w:sz="1"/>
              <w:bottom w:val="single" w:color="AFC3CC" w:sz="1"/>
              <w:right w:val="single" w:color="AFC3CC" w:sz="1"/>
            </w:tcBorders>
            <w:tcMar>
              <w:top w:type="dxa" w:w="80"/>
              <w:left w:type="dxa" w:w="120"/>
              <w:bottom w:type="dxa" w:w="80"/>
              <w:right w:type="dxa" w:w="120"/>
            </w:tcMar>
            <w:vAlign w:val="center"/>
          </w:tcPr>
          <w:p>
            <w:r>
              <w:rPr>
                <w:b w:val="false"/>
                <w:bCs w:val="false"/>
              </w:rPr>
              <w:t xml:space="preserve">Issue + 9 weeks</w:t>
            </w:r>
          </w:p>
        </w:tc>
      </w:tr>
    </w:tbl>
    <w:p>
      <w:r>
        <w:br w:type="page"/>
      </w:r>
    </w:p>
    <w:p>
      <w:pPr>
        <w:pStyle w:val="Heading1"/>
      </w:pPr>
      <w:r>
        <w:t xml:space="preserve">§6 Pricing Structure and Evaluation</w:t>
      </w:r>
    </w:p>
    <w:p>
      <w:pPr>
        <w:pStyle w:val="Heading2"/>
      </w:pPr>
      <w:r>
        <w:t xml:space="preserve">§6.1 Pricing Breakdown (firm, USD)</w:t>
      </w:r>
    </w:p>
    <w:p>
      <w:pPr>
        <w:pStyle w:val="ListParagraph"/>
        <w:numPr>
          <w:ilvl w:val="0"/>
          <w:numId w:val="3"/>
        </w:numPr>
        <w:spacing w:after="100"/>
      </w:pPr>
      <w:r>
        <w:t xml:space="preserve">Base supply: containers, batteries, BMS, integrated safety systems, delivered DDP site.</w:t>
      </w:r>
    </w:p>
    <w:p>
      <w:pPr>
        <w:pStyle w:val="ListParagraph"/>
        <w:numPr>
          <w:ilvl w:val="0"/>
          <w:numId w:val="3"/>
        </w:numPr>
        <w:spacing w:after="100"/>
      </w:pPr>
      <w:r>
        <w:t xml:space="preserve">Commissioning, SAT, and training.</w:t>
      </w:r>
    </w:p>
    <w:p>
      <w:pPr>
        <w:pStyle w:val="ListParagraph"/>
        <w:numPr>
          <w:ilvl w:val="0"/>
          <w:numId w:val="3"/>
        </w:numPr>
        <w:spacing w:after="100"/>
      </w:pPr>
      <w:r>
        <w:t xml:space="preserve">Options per §2.3, each priced separately.</w:t>
      </w:r>
    </w:p>
    <w:p>
      <w:pPr>
        <w:pStyle w:val="ListParagraph"/>
        <w:numPr>
          <w:ilvl w:val="0"/>
          <w:numId w:val="3"/>
        </w:numPr>
        <w:spacing w:after="100"/>
      </w:pPr>
      <w:r>
        <w:t xml:space="preserve">Unit rates: per-module replacement, field service day rate, annual preventive maintenance.</w:t>
      </w:r>
    </w:p>
    <w:p>
      <w:pPr>
        <w:pStyle w:val="Heading2"/>
      </w:pPr>
      <w:r>
        <w:t xml:space="preserve">§6.2 Evaluation Criteria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0"/>
        <w:gridCol w:w="3760"/>
      </w:tblGrid>
      <w:tr>
        <w:trPr>
          <w:tblHeader/>
        </w:trPr>
        <w:tc>
          <w:tcPr>
            <w:tcW w:type="dxa" w:w="5600"/>
            <w:tcBorders>
              <w:top w:val="single" w:color="AFC3CC" w:sz="1"/>
              <w:left w:val="single" w:color="AFC3CC" w:sz="1"/>
              <w:bottom w:val="single" w:color="AFC3CC" w:sz="1"/>
              <w:right w:val="single" w:color="AFC3CC" w:sz="1"/>
            </w:tcBorders>
            <w:shd w:fill="DDE7EC" w:val="clear"/>
            <w:tcMar>
              <w:top w:type="dxa" w:w="80"/>
              <w:left w:type="dxa" w:w="120"/>
              <w:bottom w:type="dxa" w:w="80"/>
              <w:right w:type="dxa" w:w="120"/>
            </w:tcMar>
            <w:vAlign w:val="center"/>
          </w:tcPr>
          <w:p>
            <w:r>
              <w:rPr>
                <w:b/>
                <w:bCs/>
              </w:rPr>
              <w:t xml:space="preserve">Criterion</w:t>
            </w:r>
          </w:p>
        </w:tc>
        <w:tc>
          <w:tcPr>
            <w:tcW w:type="dxa" w:w="3760"/>
            <w:tcBorders>
              <w:top w:val="single" w:color="AFC3CC" w:sz="1"/>
              <w:left w:val="single" w:color="AFC3CC" w:sz="1"/>
              <w:bottom w:val="single" w:color="AFC3CC" w:sz="1"/>
              <w:right w:val="single" w:color="AFC3CC" w:sz="1"/>
            </w:tcBorders>
            <w:shd w:fill="DDE7EC" w:val="clear"/>
            <w:tcMar>
              <w:top w:type="dxa" w:w="80"/>
              <w:left w:type="dxa" w:w="120"/>
              <w:bottom w:type="dxa" w:w="80"/>
              <w:right w:type="dxa" w:w="120"/>
            </w:tcMar>
            <w:vAlign w:val="center"/>
          </w:tcPr>
          <w:p>
            <w:r>
              <w:rPr>
                <w:b/>
                <w:bCs/>
              </w:rPr>
              <w:t xml:space="preserve">Weight</w:t>
            </w:r>
          </w:p>
        </w:tc>
      </w:tr>
      <w:tr>
        <w:tc>
          <w:tcPr>
            <w:tcW w:type="dxa" w:w="5600"/>
            <w:tcBorders>
              <w:top w:val="single" w:color="AFC3CC" w:sz="1"/>
              <w:left w:val="single" w:color="AFC3CC" w:sz="1"/>
              <w:bottom w:val="single" w:color="AFC3CC" w:sz="1"/>
              <w:right w:val="single" w:color="AFC3CC" w:sz="1"/>
            </w:tcBorders>
            <w:tcMar>
              <w:top w:type="dxa" w:w="80"/>
              <w:left w:type="dxa" w:w="120"/>
              <w:bottom w:type="dxa" w:w="80"/>
              <w:right w:type="dxa" w:w="120"/>
            </w:tcMar>
            <w:vAlign w:val="center"/>
          </w:tcPr>
          <w:p>
            <w:r>
              <w:rPr>
                <w:b w:val="false"/>
                <w:bCs w:val="false"/>
              </w:rPr>
              <w:t xml:space="preserve">Compliance with gates G-1 through G-5 (pass/fail screen)</w:t>
            </w:r>
          </w:p>
        </w:tc>
        <w:tc>
          <w:tcPr>
            <w:tcW w:type="dxa" w:w="3760"/>
            <w:tcBorders>
              <w:top w:val="single" w:color="AFC3CC" w:sz="1"/>
              <w:left w:val="single" w:color="AFC3CC" w:sz="1"/>
              <w:bottom w:val="single" w:color="AFC3CC" w:sz="1"/>
              <w:right w:val="single" w:color="AFC3CC" w:sz="1"/>
            </w:tcBorders>
            <w:tcMar>
              <w:top w:type="dxa" w:w="80"/>
              <w:left w:type="dxa" w:w="120"/>
              <w:bottom w:type="dxa" w:w="80"/>
              <w:right w:type="dxa" w:w="120"/>
            </w:tcMar>
            <w:vAlign w:val="center"/>
          </w:tcPr>
          <w:p>
            <w:r>
              <w:rPr>
                <w:b w:val="false"/>
                <w:bCs w:val="false"/>
              </w:rPr>
              <w:t xml:space="preserve">Gate</w:t>
            </w:r>
          </w:p>
        </w:tc>
      </w:tr>
      <w:tr>
        <w:tc>
          <w:tcPr>
            <w:tcW w:type="dxa" w:w="5600"/>
            <w:tcBorders>
              <w:top w:val="single" w:color="AFC3CC" w:sz="1"/>
              <w:left w:val="single" w:color="AFC3CC" w:sz="1"/>
              <w:bottom w:val="single" w:color="AFC3CC" w:sz="1"/>
              <w:right w:val="single" w:color="AFC3CC" w:sz="1"/>
            </w:tcBorders>
            <w:tcMar>
              <w:top w:type="dxa" w:w="80"/>
              <w:left w:type="dxa" w:w="120"/>
              <w:bottom w:type="dxa" w:w="80"/>
              <w:right w:type="dxa" w:w="120"/>
            </w:tcMar>
            <w:vAlign w:val="center"/>
          </w:tcPr>
          <w:p>
            <w:r>
              <w:rPr>
                <w:b w:val="false"/>
                <w:bCs w:val="false"/>
              </w:rPr>
              <w:t xml:space="preserve">Technical conformance to §3 and exception count/severity</w:t>
            </w:r>
          </w:p>
        </w:tc>
        <w:tc>
          <w:tcPr>
            <w:tcW w:type="dxa" w:w="3760"/>
            <w:tcBorders>
              <w:top w:val="single" w:color="AFC3CC" w:sz="1"/>
              <w:left w:val="single" w:color="AFC3CC" w:sz="1"/>
              <w:bottom w:val="single" w:color="AFC3CC" w:sz="1"/>
              <w:right w:val="single" w:color="AFC3CC" w:sz="1"/>
            </w:tcBorders>
            <w:tcMar>
              <w:top w:type="dxa" w:w="80"/>
              <w:left w:type="dxa" w:w="120"/>
              <w:bottom w:type="dxa" w:w="80"/>
              <w:right w:type="dxa" w:w="120"/>
            </w:tcMar>
            <w:vAlign w:val="center"/>
          </w:tcPr>
          <w:p>
            <w:r>
              <w:rPr>
                <w:b w:val="false"/>
                <w:bCs w:val="false"/>
              </w:rPr>
              <w:t xml:space="preserve">30%</w:t>
            </w:r>
          </w:p>
        </w:tc>
      </w:tr>
      <w:tr>
        <w:tc>
          <w:tcPr>
            <w:tcW w:type="dxa" w:w="5600"/>
            <w:tcBorders>
              <w:top w:val="single" w:color="AFC3CC" w:sz="1"/>
              <w:left w:val="single" w:color="AFC3CC" w:sz="1"/>
              <w:bottom w:val="single" w:color="AFC3CC" w:sz="1"/>
              <w:right w:val="single" w:color="AFC3CC" w:sz="1"/>
            </w:tcBorders>
            <w:tcMar>
              <w:top w:type="dxa" w:w="80"/>
              <w:left w:type="dxa" w:w="120"/>
              <w:bottom w:type="dxa" w:w="80"/>
              <w:right w:type="dxa" w:w="120"/>
            </w:tcMar>
            <w:vAlign w:val="center"/>
          </w:tcPr>
          <w:p>
            <w:r>
              <w:rPr>
                <w:b w:val="false"/>
                <w:bCs w:val="false"/>
              </w:rPr>
              <w:t xml:space="preserve">Lifecycle cost: base price + 20-yr capacity maintenance + auxiliary energy</w:t>
            </w:r>
          </w:p>
        </w:tc>
        <w:tc>
          <w:tcPr>
            <w:tcW w:type="dxa" w:w="3760"/>
            <w:tcBorders>
              <w:top w:val="single" w:color="AFC3CC" w:sz="1"/>
              <w:left w:val="single" w:color="AFC3CC" w:sz="1"/>
              <w:bottom w:val="single" w:color="AFC3CC" w:sz="1"/>
              <w:right w:val="single" w:color="AFC3CC" w:sz="1"/>
            </w:tcBorders>
            <w:tcMar>
              <w:top w:type="dxa" w:w="80"/>
              <w:left w:type="dxa" w:w="120"/>
              <w:bottom w:type="dxa" w:w="80"/>
              <w:right w:type="dxa" w:w="120"/>
            </w:tcMar>
            <w:vAlign w:val="center"/>
          </w:tcPr>
          <w:p>
            <w:r>
              <w:rPr>
                <w:b w:val="false"/>
                <w:bCs w:val="false"/>
              </w:rPr>
              <w:t xml:space="preserve">30%</w:t>
            </w:r>
          </w:p>
        </w:tc>
      </w:tr>
      <w:tr>
        <w:tc>
          <w:tcPr>
            <w:tcW w:type="dxa" w:w="5600"/>
            <w:tcBorders>
              <w:top w:val="single" w:color="AFC3CC" w:sz="1"/>
              <w:left w:val="single" w:color="AFC3CC" w:sz="1"/>
              <w:bottom w:val="single" w:color="AFC3CC" w:sz="1"/>
              <w:right w:val="single" w:color="AFC3CC" w:sz="1"/>
            </w:tcBorders>
            <w:tcMar>
              <w:top w:type="dxa" w:w="80"/>
              <w:left w:type="dxa" w:w="120"/>
              <w:bottom w:type="dxa" w:w="80"/>
              <w:right w:type="dxa" w:w="120"/>
            </w:tcMar>
            <w:vAlign w:val="center"/>
          </w:tcPr>
          <w:p>
            <w:r>
              <w:rPr>
                <w:b w:val="false"/>
                <w:bCs w:val="false"/>
              </w:rPr>
              <w:t xml:space="preserve">Schedule: delivery and COD commitment with liquidated-damages backing</w:t>
            </w:r>
          </w:p>
        </w:tc>
        <w:tc>
          <w:tcPr>
            <w:tcW w:type="dxa" w:w="3760"/>
            <w:tcBorders>
              <w:top w:val="single" w:color="AFC3CC" w:sz="1"/>
              <w:left w:val="single" w:color="AFC3CC" w:sz="1"/>
              <w:bottom w:val="single" w:color="AFC3CC" w:sz="1"/>
              <w:right w:val="single" w:color="AFC3CC" w:sz="1"/>
            </w:tcBorders>
            <w:tcMar>
              <w:top w:type="dxa" w:w="80"/>
              <w:left w:type="dxa" w:w="120"/>
              <w:bottom w:type="dxa" w:w="80"/>
              <w:right w:type="dxa" w:w="120"/>
            </w:tcMar>
            <w:vAlign w:val="center"/>
          </w:tcPr>
          <w:p>
            <w:r>
              <w:rPr>
                <w:b w:val="false"/>
                <w:bCs w:val="false"/>
              </w:rPr>
              <w:t xml:space="preserve">15%</w:t>
            </w:r>
          </w:p>
        </w:tc>
      </w:tr>
      <w:tr>
        <w:tc>
          <w:tcPr>
            <w:tcW w:type="dxa" w:w="5600"/>
            <w:tcBorders>
              <w:top w:val="single" w:color="AFC3CC" w:sz="1"/>
              <w:left w:val="single" w:color="AFC3CC" w:sz="1"/>
              <w:bottom w:val="single" w:color="AFC3CC" w:sz="1"/>
              <w:right w:val="single" w:color="AFC3CC" w:sz="1"/>
            </w:tcBorders>
            <w:tcMar>
              <w:top w:type="dxa" w:w="80"/>
              <w:left w:type="dxa" w:w="120"/>
              <w:bottom w:type="dxa" w:w="80"/>
              <w:right w:type="dxa" w:w="120"/>
            </w:tcMar>
            <w:vAlign w:val="center"/>
          </w:tcPr>
          <w:p>
            <w:r>
              <w:rPr>
                <w:b w:val="false"/>
                <w:bCs w:val="false"/>
              </w:rPr>
              <w:t xml:space="preserve">Safety evidence quality: installation-level LSFT, FM Approved detection, non-propagation data</w:t>
            </w:r>
          </w:p>
        </w:tc>
        <w:tc>
          <w:tcPr>
            <w:tcW w:type="dxa" w:w="3760"/>
            <w:tcBorders>
              <w:top w:val="single" w:color="AFC3CC" w:sz="1"/>
              <w:left w:val="single" w:color="AFC3CC" w:sz="1"/>
              <w:bottom w:val="single" w:color="AFC3CC" w:sz="1"/>
              <w:right w:val="single" w:color="AFC3CC" w:sz="1"/>
            </w:tcBorders>
            <w:tcMar>
              <w:top w:type="dxa" w:w="80"/>
              <w:left w:type="dxa" w:w="120"/>
              <w:bottom w:type="dxa" w:w="80"/>
              <w:right w:type="dxa" w:w="120"/>
            </w:tcMar>
            <w:vAlign w:val="center"/>
          </w:tcPr>
          <w:p>
            <w:r>
              <w:rPr>
                <w:b w:val="false"/>
                <w:bCs w:val="false"/>
              </w:rPr>
              <w:t xml:space="preserve">15%</w:t>
            </w:r>
          </w:p>
        </w:tc>
      </w:tr>
      <w:tr>
        <w:tc>
          <w:tcPr>
            <w:tcW w:type="dxa" w:w="5600"/>
            <w:tcBorders>
              <w:top w:val="single" w:color="AFC3CC" w:sz="1"/>
              <w:left w:val="single" w:color="AFC3CC" w:sz="1"/>
              <w:bottom w:val="single" w:color="AFC3CC" w:sz="1"/>
              <w:right w:val="single" w:color="AFC3CC" w:sz="1"/>
            </w:tcBorders>
            <w:tcMar>
              <w:top w:type="dxa" w:w="80"/>
              <w:left w:type="dxa" w:w="120"/>
              <w:bottom w:type="dxa" w:w="80"/>
              <w:right w:type="dxa" w:w="120"/>
            </w:tcMar>
            <w:vAlign w:val="center"/>
          </w:tcPr>
          <w:p>
            <w:r>
              <w:rPr>
                <w:b w:val="false"/>
                <w:bCs w:val="false"/>
              </w:rPr>
              <w:t xml:space="preserve">Domestic content and references</w:t>
            </w:r>
          </w:p>
        </w:tc>
        <w:tc>
          <w:tcPr>
            <w:tcW w:type="dxa" w:w="3760"/>
            <w:tcBorders>
              <w:top w:val="single" w:color="AFC3CC" w:sz="1"/>
              <w:left w:val="single" w:color="AFC3CC" w:sz="1"/>
              <w:bottom w:val="single" w:color="AFC3CC" w:sz="1"/>
              <w:right w:val="single" w:color="AFC3CC" w:sz="1"/>
            </w:tcBorders>
            <w:tcMar>
              <w:top w:type="dxa" w:w="80"/>
              <w:left w:type="dxa" w:w="120"/>
              <w:bottom w:type="dxa" w:w="80"/>
              <w:right w:type="dxa" w:w="120"/>
            </w:tcMar>
            <w:vAlign w:val="center"/>
          </w:tcPr>
          <w:p>
            <w:r>
              <w:rPr>
                <w:b w:val="false"/>
                <w:bCs w:val="false"/>
              </w:rPr>
              <w:t xml:space="preserve">10%</w:t>
            </w:r>
          </w:p>
        </w:tc>
      </w:tr>
    </w:tbl>
    <w:p>
      <w:pPr>
        <w:spacing w:after="120"/>
      </w:pPr>
    </w:p>
    <w:p>
      <w:pPr>
        <w:spacing w:after="160"/>
      </w:pPr>
      <w:r>
        <w:t xml:space="preserve">Award, if any, will be to the responsive, responsible bidder representing best overall value. The Buyer reserves the right to reject any or all bids, to waive informalities, and to negotiate with one or more bidders.</w:t>
      </w:r>
    </w:p>
    <w:p>
      <w:r>
        <w:br w:type="page"/>
      </w:r>
    </w:p>
    <w:p>
      <w:pPr>
        <w:pStyle w:val="Heading1"/>
      </w:pPr>
      <w:r>
        <w:t xml:space="preserve">Appendix A — Bidder Compliance Matrix</w:t>
      </w:r>
    </w:p>
    <w:p>
      <w:pPr>
        <w:spacing w:after="160"/>
      </w:pPr>
      <w:r>
        <w:t xml:space="preserve">Complete every row: C = Comply, E = Exception (attach narrative), A = Alternate proposed (attach description). Cite the bid section providing evidence.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5060"/>
        <w:gridCol w:w="1300"/>
        <w:gridCol w:w="1500"/>
      </w:tblGrid>
      <w:tr>
        <w:trPr>
          <w:tblHeader/>
        </w:trPr>
        <w:tc>
          <w:tcPr>
            <w:tcW w:type="dxa" w:w="1500"/>
            <w:tcBorders>
              <w:top w:val="single" w:color="AFC3CC" w:sz="1"/>
              <w:left w:val="single" w:color="AFC3CC" w:sz="1"/>
              <w:bottom w:val="single" w:color="AFC3CC" w:sz="1"/>
              <w:right w:val="single" w:color="AFC3CC" w:sz="1"/>
            </w:tcBorders>
            <w:shd w:fill="DDE7EC" w:val="clear"/>
            <w:tcMar>
              <w:top w:type="dxa" w:w="80"/>
              <w:left w:type="dxa" w:w="120"/>
              <w:bottom w:type="dxa" w:w="80"/>
              <w:right w:type="dxa" w:w="120"/>
            </w:tcMar>
            <w:vAlign w:val="center"/>
          </w:tcPr>
          <w:p>
            <w:r>
              <w:rPr>
                <w:b/>
                <w:bCs/>
              </w:rPr>
              <w:t xml:space="preserve">Ref</w:t>
            </w:r>
          </w:p>
        </w:tc>
        <w:tc>
          <w:tcPr>
            <w:tcW w:type="dxa" w:w="5060"/>
            <w:tcBorders>
              <w:top w:val="single" w:color="AFC3CC" w:sz="1"/>
              <w:left w:val="single" w:color="AFC3CC" w:sz="1"/>
              <w:bottom w:val="single" w:color="AFC3CC" w:sz="1"/>
              <w:right w:val="single" w:color="AFC3CC" w:sz="1"/>
            </w:tcBorders>
            <w:shd w:fill="DDE7EC" w:val="clear"/>
            <w:tcMar>
              <w:top w:type="dxa" w:w="80"/>
              <w:left w:type="dxa" w:w="120"/>
              <w:bottom w:type="dxa" w:w="80"/>
              <w:right w:type="dxa" w:w="120"/>
            </w:tcMar>
            <w:vAlign w:val="center"/>
          </w:tcPr>
          <w:p>
            <w:r>
              <w:rPr>
                <w:b/>
                <w:bCs/>
              </w:rPr>
              <w:t xml:space="preserve">Requirement</w:t>
            </w:r>
          </w:p>
        </w:tc>
        <w:tc>
          <w:tcPr>
            <w:tcW w:type="dxa" w:w="1300"/>
            <w:tcBorders>
              <w:top w:val="single" w:color="AFC3CC" w:sz="1"/>
              <w:left w:val="single" w:color="AFC3CC" w:sz="1"/>
              <w:bottom w:val="single" w:color="AFC3CC" w:sz="1"/>
              <w:right w:val="single" w:color="AFC3CC" w:sz="1"/>
            </w:tcBorders>
            <w:shd w:fill="DDE7EC" w:val="clear"/>
            <w:tcMar>
              <w:top w:type="dxa" w:w="80"/>
              <w:left w:type="dxa" w:w="120"/>
              <w:bottom w:type="dxa" w:w="80"/>
              <w:right w:type="dxa" w:w="120"/>
            </w:tcMar>
            <w:vAlign w:val="center"/>
          </w:tcPr>
          <w:p>
            <w:r>
              <w:rPr>
                <w:b/>
                <w:bCs/>
              </w:rPr>
              <w:t xml:space="preserve">C / E / A</w:t>
            </w:r>
          </w:p>
        </w:tc>
        <w:tc>
          <w:tcPr>
            <w:tcW w:type="dxa" w:w="1500"/>
            <w:tcBorders>
              <w:top w:val="single" w:color="AFC3CC" w:sz="1"/>
              <w:left w:val="single" w:color="AFC3CC" w:sz="1"/>
              <w:bottom w:val="single" w:color="AFC3CC" w:sz="1"/>
              <w:right w:val="single" w:color="AFC3CC" w:sz="1"/>
            </w:tcBorders>
            <w:shd w:fill="DDE7EC" w:val="clear"/>
            <w:tcMar>
              <w:top w:type="dxa" w:w="80"/>
              <w:left w:type="dxa" w:w="120"/>
              <w:bottom w:type="dxa" w:w="80"/>
              <w:right w:type="dxa" w:w="120"/>
            </w:tcMar>
            <w:vAlign w:val="center"/>
          </w:tcPr>
          <w:p>
            <w:r>
              <w:rPr>
                <w:b/>
                <w:bCs/>
              </w:rPr>
              <w:t xml:space="preserve">Evidence §</w:t>
            </w:r>
          </w:p>
        </w:tc>
      </w:tr>
      <w:tr>
        <w:tc>
          <w:tcPr>
            <w:tcW w:type="dxa" w:w="1500"/>
            <w:tcBorders>
              <w:top w:val="single" w:color="AFC3CC" w:sz="1"/>
              <w:left w:val="single" w:color="AFC3CC" w:sz="1"/>
              <w:bottom w:val="single" w:color="AFC3CC" w:sz="1"/>
              <w:right w:val="single" w:color="AFC3CC" w:sz="1"/>
            </w:tcBorders>
            <w:tcMar>
              <w:top w:type="dxa" w:w="80"/>
              <w:left w:type="dxa" w:w="120"/>
              <w:bottom w:type="dxa" w:w="80"/>
              <w:right w:type="dxa" w:w="120"/>
            </w:tcMar>
            <w:vAlign w:val="center"/>
          </w:tcPr>
          <w:p>
            <w:r>
              <w:rPr>
                <w:b w:val="false"/>
                <w:bCs w:val="false"/>
              </w:rPr>
              <w:t xml:space="preserve">§3.1-1</w:t>
            </w:r>
          </w:p>
        </w:tc>
        <w:tc>
          <w:tcPr>
            <w:tcW w:type="dxa" w:w="5060"/>
            <w:tcBorders>
              <w:top w:val="single" w:color="AFC3CC" w:sz="1"/>
              <w:left w:val="single" w:color="AFC3CC" w:sz="1"/>
              <w:bottom w:val="single" w:color="AFC3CC" w:sz="1"/>
              <w:right w:val="single" w:color="AFC3CC" w:sz="1"/>
            </w:tcBorders>
            <w:tcMar>
              <w:top w:type="dxa" w:w="80"/>
              <w:left w:type="dxa" w:w="120"/>
              <w:bottom w:type="dxa" w:w="80"/>
              <w:right w:type="dxa" w:w="120"/>
            </w:tcMar>
            <w:vAlign w:val="center"/>
          </w:tcPr>
          <w:p>
            <w:r>
              <w:rPr>
                <w:b w:val="false"/>
                <w:bCs w:val="false"/>
              </w:rPr>
              <w:t xml:space="preserve">LFP chemistry; cell maker, factory, form factor, US content declared</w:t>
            </w:r>
          </w:p>
        </w:tc>
        <w:tc>
          <w:tcPr>
            <w:tcW w:type="dxa" w:w="1300"/>
            <w:tcBorders>
              <w:top w:val="single" w:color="AFC3CC" w:sz="1"/>
              <w:left w:val="single" w:color="AFC3CC" w:sz="1"/>
              <w:bottom w:val="single" w:color="AFC3CC" w:sz="1"/>
              <w:right w:val="single" w:color="AFC3CC" w:sz="1"/>
            </w:tcBorders>
            <w:tcMar>
              <w:top w:type="dxa" w:w="80"/>
              <w:left w:type="dxa" w:w="120"/>
              <w:bottom w:type="dxa" w:w="80"/>
              <w:right w:type="dxa" w:w="120"/>
            </w:tcMar>
            <w:vAlign w:val="center"/>
          </w:tcPr>
          <w:p>
            <w:r>
              <w:rPr>
                <w:b w:val="false"/>
                <w:bCs w:val="false"/>
              </w:rPr>
              <w:t xml:space="preserve"/>
            </w:r>
          </w:p>
        </w:tc>
        <w:tc>
          <w:tcPr>
            <w:tcW w:type="dxa" w:w="1500"/>
            <w:tcBorders>
              <w:top w:val="single" w:color="AFC3CC" w:sz="1"/>
              <w:left w:val="single" w:color="AFC3CC" w:sz="1"/>
              <w:bottom w:val="single" w:color="AFC3CC" w:sz="1"/>
              <w:right w:val="single" w:color="AFC3CC" w:sz="1"/>
            </w:tcBorders>
            <w:tcMar>
              <w:top w:type="dxa" w:w="80"/>
              <w:left w:type="dxa" w:w="120"/>
              <w:bottom w:type="dxa" w:w="80"/>
              <w:right w:type="dxa" w:w="120"/>
            </w:tcMar>
            <w:vAlign w:val="center"/>
          </w:tcPr>
          <w:p>
            <w:r>
              <w:rPr>
                <w:b w:val="false"/>
                <w:bCs w:val="false"/>
              </w:rPr>
              <w:t xml:space="preserve"/>
            </w:r>
          </w:p>
        </w:tc>
      </w:tr>
      <w:tr>
        <w:tc>
          <w:tcPr>
            <w:tcW w:type="dxa" w:w="1500"/>
            <w:tcBorders>
              <w:top w:val="single" w:color="AFC3CC" w:sz="1"/>
              <w:left w:val="single" w:color="AFC3CC" w:sz="1"/>
              <w:bottom w:val="single" w:color="AFC3CC" w:sz="1"/>
              <w:right w:val="single" w:color="AFC3CC" w:sz="1"/>
            </w:tcBorders>
            <w:tcMar>
              <w:top w:type="dxa" w:w="80"/>
              <w:left w:type="dxa" w:w="120"/>
              <w:bottom w:type="dxa" w:w="80"/>
              <w:right w:type="dxa" w:w="120"/>
            </w:tcMar>
            <w:vAlign w:val="center"/>
          </w:tcPr>
          <w:p>
            <w:r>
              <w:rPr>
                <w:b w:val="false"/>
                <w:bCs w:val="false"/>
              </w:rPr>
              <w:t xml:space="preserve">§3.1-2</w:t>
            </w:r>
          </w:p>
        </w:tc>
        <w:tc>
          <w:tcPr>
            <w:tcW w:type="dxa" w:w="5060"/>
            <w:tcBorders>
              <w:top w:val="single" w:color="AFC3CC" w:sz="1"/>
              <w:left w:val="single" w:color="AFC3CC" w:sz="1"/>
              <w:bottom w:val="single" w:color="AFC3CC" w:sz="1"/>
              <w:right w:val="single" w:color="AFC3CC" w:sz="1"/>
            </w:tcBorders>
            <w:tcMar>
              <w:top w:type="dxa" w:w="80"/>
              <w:left w:type="dxa" w:w="120"/>
              <w:bottom w:type="dxa" w:w="80"/>
              <w:right w:type="dxa" w:w="120"/>
            </w:tcMar>
            <w:vAlign w:val="center"/>
          </w:tcPr>
          <w:p>
            <w:r>
              <w:rPr>
                <w:b w:val="false"/>
                <w:bCs w:val="false"/>
              </w:rPr>
              <w:t xml:space="preserve">DC-coupled; battery-side DC window stated</w:t>
            </w:r>
          </w:p>
        </w:tc>
        <w:tc>
          <w:tcPr>
            <w:tcW w:type="dxa" w:w="1300"/>
            <w:tcBorders>
              <w:top w:val="single" w:color="AFC3CC" w:sz="1"/>
              <w:left w:val="single" w:color="AFC3CC" w:sz="1"/>
              <w:bottom w:val="single" w:color="AFC3CC" w:sz="1"/>
              <w:right w:val="single" w:color="AFC3CC" w:sz="1"/>
            </w:tcBorders>
            <w:tcMar>
              <w:top w:type="dxa" w:w="80"/>
              <w:left w:type="dxa" w:w="120"/>
              <w:bottom w:type="dxa" w:w="80"/>
              <w:right w:type="dxa" w:w="120"/>
            </w:tcMar>
            <w:vAlign w:val="center"/>
          </w:tcPr>
          <w:p>
            <w:r>
              <w:rPr>
                <w:b w:val="false"/>
                <w:bCs w:val="false"/>
              </w:rPr>
              <w:t xml:space="preserve"/>
            </w:r>
          </w:p>
        </w:tc>
        <w:tc>
          <w:tcPr>
            <w:tcW w:type="dxa" w:w="1500"/>
            <w:tcBorders>
              <w:top w:val="single" w:color="AFC3CC" w:sz="1"/>
              <w:left w:val="single" w:color="AFC3CC" w:sz="1"/>
              <w:bottom w:val="single" w:color="AFC3CC" w:sz="1"/>
              <w:right w:val="single" w:color="AFC3CC" w:sz="1"/>
            </w:tcBorders>
            <w:tcMar>
              <w:top w:type="dxa" w:w="80"/>
              <w:left w:type="dxa" w:w="120"/>
              <w:bottom w:type="dxa" w:w="80"/>
              <w:right w:type="dxa" w:w="120"/>
            </w:tcMar>
            <w:vAlign w:val="center"/>
          </w:tcPr>
          <w:p>
            <w:r>
              <w:rPr>
                <w:b w:val="false"/>
                <w:bCs w:val="false"/>
              </w:rPr>
              <w:t xml:space="preserve"/>
            </w:r>
          </w:p>
        </w:tc>
      </w:tr>
      <w:tr>
        <w:tc>
          <w:tcPr>
            <w:tcW w:type="dxa" w:w="1500"/>
            <w:tcBorders>
              <w:top w:val="single" w:color="AFC3CC" w:sz="1"/>
              <w:left w:val="single" w:color="AFC3CC" w:sz="1"/>
              <w:bottom w:val="single" w:color="AFC3CC" w:sz="1"/>
              <w:right w:val="single" w:color="AFC3CC" w:sz="1"/>
            </w:tcBorders>
            <w:tcMar>
              <w:top w:type="dxa" w:w="80"/>
              <w:left w:type="dxa" w:w="120"/>
              <w:bottom w:type="dxa" w:w="80"/>
              <w:right w:type="dxa" w:w="120"/>
            </w:tcMar>
            <w:vAlign w:val="center"/>
          </w:tcPr>
          <w:p>
            <w:r>
              <w:rPr>
                <w:b w:val="false"/>
                <w:bCs w:val="false"/>
              </w:rPr>
              <w:t xml:space="preserve">§3.1-3</w:t>
            </w:r>
          </w:p>
        </w:tc>
        <w:tc>
          <w:tcPr>
            <w:tcW w:type="dxa" w:w="5060"/>
            <w:tcBorders>
              <w:top w:val="single" w:color="AFC3CC" w:sz="1"/>
              <w:left w:val="single" w:color="AFC3CC" w:sz="1"/>
              <w:bottom w:val="single" w:color="AFC3CC" w:sz="1"/>
              <w:right w:val="single" w:color="AFC3CC" w:sz="1"/>
            </w:tcBorders>
            <w:tcMar>
              <w:top w:type="dxa" w:w="80"/>
              <w:left w:type="dxa" w:w="120"/>
              <w:bottom w:type="dxa" w:w="80"/>
              <w:right w:type="dxa" w:w="120"/>
            </w:tcMar>
            <w:vAlign w:val="center"/>
          </w:tcPr>
          <w:p>
            <w:r>
              <w:rPr>
                <w:b w:val="false"/>
                <w:bCs w:val="false"/>
              </w:rPr>
              <w:t xml:space="preserve">≥2 independent fault domains; split proposal provided</w:t>
            </w:r>
          </w:p>
        </w:tc>
        <w:tc>
          <w:tcPr>
            <w:tcW w:type="dxa" w:w="1300"/>
            <w:tcBorders>
              <w:top w:val="single" w:color="AFC3CC" w:sz="1"/>
              <w:left w:val="single" w:color="AFC3CC" w:sz="1"/>
              <w:bottom w:val="single" w:color="AFC3CC" w:sz="1"/>
              <w:right w:val="single" w:color="AFC3CC" w:sz="1"/>
            </w:tcBorders>
            <w:tcMar>
              <w:top w:type="dxa" w:w="80"/>
              <w:left w:type="dxa" w:w="120"/>
              <w:bottom w:type="dxa" w:w="80"/>
              <w:right w:type="dxa" w:w="120"/>
            </w:tcMar>
            <w:vAlign w:val="center"/>
          </w:tcPr>
          <w:p>
            <w:r>
              <w:rPr>
                <w:b w:val="false"/>
                <w:bCs w:val="false"/>
              </w:rPr>
              <w:t xml:space="preserve"/>
            </w:r>
          </w:p>
        </w:tc>
        <w:tc>
          <w:tcPr>
            <w:tcW w:type="dxa" w:w="1500"/>
            <w:tcBorders>
              <w:top w:val="single" w:color="AFC3CC" w:sz="1"/>
              <w:left w:val="single" w:color="AFC3CC" w:sz="1"/>
              <w:bottom w:val="single" w:color="AFC3CC" w:sz="1"/>
              <w:right w:val="single" w:color="AFC3CC" w:sz="1"/>
            </w:tcBorders>
            <w:tcMar>
              <w:top w:type="dxa" w:w="80"/>
              <w:left w:type="dxa" w:w="120"/>
              <w:bottom w:type="dxa" w:w="80"/>
              <w:right w:type="dxa" w:w="120"/>
            </w:tcMar>
            <w:vAlign w:val="center"/>
          </w:tcPr>
          <w:p>
            <w:r>
              <w:rPr>
                <w:b w:val="false"/>
                <w:bCs w:val="false"/>
              </w:rPr>
              <w:t xml:space="preserve"/>
            </w:r>
          </w:p>
        </w:tc>
      </w:tr>
      <w:tr>
        <w:tc>
          <w:tcPr>
            <w:tcW w:type="dxa" w:w="1500"/>
            <w:tcBorders>
              <w:top w:val="single" w:color="AFC3CC" w:sz="1"/>
              <w:left w:val="single" w:color="AFC3CC" w:sz="1"/>
              <w:bottom w:val="single" w:color="AFC3CC" w:sz="1"/>
              <w:right w:val="single" w:color="AFC3CC" w:sz="1"/>
            </w:tcBorders>
            <w:tcMar>
              <w:top w:type="dxa" w:w="80"/>
              <w:left w:type="dxa" w:w="120"/>
              <w:bottom w:type="dxa" w:w="80"/>
              <w:right w:type="dxa" w:w="120"/>
            </w:tcMar>
            <w:vAlign w:val="center"/>
          </w:tcPr>
          <w:p>
            <w:r>
              <w:rPr>
                <w:b w:val="false"/>
                <w:bCs w:val="false"/>
              </w:rPr>
              <w:t xml:space="preserve">§3.2-1</w:t>
            </w:r>
          </w:p>
        </w:tc>
        <w:tc>
          <w:tcPr>
            <w:tcW w:type="dxa" w:w="5060"/>
            <w:tcBorders>
              <w:top w:val="single" w:color="AFC3CC" w:sz="1"/>
              <w:left w:val="single" w:color="AFC3CC" w:sz="1"/>
              <w:bottom w:val="single" w:color="AFC3CC" w:sz="1"/>
              <w:right w:val="single" w:color="AFC3CC" w:sz="1"/>
            </w:tcBorders>
            <w:tcMar>
              <w:top w:type="dxa" w:w="80"/>
              <w:left w:type="dxa" w:w="120"/>
              <w:bottom w:type="dxa" w:w="80"/>
              <w:right w:type="dxa" w:w="120"/>
            </w:tcMar>
            <w:vAlign w:val="center"/>
          </w:tcPr>
          <w:p>
            <w:r>
              <w:rPr>
                <w:b w:val="false"/>
                <w:bCs w:val="false"/>
              </w:rPr>
              <w:t xml:space="preserve">6.0 MW / 30 min / 3.0 MWh usable at BOL, site ambient</w:t>
            </w:r>
          </w:p>
        </w:tc>
        <w:tc>
          <w:tcPr>
            <w:tcW w:type="dxa" w:w="1300"/>
            <w:tcBorders>
              <w:top w:val="single" w:color="AFC3CC" w:sz="1"/>
              <w:left w:val="single" w:color="AFC3CC" w:sz="1"/>
              <w:bottom w:val="single" w:color="AFC3CC" w:sz="1"/>
              <w:right w:val="single" w:color="AFC3CC" w:sz="1"/>
            </w:tcBorders>
            <w:tcMar>
              <w:top w:type="dxa" w:w="80"/>
              <w:left w:type="dxa" w:w="120"/>
              <w:bottom w:type="dxa" w:w="80"/>
              <w:right w:type="dxa" w:w="120"/>
            </w:tcMar>
            <w:vAlign w:val="center"/>
          </w:tcPr>
          <w:p>
            <w:r>
              <w:rPr>
                <w:b w:val="false"/>
                <w:bCs w:val="false"/>
              </w:rPr>
              <w:t xml:space="preserve"/>
            </w:r>
          </w:p>
        </w:tc>
        <w:tc>
          <w:tcPr>
            <w:tcW w:type="dxa" w:w="1500"/>
            <w:tcBorders>
              <w:top w:val="single" w:color="AFC3CC" w:sz="1"/>
              <w:left w:val="single" w:color="AFC3CC" w:sz="1"/>
              <w:bottom w:val="single" w:color="AFC3CC" w:sz="1"/>
              <w:right w:val="single" w:color="AFC3CC" w:sz="1"/>
            </w:tcBorders>
            <w:tcMar>
              <w:top w:type="dxa" w:w="80"/>
              <w:left w:type="dxa" w:w="120"/>
              <w:bottom w:type="dxa" w:w="80"/>
              <w:right w:type="dxa" w:w="120"/>
            </w:tcMar>
            <w:vAlign w:val="center"/>
          </w:tcPr>
          <w:p>
            <w:r>
              <w:rPr>
                <w:b w:val="false"/>
                <w:bCs w:val="false"/>
              </w:rPr>
              <w:t xml:space="preserve"/>
            </w:r>
          </w:p>
        </w:tc>
      </w:tr>
      <w:tr>
        <w:tc>
          <w:tcPr>
            <w:tcW w:type="dxa" w:w="1500"/>
            <w:tcBorders>
              <w:top w:val="single" w:color="AFC3CC" w:sz="1"/>
              <w:left w:val="single" w:color="AFC3CC" w:sz="1"/>
              <w:bottom w:val="single" w:color="AFC3CC" w:sz="1"/>
              <w:right w:val="single" w:color="AFC3CC" w:sz="1"/>
            </w:tcBorders>
            <w:tcMar>
              <w:top w:type="dxa" w:w="80"/>
              <w:left w:type="dxa" w:w="120"/>
              <w:bottom w:type="dxa" w:w="80"/>
              <w:right w:type="dxa" w:w="120"/>
            </w:tcMar>
            <w:vAlign w:val="center"/>
          </w:tcPr>
          <w:p>
            <w:r>
              <w:rPr>
                <w:b w:val="false"/>
                <w:bCs w:val="false"/>
              </w:rPr>
              <w:t xml:space="preserve">§3.2-2</w:t>
            </w:r>
          </w:p>
        </w:tc>
        <w:tc>
          <w:tcPr>
            <w:tcW w:type="dxa" w:w="5060"/>
            <w:tcBorders>
              <w:top w:val="single" w:color="AFC3CC" w:sz="1"/>
              <w:left w:val="single" w:color="AFC3CC" w:sz="1"/>
              <w:bottom w:val="single" w:color="AFC3CC" w:sz="1"/>
              <w:right w:val="single" w:color="AFC3CC" w:sz="1"/>
            </w:tcBorders>
            <w:tcMar>
              <w:top w:type="dxa" w:w="80"/>
              <w:left w:type="dxa" w:w="120"/>
              <w:bottom w:type="dxa" w:w="80"/>
              <w:right w:type="dxa" w:w="120"/>
            </w:tcMar>
            <w:vAlign w:val="center"/>
          </w:tcPr>
          <w:p>
            <w:r>
              <w:rPr>
                <w:b w:val="false"/>
                <w:bCs w:val="false"/>
              </w:rPr>
              <w:t xml:space="preserve">0→6 MW step; response time stated</w:t>
            </w:r>
          </w:p>
        </w:tc>
        <w:tc>
          <w:tcPr>
            <w:tcW w:type="dxa" w:w="1300"/>
            <w:tcBorders>
              <w:top w:val="single" w:color="AFC3CC" w:sz="1"/>
              <w:left w:val="single" w:color="AFC3CC" w:sz="1"/>
              <w:bottom w:val="single" w:color="AFC3CC" w:sz="1"/>
              <w:right w:val="single" w:color="AFC3CC" w:sz="1"/>
            </w:tcBorders>
            <w:tcMar>
              <w:top w:type="dxa" w:w="80"/>
              <w:left w:type="dxa" w:w="120"/>
              <w:bottom w:type="dxa" w:w="80"/>
              <w:right w:type="dxa" w:w="120"/>
            </w:tcMar>
            <w:vAlign w:val="center"/>
          </w:tcPr>
          <w:p>
            <w:r>
              <w:rPr>
                <w:b w:val="false"/>
                <w:bCs w:val="false"/>
              </w:rPr>
              <w:t xml:space="preserve"/>
            </w:r>
          </w:p>
        </w:tc>
        <w:tc>
          <w:tcPr>
            <w:tcW w:type="dxa" w:w="1500"/>
            <w:tcBorders>
              <w:top w:val="single" w:color="AFC3CC" w:sz="1"/>
              <w:left w:val="single" w:color="AFC3CC" w:sz="1"/>
              <w:bottom w:val="single" w:color="AFC3CC" w:sz="1"/>
              <w:right w:val="single" w:color="AFC3CC" w:sz="1"/>
            </w:tcBorders>
            <w:tcMar>
              <w:top w:type="dxa" w:w="80"/>
              <w:left w:type="dxa" w:w="120"/>
              <w:bottom w:type="dxa" w:w="80"/>
              <w:right w:type="dxa" w:w="120"/>
            </w:tcMar>
            <w:vAlign w:val="center"/>
          </w:tcPr>
          <w:p>
            <w:r>
              <w:rPr>
                <w:b w:val="false"/>
                <w:bCs w:val="false"/>
              </w:rPr>
              <w:t xml:space="preserve"/>
            </w:r>
          </w:p>
        </w:tc>
      </w:tr>
      <w:tr>
        <w:tc>
          <w:tcPr>
            <w:tcW w:type="dxa" w:w="1500"/>
            <w:tcBorders>
              <w:top w:val="single" w:color="AFC3CC" w:sz="1"/>
              <w:left w:val="single" w:color="AFC3CC" w:sz="1"/>
              <w:bottom w:val="single" w:color="AFC3CC" w:sz="1"/>
              <w:right w:val="single" w:color="AFC3CC" w:sz="1"/>
            </w:tcBorders>
            <w:tcMar>
              <w:top w:type="dxa" w:w="80"/>
              <w:left w:type="dxa" w:w="120"/>
              <w:bottom w:type="dxa" w:w="80"/>
              <w:right w:type="dxa" w:w="120"/>
            </w:tcMar>
            <w:vAlign w:val="center"/>
          </w:tcPr>
          <w:p>
            <w:r>
              <w:rPr>
                <w:b w:val="false"/>
                <w:bCs w:val="false"/>
              </w:rPr>
              <w:t xml:space="preserve">§3.2-3</w:t>
            </w:r>
          </w:p>
        </w:tc>
        <w:tc>
          <w:tcPr>
            <w:tcW w:type="dxa" w:w="5060"/>
            <w:tcBorders>
              <w:top w:val="single" w:color="AFC3CC" w:sz="1"/>
              <w:left w:val="single" w:color="AFC3CC" w:sz="1"/>
              <w:bottom w:val="single" w:color="AFC3CC" w:sz="1"/>
              <w:right w:val="single" w:color="AFC3CC" w:sz="1"/>
            </w:tcBorders>
            <w:tcMar>
              <w:top w:type="dxa" w:w="80"/>
              <w:left w:type="dxa" w:w="120"/>
              <w:bottom w:type="dxa" w:w="80"/>
              <w:right w:type="dxa" w:w="120"/>
            </w:tcMar>
            <w:vAlign w:val="center"/>
          </w:tcPr>
          <w:p>
            <w:r>
              <w:rPr>
                <w:b w:val="false"/>
                <w:bCs w:val="false"/>
              </w:rPr>
              <w:t xml:space="preserve">Degradation curves; EOL capacity at yr 10/15/20</w:t>
            </w:r>
          </w:p>
        </w:tc>
        <w:tc>
          <w:tcPr>
            <w:tcW w:type="dxa" w:w="1300"/>
            <w:tcBorders>
              <w:top w:val="single" w:color="AFC3CC" w:sz="1"/>
              <w:left w:val="single" w:color="AFC3CC" w:sz="1"/>
              <w:bottom w:val="single" w:color="AFC3CC" w:sz="1"/>
              <w:right w:val="single" w:color="AFC3CC" w:sz="1"/>
            </w:tcBorders>
            <w:tcMar>
              <w:top w:type="dxa" w:w="80"/>
              <w:left w:type="dxa" w:w="120"/>
              <w:bottom w:type="dxa" w:w="80"/>
              <w:right w:type="dxa" w:w="120"/>
            </w:tcMar>
            <w:vAlign w:val="center"/>
          </w:tcPr>
          <w:p>
            <w:r>
              <w:rPr>
                <w:b w:val="false"/>
                <w:bCs w:val="false"/>
              </w:rPr>
              <w:t xml:space="preserve"/>
            </w:r>
          </w:p>
        </w:tc>
        <w:tc>
          <w:tcPr>
            <w:tcW w:type="dxa" w:w="1500"/>
            <w:tcBorders>
              <w:top w:val="single" w:color="AFC3CC" w:sz="1"/>
              <w:left w:val="single" w:color="AFC3CC" w:sz="1"/>
              <w:bottom w:val="single" w:color="AFC3CC" w:sz="1"/>
              <w:right w:val="single" w:color="AFC3CC" w:sz="1"/>
            </w:tcBorders>
            <w:tcMar>
              <w:top w:type="dxa" w:w="80"/>
              <w:left w:type="dxa" w:w="120"/>
              <w:bottom w:type="dxa" w:w="80"/>
              <w:right w:type="dxa" w:w="120"/>
            </w:tcMar>
            <w:vAlign w:val="center"/>
          </w:tcPr>
          <w:p>
            <w:r>
              <w:rPr>
                <w:b w:val="false"/>
                <w:bCs w:val="false"/>
              </w:rPr>
              <w:t xml:space="preserve"/>
            </w:r>
          </w:p>
        </w:tc>
      </w:tr>
      <w:tr>
        <w:tc>
          <w:tcPr>
            <w:tcW w:type="dxa" w:w="1500"/>
            <w:tcBorders>
              <w:top w:val="single" w:color="AFC3CC" w:sz="1"/>
              <w:left w:val="single" w:color="AFC3CC" w:sz="1"/>
              <w:bottom w:val="single" w:color="AFC3CC" w:sz="1"/>
              <w:right w:val="single" w:color="AFC3CC" w:sz="1"/>
            </w:tcBorders>
            <w:tcMar>
              <w:top w:type="dxa" w:w="80"/>
              <w:left w:type="dxa" w:w="120"/>
              <w:bottom w:type="dxa" w:w="80"/>
              <w:right w:type="dxa" w:w="120"/>
            </w:tcMar>
            <w:vAlign w:val="center"/>
          </w:tcPr>
          <w:p>
            <w:r>
              <w:rPr>
                <w:b w:val="false"/>
                <w:bCs w:val="false"/>
              </w:rPr>
              <w:t xml:space="preserve">§3.2-4</w:t>
            </w:r>
          </w:p>
        </w:tc>
        <w:tc>
          <w:tcPr>
            <w:tcW w:type="dxa" w:w="5060"/>
            <w:tcBorders>
              <w:top w:val="single" w:color="AFC3CC" w:sz="1"/>
              <w:left w:val="single" w:color="AFC3CC" w:sz="1"/>
              <w:bottom w:val="single" w:color="AFC3CC" w:sz="1"/>
              <w:right w:val="single" w:color="AFC3CC" w:sz="1"/>
            </w:tcBorders>
            <w:tcMar>
              <w:top w:type="dxa" w:w="80"/>
              <w:left w:type="dxa" w:w="120"/>
              <w:bottom w:type="dxa" w:w="80"/>
              <w:right w:type="dxa" w:w="120"/>
            </w:tcMar>
            <w:vAlign w:val="center"/>
          </w:tcPr>
          <w:p>
            <w:r>
              <w:rPr>
                <w:b w:val="false"/>
                <w:bCs w:val="false"/>
              </w:rPr>
              <w:t xml:space="preserve">Recharge limits stated; external EMS rate-limit accepted (CE-1/CE-2)</w:t>
            </w:r>
          </w:p>
        </w:tc>
        <w:tc>
          <w:tcPr>
            <w:tcW w:type="dxa" w:w="1300"/>
            <w:tcBorders>
              <w:top w:val="single" w:color="AFC3CC" w:sz="1"/>
              <w:left w:val="single" w:color="AFC3CC" w:sz="1"/>
              <w:bottom w:val="single" w:color="AFC3CC" w:sz="1"/>
              <w:right w:val="single" w:color="AFC3CC" w:sz="1"/>
            </w:tcBorders>
            <w:tcMar>
              <w:top w:type="dxa" w:w="80"/>
              <w:left w:type="dxa" w:w="120"/>
              <w:bottom w:type="dxa" w:w="80"/>
              <w:right w:type="dxa" w:w="120"/>
            </w:tcMar>
            <w:vAlign w:val="center"/>
          </w:tcPr>
          <w:p>
            <w:r>
              <w:rPr>
                <w:b w:val="false"/>
                <w:bCs w:val="false"/>
              </w:rPr>
              <w:t xml:space="preserve"/>
            </w:r>
          </w:p>
        </w:tc>
        <w:tc>
          <w:tcPr>
            <w:tcW w:type="dxa" w:w="1500"/>
            <w:tcBorders>
              <w:top w:val="single" w:color="AFC3CC" w:sz="1"/>
              <w:left w:val="single" w:color="AFC3CC" w:sz="1"/>
              <w:bottom w:val="single" w:color="AFC3CC" w:sz="1"/>
              <w:right w:val="single" w:color="AFC3CC" w:sz="1"/>
            </w:tcBorders>
            <w:tcMar>
              <w:top w:type="dxa" w:w="80"/>
              <w:left w:type="dxa" w:w="120"/>
              <w:bottom w:type="dxa" w:w="80"/>
              <w:right w:type="dxa" w:w="120"/>
            </w:tcMar>
            <w:vAlign w:val="center"/>
          </w:tcPr>
          <w:p>
            <w:r>
              <w:rPr>
                <w:b w:val="false"/>
                <w:bCs w:val="false"/>
              </w:rPr>
              <w:t xml:space="preserve"/>
            </w:r>
          </w:p>
        </w:tc>
      </w:tr>
      <w:tr>
        <w:tc>
          <w:tcPr>
            <w:tcW w:type="dxa" w:w="1500"/>
            <w:tcBorders>
              <w:top w:val="single" w:color="AFC3CC" w:sz="1"/>
              <w:left w:val="single" w:color="AFC3CC" w:sz="1"/>
              <w:bottom w:val="single" w:color="AFC3CC" w:sz="1"/>
              <w:right w:val="single" w:color="AFC3CC" w:sz="1"/>
            </w:tcBorders>
            <w:tcMar>
              <w:top w:type="dxa" w:w="80"/>
              <w:left w:type="dxa" w:w="120"/>
              <w:bottom w:type="dxa" w:w="80"/>
              <w:right w:type="dxa" w:w="120"/>
            </w:tcMar>
            <w:vAlign w:val="center"/>
          </w:tcPr>
          <w:p>
            <w:r>
              <w:rPr>
                <w:b w:val="false"/>
                <w:bCs w:val="false"/>
              </w:rPr>
              <w:t xml:space="preserve">§3.2-5</w:t>
            </w:r>
          </w:p>
        </w:tc>
        <w:tc>
          <w:tcPr>
            <w:tcW w:type="dxa" w:w="5060"/>
            <w:tcBorders>
              <w:top w:val="single" w:color="AFC3CC" w:sz="1"/>
              <w:left w:val="single" w:color="AFC3CC" w:sz="1"/>
              <w:bottom w:val="single" w:color="AFC3CC" w:sz="1"/>
              <w:right w:val="single" w:color="AFC3CC" w:sz="1"/>
            </w:tcBorders>
            <w:tcMar>
              <w:top w:type="dxa" w:w="80"/>
              <w:left w:type="dxa" w:w="120"/>
              <w:bottom w:type="dxa" w:w="80"/>
              <w:right w:type="dxa" w:w="120"/>
            </w:tcMar>
            <w:vAlign w:val="center"/>
          </w:tcPr>
          <w:p>
            <w:r>
              <w:rPr>
                <w:b w:val="false"/>
                <w:bCs w:val="false"/>
              </w:rPr>
              <w:t xml:space="preserve">RTE and auxiliary loads stated</w:t>
            </w:r>
          </w:p>
        </w:tc>
        <w:tc>
          <w:tcPr>
            <w:tcW w:type="dxa" w:w="1300"/>
            <w:tcBorders>
              <w:top w:val="single" w:color="AFC3CC" w:sz="1"/>
              <w:left w:val="single" w:color="AFC3CC" w:sz="1"/>
              <w:bottom w:val="single" w:color="AFC3CC" w:sz="1"/>
              <w:right w:val="single" w:color="AFC3CC" w:sz="1"/>
            </w:tcBorders>
            <w:tcMar>
              <w:top w:type="dxa" w:w="80"/>
              <w:left w:type="dxa" w:w="120"/>
              <w:bottom w:type="dxa" w:w="80"/>
              <w:right w:type="dxa" w:w="120"/>
            </w:tcMar>
            <w:vAlign w:val="center"/>
          </w:tcPr>
          <w:p>
            <w:r>
              <w:rPr>
                <w:b w:val="false"/>
                <w:bCs w:val="false"/>
              </w:rPr>
              <w:t xml:space="preserve"/>
            </w:r>
          </w:p>
        </w:tc>
        <w:tc>
          <w:tcPr>
            <w:tcW w:type="dxa" w:w="1500"/>
            <w:tcBorders>
              <w:top w:val="single" w:color="AFC3CC" w:sz="1"/>
              <w:left w:val="single" w:color="AFC3CC" w:sz="1"/>
              <w:bottom w:val="single" w:color="AFC3CC" w:sz="1"/>
              <w:right w:val="single" w:color="AFC3CC" w:sz="1"/>
            </w:tcBorders>
            <w:tcMar>
              <w:top w:type="dxa" w:w="80"/>
              <w:left w:type="dxa" w:w="120"/>
              <w:bottom w:type="dxa" w:w="80"/>
              <w:right w:type="dxa" w:w="120"/>
            </w:tcMar>
            <w:vAlign w:val="center"/>
          </w:tcPr>
          <w:p>
            <w:r>
              <w:rPr>
                <w:b w:val="false"/>
                <w:bCs w:val="false"/>
              </w:rPr>
              <w:t xml:space="preserve"/>
            </w:r>
          </w:p>
        </w:tc>
      </w:tr>
      <w:tr>
        <w:tc>
          <w:tcPr>
            <w:tcW w:type="dxa" w:w="1500"/>
            <w:tcBorders>
              <w:top w:val="single" w:color="AFC3CC" w:sz="1"/>
              <w:left w:val="single" w:color="AFC3CC" w:sz="1"/>
              <w:bottom w:val="single" w:color="AFC3CC" w:sz="1"/>
              <w:right w:val="single" w:color="AFC3CC" w:sz="1"/>
            </w:tcBorders>
            <w:tcMar>
              <w:top w:type="dxa" w:w="80"/>
              <w:left w:type="dxa" w:w="120"/>
              <w:bottom w:type="dxa" w:w="80"/>
              <w:right w:type="dxa" w:w="120"/>
            </w:tcMar>
            <w:vAlign w:val="center"/>
          </w:tcPr>
          <w:p>
            <w:r>
              <w:rPr>
                <w:b w:val="false"/>
                <w:bCs w:val="false"/>
              </w:rPr>
              <w:t xml:space="preserve">§3.3-1</w:t>
            </w:r>
          </w:p>
        </w:tc>
        <w:tc>
          <w:tcPr>
            <w:tcW w:type="dxa" w:w="5060"/>
            <w:tcBorders>
              <w:top w:val="single" w:color="AFC3CC" w:sz="1"/>
              <w:left w:val="single" w:color="AFC3CC" w:sz="1"/>
              <w:bottom w:val="single" w:color="AFC3CC" w:sz="1"/>
              <w:right w:val="single" w:color="AFC3CC" w:sz="1"/>
            </w:tcBorders>
            <w:tcMar>
              <w:top w:type="dxa" w:w="80"/>
              <w:left w:type="dxa" w:w="120"/>
              <w:bottom w:type="dxa" w:w="80"/>
              <w:right w:type="dxa" w:w="120"/>
            </w:tcMar>
            <w:vAlign w:val="center"/>
          </w:tcPr>
          <w:p>
            <w:r>
              <w:rPr>
                <w:b w:val="false"/>
                <w:bCs w:val="false"/>
              </w:rPr>
              <w:t xml:space="preserve">Gulf Coast outdoor rating; NEMA/IP, wind, corrosion stated</w:t>
            </w:r>
          </w:p>
        </w:tc>
        <w:tc>
          <w:tcPr>
            <w:tcW w:type="dxa" w:w="1300"/>
            <w:tcBorders>
              <w:top w:val="single" w:color="AFC3CC" w:sz="1"/>
              <w:left w:val="single" w:color="AFC3CC" w:sz="1"/>
              <w:bottom w:val="single" w:color="AFC3CC" w:sz="1"/>
              <w:right w:val="single" w:color="AFC3CC" w:sz="1"/>
            </w:tcBorders>
            <w:tcMar>
              <w:top w:type="dxa" w:w="80"/>
              <w:left w:type="dxa" w:w="120"/>
              <w:bottom w:type="dxa" w:w="80"/>
              <w:right w:type="dxa" w:w="120"/>
            </w:tcMar>
            <w:vAlign w:val="center"/>
          </w:tcPr>
          <w:p>
            <w:r>
              <w:rPr>
                <w:b w:val="false"/>
                <w:bCs w:val="false"/>
              </w:rPr>
              <w:t xml:space="preserve"/>
            </w:r>
          </w:p>
        </w:tc>
        <w:tc>
          <w:tcPr>
            <w:tcW w:type="dxa" w:w="1500"/>
            <w:tcBorders>
              <w:top w:val="single" w:color="AFC3CC" w:sz="1"/>
              <w:left w:val="single" w:color="AFC3CC" w:sz="1"/>
              <w:bottom w:val="single" w:color="AFC3CC" w:sz="1"/>
              <w:right w:val="single" w:color="AFC3CC" w:sz="1"/>
            </w:tcBorders>
            <w:tcMar>
              <w:top w:type="dxa" w:w="80"/>
              <w:left w:type="dxa" w:w="120"/>
              <w:bottom w:type="dxa" w:w="80"/>
              <w:right w:type="dxa" w:w="120"/>
            </w:tcMar>
            <w:vAlign w:val="center"/>
          </w:tcPr>
          <w:p>
            <w:r>
              <w:rPr>
                <w:b w:val="false"/>
                <w:bCs w:val="false"/>
              </w:rPr>
              <w:t xml:space="preserve"/>
            </w:r>
          </w:p>
        </w:tc>
      </w:tr>
      <w:tr>
        <w:tc>
          <w:tcPr>
            <w:tcW w:type="dxa" w:w="1500"/>
            <w:tcBorders>
              <w:top w:val="single" w:color="AFC3CC" w:sz="1"/>
              <w:left w:val="single" w:color="AFC3CC" w:sz="1"/>
              <w:bottom w:val="single" w:color="AFC3CC" w:sz="1"/>
              <w:right w:val="single" w:color="AFC3CC" w:sz="1"/>
            </w:tcBorders>
            <w:tcMar>
              <w:top w:type="dxa" w:w="80"/>
              <w:left w:type="dxa" w:w="120"/>
              <w:bottom w:type="dxa" w:w="80"/>
              <w:right w:type="dxa" w:w="120"/>
            </w:tcMar>
            <w:vAlign w:val="center"/>
          </w:tcPr>
          <w:p>
            <w:r>
              <w:rPr>
                <w:b w:val="false"/>
                <w:bCs w:val="false"/>
              </w:rPr>
              <w:t xml:space="preserve">§3.3-2</w:t>
            </w:r>
          </w:p>
        </w:tc>
        <w:tc>
          <w:tcPr>
            <w:tcW w:type="dxa" w:w="5060"/>
            <w:tcBorders>
              <w:top w:val="single" w:color="AFC3CC" w:sz="1"/>
              <w:left w:val="single" w:color="AFC3CC" w:sz="1"/>
              <w:bottom w:val="single" w:color="AFC3CC" w:sz="1"/>
              <w:right w:val="single" w:color="AFC3CC" w:sz="1"/>
            </w:tcBorders>
            <w:tcMar>
              <w:top w:type="dxa" w:w="80"/>
              <w:left w:type="dxa" w:w="120"/>
              <w:bottom w:type="dxa" w:w="80"/>
              <w:right w:type="dxa" w:w="120"/>
            </w:tcMar>
            <w:vAlign w:val="center"/>
          </w:tcPr>
          <w:p>
            <w:r>
              <w:rPr>
                <w:b w:val="false"/>
                <w:bCs w:val="false"/>
              </w:rPr>
              <w:t xml:space="preserve">Mass/footprint/foundation loading and anchoring spec provided</w:t>
            </w:r>
          </w:p>
        </w:tc>
        <w:tc>
          <w:tcPr>
            <w:tcW w:type="dxa" w:w="1300"/>
            <w:tcBorders>
              <w:top w:val="single" w:color="AFC3CC" w:sz="1"/>
              <w:left w:val="single" w:color="AFC3CC" w:sz="1"/>
              <w:bottom w:val="single" w:color="AFC3CC" w:sz="1"/>
              <w:right w:val="single" w:color="AFC3CC" w:sz="1"/>
            </w:tcBorders>
            <w:tcMar>
              <w:top w:type="dxa" w:w="80"/>
              <w:left w:type="dxa" w:w="120"/>
              <w:bottom w:type="dxa" w:w="80"/>
              <w:right w:type="dxa" w:w="120"/>
            </w:tcMar>
            <w:vAlign w:val="center"/>
          </w:tcPr>
          <w:p>
            <w:r>
              <w:rPr>
                <w:b w:val="false"/>
                <w:bCs w:val="false"/>
              </w:rPr>
              <w:t xml:space="preserve"/>
            </w:r>
          </w:p>
        </w:tc>
        <w:tc>
          <w:tcPr>
            <w:tcW w:type="dxa" w:w="1500"/>
            <w:tcBorders>
              <w:top w:val="single" w:color="AFC3CC" w:sz="1"/>
              <w:left w:val="single" w:color="AFC3CC" w:sz="1"/>
              <w:bottom w:val="single" w:color="AFC3CC" w:sz="1"/>
              <w:right w:val="single" w:color="AFC3CC" w:sz="1"/>
            </w:tcBorders>
            <w:tcMar>
              <w:top w:type="dxa" w:w="80"/>
              <w:left w:type="dxa" w:w="120"/>
              <w:bottom w:type="dxa" w:w="80"/>
              <w:right w:type="dxa" w:w="120"/>
            </w:tcMar>
            <w:vAlign w:val="center"/>
          </w:tcPr>
          <w:p>
            <w:r>
              <w:rPr>
                <w:b w:val="false"/>
                <w:bCs w:val="false"/>
              </w:rPr>
              <w:t xml:space="preserve"/>
            </w:r>
          </w:p>
        </w:tc>
      </w:tr>
      <w:tr>
        <w:tc>
          <w:tcPr>
            <w:tcW w:type="dxa" w:w="1500"/>
            <w:tcBorders>
              <w:top w:val="single" w:color="AFC3CC" w:sz="1"/>
              <w:left w:val="single" w:color="AFC3CC" w:sz="1"/>
              <w:bottom w:val="single" w:color="AFC3CC" w:sz="1"/>
              <w:right w:val="single" w:color="AFC3CC" w:sz="1"/>
            </w:tcBorders>
            <w:tcMar>
              <w:top w:type="dxa" w:w="80"/>
              <w:left w:type="dxa" w:w="120"/>
              <w:bottom w:type="dxa" w:w="80"/>
              <w:right w:type="dxa" w:w="120"/>
            </w:tcMar>
            <w:vAlign w:val="center"/>
          </w:tcPr>
          <w:p>
            <w:r>
              <w:rPr>
                <w:b w:val="false"/>
                <w:bCs w:val="false"/>
              </w:rPr>
              <w:t xml:space="preserve">§3.4-1</w:t>
            </w:r>
          </w:p>
        </w:tc>
        <w:tc>
          <w:tcPr>
            <w:tcW w:type="dxa" w:w="5060"/>
            <w:tcBorders>
              <w:top w:val="single" w:color="AFC3CC" w:sz="1"/>
              <w:left w:val="single" w:color="AFC3CC" w:sz="1"/>
              <w:bottom w:val="single" w:color="AFC3CC" w:sz="1"/>
              <w:right w:val="single" w:color="AFC3CC" w:sz="1"/>
            </w:tcBorders>
            <w:tcMar>
              <w:top w:type="dxa" w:w="80"/>
              <w:left w:type="dxa" w:w="120"/>
              <w:bottom w:type="dxa" w:w="80"/>
              <w:right w:type="dxa" w:w="120"/>
            </w:tcMar>
            <w:vAlign w:val="center"/>
          </w:tcPr>
          <w:p>
            <w:r>
              <w:rPr>
                <w:b w:val="false"/>
                <w:bCs w:val="false"/>
              </w:rPr>
              <w:t xml:space="preserve">FM Approved off-gas detection (EI-2); make/model/listing</w:t>
            </w:r>
          </w:p>
        </w:tc>
        <w:tc>
          <w:tcPr>
            <w:tcW w:type="dxa" w:w="1300"/>
            <w:tcBorders>
              <w:top w:val="single" w:color="AFC3CC" w:sz="1"/>
              <w:left w:val="single" w:color="AFC3CC" w:sz="1"/>
              <w:bottom w:val="single" w:color="AFC3CC" w:sz="1"/>
              <w:right w:val="single" w:color="AFC3CC" w:sz="1"/>
            </w:tcBorders>
            <w:tcMar>
              <w:top w:type="dxa" w:w="80"/>
              <w:left w:type="dxa" w:w="120"/>
              <w:bottom w:type="dxa" w:w="80"/>
              <w:right w:type="dxa" w:w="120"/>
            </w:tcMar>
            <w:vAlign w:val="center"/>
          </w:tcPr>
          <w:p>
            <w:r>
              <w:rPr>
                <w:b w:val="false"/>
                <w:bCs w:val="false"/>
              </w:rPr>
              <w:t xml:space="preserve"/>
            </w:r>
          </w:p>
        </w:tc>
        <w:tc>
          <w:tcPr>
            <w:tcW w:type="dxa" w:w="1500"/>
            <w:tcBorders>
              <w:top w:val="single" w:color="AFC3CC" w:sz="1"/>
              <w:left w:val="single" w:color="AFC3CC" w:sz="1"/>
              <w:bottom w:val="single" w:color="AFC3CC" w:sz="1"/>
              <w:right w:val="single" w:color="AFC3CC" w:sz="1"/>
            </w:tcBorders>
            <w:tcMar>
              <w:top w:type="dxa" w:w="80"/>
              <w:left w:type="dxa" w:w="120"/>
              <w:bottom w:type="dxa" w:w="80"/>
              <w:right w:type="dxa" w:w="120"/>
            </w:tcMar>
            <w:vAlign w:val="center"/>
          </w:tcPr>
          <w:p>
            <w:r>
              <w:rPr>
                <w:b w:val="false"/>
                <w:bCs w:val="false"/>
              </w:rPr>
              <w:t xml:space="preserve"/>
            </w:r>
          </w:p>
        </w:tc>
      </w:tr>
      <w:tr>
        <w:tc>
          <w:tcPr>
            <w:tcW w:type="dxa" w:w="1500"/>
            <w:tcBorders>
              <w:top w:val="single" w:color="AFC3CC" w:sz="1"/>
              <w:left w:val="single" w:color="AFC3CC" w:sz="1"/>
              <w:bottom w:val="single" w:color="AFC3CC" w:sz="1"/>
              <w:right w:val="single" w:color="AFC3CC" w:sz="1"/>
            </w:tcBorders>
            <w:tcMar>
              <w:top w:type="dxa" w:w="80"/>
              <w:left w:type="dxa" w:w="120"/>
              <w:bottom w:type="dxa" w:w="80"/>
              <w:right w:type="dxa" w:w="120"/>
            </w:tcMar>
            <w:vAlign w:val="center"/>
          </w:tcPr>
          <w:p>
            <w:r>
              <w:rPr>
                <w:b w:val="false"/>
                <w:bCs w:val="false"/>
              </w:rPr>
              <w:t xml:space="preserve">§3.4-2</w:t>
            </w:r>
          </w:p>
        </w:tc>
        <w:tc>
          <w:tcPr>
            <w:tcW w:type="dxa" w:w="5060"/>
            <w:tcBorders>
              <w:top w:val="single" w:color="AFC3CC" w:sz="1"/>
              <w:left w:val="single" w:color="AFC3CC" w:sz="1"/>
              <w:bottom w:val="single" w:color="AFC3CC" w:sz="1"/>
              <w:right w:val="single" w:color="AFC3CC" w:sz="1"/>
            </w:tcBorders>
            <w:tcMar>
              <w:top w:type="dxa" w:w="80"/>
              <w:left w:type="dxa" w:w="120"/>
              <w:bottom w:type="dxa" w:w="80"/>
              <w:right w:type="dxa" w:w="120"/>
            </w:tcMar>
            <w:vAlign w:val="center"/>
          </w:tcPr>
          <w:p>
            <w:r>
              <w:rPr>
                <w:b w:val="false"/>
                <w:bCs w:val="false"/>
              </w:rPr>
              <w:t xml:space="preserve">H₂ detection ≤10% LFL ventilation activation; make/model/listing</w:t>
            </w:r>
          </w:p>
        </w:tc>
        <w:tc>
          <w:tcPr>
            <w:tcW w:type="dxa" w:w="1300"/>
            <w:tcBorders>
              <w:top w:val="single" w:color="AFC3CC" w:sz="1"/>
              <w:left w:val="single" w:color="AFC3CC" w:sz="1"/>
              <w:bottom w:val="single" w:color="AFC3CC" w:sz="1"/>
              <w:right w:val="single" w:color="AFC3CC" w:sz="1"/>
            </w:tcBorders>
            <w:tcMar>
              <w:top w:type="dxa" w:w="80"/>
              <w:left w:type="dxa" w:w="120"/>
              <w:bottom w:type="dxa" w:w="80"/>
              <w:right w:type="dxa" w:w="120"/>
            </w:tcMar>
            <w:vAlign w:val="center"/>
          </w:tcPr>
          <w:p>
            <w:r>
              <w:rPr>
                <w:b w:val="false"/>
                <w:bCs w:val="false"/>
              </w:rPr>
              <w:t xml:space="preserve"/>
            </w:r>
          </w:p>
        </w:tc>
        <w:tc>
          <w:tcPr>
            <w:tcW w:type="dxa" w:w="1500"/>
            <w:tcBorders>
              <w:top w:val="single" w:color="AFC3CC" w:sz="1"/>
              <w:left w:val="single" w:color="AFC3CC" w:sz="1"/>
              <w:bottom w:val="single" w:color="AFC3CC" w:sz="1"/>
              <w:right w:val="single" w:color="AFC3CC" w:sz="1"/>
            </w:tcBorders>
            <w:tcMar>
              <w:top w:type="dxa" w:w="80"/>
              <w:left w:type="dxa" w:w="120"/>
              <w:bottom w:type="dxa" w:w="80"/>
              <w:right w:type="dxa" w:w="120"/>
            </w:tcMar>
            <w:vAlign w:val="center"/>
          </w:tcPr>
          <w:p>
            <w:r>
              <w:rPr>
                <w:b w:val="false"/>
                <w:bCs w:val="false"/>
              </w:rPr>
              <w:t xml:space="preserve"/>
            </w:r>
          </w:p>
        </w:tc>
      </w:tr>
      <w:tr>
        <w:tc>
          <w:tcPr>
            <w:tcW w:type="dxa" w:w="1500"/>
            <w:tcBorders>
              <w:top w:val="single" w:color="AFC3CC" w:sz="1"/>
              <w:left w:val="single" w:color="AFC3CC" w:sz="1"/>
              <w:bottom w:val="single" w:color="AFC3CC" w:sz="1"/>
              <w:right w:val="single" w:color="AFC3CC" w:sz="1"/>
            </w:tcBorders>
            <w:tcMar>
              <w:top w:type="dxa" w:w="80"/>
              <w:left w:type="dxa" w:w="120"/>
              <w:bottom w:type="dxa" w:w="80"/>
              <w:right w:type="dxa" w:w="120"/>
            </w:tcMar>
            <w:vAlign w:val="center"/>
          </w:tcPr>
          <w:p>
            <w:r>
              <w:rPr>
                <w:b w:val="false"/>
                <w:bCs w:val="false"/>
              </w:rPr>
              <w:t xml:space="preserve">§3.4-3</w:t>
            </w:r>
          </w:p>
        </w:tc>
        <w:tc>
          <w:tcPr>
            <w:tcW w:type="dxa" w:w="5060"/>
            <w:tcBorders>
              <w:top w:val="single" w:color="AFC3CC" w:sz="1"/>
              <w:left w:val="single" w:color="AFC3CC" w:sz="1"/>
              <w:bottom w:val="single" w:color="AFC3CC" w:sz="1"/>
              <w:right w:val="single" w:color="AFC3CC" w:sz="1"/>
            </w:tcBorders>
            <w:tcMar>
              <w:top w:type="dxa" w:w="80"/>
              <w:left w:type="dxa" w:w="120"/>
              <w:bottom w:type="dxa" w:w="80"/>
              <w:right w:type="dxa" w:w="120"/>
            </w:tcMar>
            <w:vAlign w:val="center"/>
          </w:tcPr>
          <w:p>
            <w:r>
              <w:rPr>
                <w:b w:val="false"/>
                <w:bCs w:val="false"/>
              </w:rPr>
              <w:t xml:space="preserve">NFPA 68/69 approach stated with 9540A gas data basis</w:t>
            </w:r>
          </w:p>
        </w:tc>
        <w:tc>
          <w:tcPr>
            <w:tcW w:type="dxa" w:w="1300"/>
            <w:tcBorders>
              <w:top w:val="single" w:color="AFC3CC" w:sz="1"/>
              <w:left w:val="single" w:color="AFC3CC" w:sz="1"/>
              <w:bottom w:val="single" w:color="AFC3CC" w:sz="1"/>
              <w:right w:val="single" w:color="AFC3CC" w:sz="1"/>
            </w:tcBorders>
            <w:tcMar>
              <w:top w:type="dxa" w:w="80"/>
              <w:left w:type="dxa" w:w="120"/>
              <w:bottom w:type="dxa" w:w="80"/>
              <w:right w:type="dxa" w:w="120"/>
            </w:tcMar>
            <w:vAlign w:val="center"/>
          </w:tcPr>
          <w:p>
            <w:r>
              <w:rPr>
                <w:b w:val="false"/>
                <w:bCs w:val="false"/>
              </w:rPr>
              <w:t xml:space="preserve"/>
            </w:r>
          </w:p>
        </w:tc>
        <w:tc>
          <w:tcPr>
            <w:tcW w:type="dxa" w:w="1500"/>
            <w:tcBorders>
              <w:top w:val="single" w:color="AFC3CC" w:sz="1"/>
              <w:left w:val="single" w:color="AFC3CC" w:sz="1"/>
              <w:bottom w:val="single" w:color="AFC3CC" w:sz="1"/>
              <w:right w:val="single" w:color="AFC3CC" w:sz="1"/>
            </w:tcBorders>
            <w:tcMar>
              <w:top w:type="dxa" w:w="80"/>
              <w:left w:type="dxa" w:w="120"/>
              <w:bottom w:type="dxa" w:w="80"/>
              <w:right w:type="dxa" w:w="120"/>
            </w:tcMar>
            <w:vAlign w:val="center"/>
          </w:tcPr>
          <w:p>
            <w:r>
              <w:rPr>
                <w:b w:val="false"/>
                <w:bCs w:val="false"/>
              </w:rPr>
              <w:t xml:space="preserve"/>
            </w:r>
          </w:p>
        </w:tc>
      </w:tr>
      <w:tr>
        <w:tc>
          <w:tcPr>
            <w:tcW w:type="dxa" w:w="1500"/>
            <w:tcBorders>
              <w:top w:val="single" w:color="AFC3CC" w:sz="1"/>
              <w:left w:val="single" w:color="AFC3CC" w:sz="1"/>
              <w:bottom w:val="single" w:color="AFC3CC" w:sz="1"/>
              <w:right w:val="single" w:color="AFC3CC" w:sz="1"/>
            </w:tcBorders>
            <w:tcMar>
              <w:top w:type="dxa" w:w="80"/>
              <w:left w:type="dxa" w:w="120"/>
              <w:bottom w:type="dxa" w:w="80"/>
              <w:right w:type="dxa" w:w="120"/>
            </w:tcMar>
            <w:vAlign w:val="center"/>
          </w:tcPr>
          <w:p>
            <w:r>
              <w:rPr>
                <w:b w:val="false"/>
                <w:bCs w:val="false"/>
              </w:rPr>
              <w:t xml:space="preserve">§3.4-4</w:t>
            </w:r>
          </w:p>
        </w:tc>
        <w:tc>
          <w:tcPr>
            <w:tcW w:type="dxa" w:w="5060"/>
            <w:tcBorders>
              <w:top w:val="single" w:color="AFC3CC" w:sz="1"/>
              <w:left w:val="single" w:color="AFC3CC" w:sz="1"/>
              <w:bottom w:val="single" w:color="AFC3CC" w:sz="1"/>
              <w:right w:val="single" w:color="AFC3CC" w:sz="1"/>
            </w:tcBorders>
            <w:tcMar>
              <w:top w:type="dxa" w:w="80"/>
              <w:left w:type="dxa" w:w="120"/>
              <w:bottom w:type="dxa" w:w="80"/>
              <w:right w:type="dxa" w:w="120"/>
            </w:tcMar>
            <w:vAlign w:val="center"/>
          </w:tcPr>
          <w:p>
            <w:r>
              <w:rPr>
                <w:b w:val="false"/>
                <w:bCs w:val="false"/>
              </w:rPr>
              <w:t xml:space="preserve">No clean agent in BESS envelope (FP-1); suppression approach stated</w:t>
            </w:r>
          </w:p>
        </w:tc>
        <w:tc>
          <w:tcPr>
            <w:tcW w:type="dxa" w:w="1300"/>
            <w:tcBorders>
              <w:top w:val="single" w:color="AFC3CC" w:sz="1"/>
              <w:left w:val="single" w:color="AFC3CC" w:sz="1"/>
              <w:bottom w:val="single" w:color="AFC3CC" w:sz="1"/>
              <w:right w:val="single" w:color="AFC3CC" w:sz="1"/>
            </w:tcBorders>
            <w:tcMar>
              <w:top w:type="dxa" w:w="80"/>
              <w:left w:type="dxa" w:w="120"/>
              <w:bottom w:type="dxa" w:w="80"/>
              <w:right w:type="dxa" w:w="120"/>
            </w:tcMar>
            <w:vAlign w:val="center"/>
          </w:tcPr>
          <w:p>
            <w:r>
              <w:rPr>
                <w:b w:val="false"/>
                <w:bCs w:val="false"/>
              </w:rPr>
              <w:t xml:space="preserve"/>
            </w:r>
          </w:p>
        </w:tc>
        <w:tc>
          <w:tcPr>
            <w:tcW w:type="dxa" w:w="1500"/>
            <w:tcBorders>
              <w:top w:val="single" w:color="AFC3CC" w:sz="1"/>
              <w:left w:val="single" w:color="AFC3CC" w:sz="1"/>
              <w:bottom w:val="single" w:color="AFC3CC" w:sz="1"/>
              <w:right w:val="single" w:color="AFC3CC" w:sz="1"/>
            </w:tcBorders>
            <w:tcMar>
              <w:top w:type="dxa" w:w="80"/>
              <w:left w:type="dxa" w:w="120"/>
              <w:bottom w:type="dxa" w:w="80"/>
              <w:right w:type="dxa" w:w="120"/>
            </w:tcMar>
            <w:vAlign w:val="center"/>
          </w:tcPr>
          <w:p>
            <w:r>
              <w:rPr>
                <w:b w:val="false"/>
                <w:bCs w:val="false"/>
              </w:rPr>
              <w:t xml:space="preserve"/>
            </w:r>
          </w:p>
        </w:tc>
      </w:tr>
      <w:tr>
        <w:tc>
          <w:tcPr>
            <w:tcW w:type="dxa" w:w="1500"/>
            <w:tcBorders>
              <w:top w:val="single" w:color="AFC3CC" w:sz="1"/>
              <w:left w:val="single" w:color="AFC3CC" w:sz="1"/>
              <w:bottom w:val="single" w:color="AFC3CC" w:sz="1"/>
              <w:right w:val="single" w:color="AFC3CC" w:sz="1"/>
            </w:tcBorders>
            <w:tcMar>
              <w:top w:type="dxa" w:w="80"/>
              <w:left w:type="dxa" w:w="120"/>
              <w:bottom w:type="dxa" w:w="80"/>
              <w:right w:type="dxa" w:w="120"/>
            </w:tcMar>
            <w:vAlign w:val="center"/>
          </w:tcPr>
          <w:p>
            <w:r>
              <w:rPr>
                <w:b w:val="false"/>
                <w:bCs w:val="false"/>
              </w:rPr>
              <w:t xml:space="preserve">§3.4-5</w:t>
            </w:r>
          </w:p>
        </w:tc>
        <w:tc>
          <w:tcPr>
            <w:tcW w:type="dxa" w:w="5060"/>
            <w:tcBorders>
              <w:top w:val="single" w:color="AFC3CC" w:sz="1"/>
              <w:left w:val="single" w:color="AFC3CC" w:sz="1"/>
              <w:bottom w:val="single" w:color="AFC3CC" w:sz="1"/>
              <w:right w:val="single" w:color="AFC3CC" w:sz="1"/>
            </w:tcBorders>
            <w:tcMar>
              <w:top w:type="dxa" w:w="80"/>
              <w:left w:type="dxa" w:w="120"/>
              <w:bottom w:type="dxa" w:w="80"/>
              <w:right w:type="dxa" w:w="120"/>
            </w:tcMar>
            <w:vAlign w:val="center"/>
          </w:tcPr>
          <w:p>
            <w:r>
              <w:rPr>
                <w:b w:val="false"/>
                <w:bCs w:val="false"/>
              </w:rPr>
              <w:t xml:space="preserve">EI-1 cell-temperature isolation; abuse threshold at 100% SOC</w:t>
            </w:r>
          </w:p>
        </w:tc>
        <w:tc>
          <w:tcPr>
            <w:tcW w:type="dxa" w:w="1300"/>
            <w:tcBorders>
              <w:top w:val="single" w:color="AFC3CC" w:sz="1"/>
              <w:left w:val="single" w:color="AFC3CC" w:sz="1"/>
              <w:bottom w:val="single" w:color="AFC3CC" w:sz="1"/>
              <w:right w:val="single" w:color="AFC3CC" w:sz="1"/>
            </w:tcBorders>
            <w:tcMar>
              <w:top w:type="dxa" w:w="80"/>
              <w:left w:type="dxa" w:w="120"/>
              <w:bottom w:type="dxa" w:w="80"/>
              <w:right w:type="dxa" w:w="120"/>
            </w:tcMar>
            <w:vAlign w:val="center"/>
          </w:tcPr>
          <w:p>
            <w:r>
              <w:rPr>
                <w:b w:val="false"/>
                <w:bCs w:val="false"/>
              </w:rPr>
              <w:t xml:space="preserve"/>
            </w:r>
          </w:p>
        </w:tc>
        <w:tc>
          <w:tcPr>
            <w:tcW w:type="dxa" w:w="1500"/>
            <w:tcBorders>
              <w:top w:val="single" w:color="AFC3CC" w:sz="1"/>
              <w:left w:val="single" w:color="AFC3CC" w:sz="1"/>
              <w:bottom w:val="single" w:color="AFC3CC" w:sz="1"/>
              <w:right w:val="single" w:color="AFC3CC" w:sz="1"/>
            </w:tcBorders>
            <w:tcMar>
              <w:top w:type="dxa" w:w="80"/>
              <w:left w:type="dxa" w:w="120"/>
              <w:bottom w:type="dxa" w:w="80"/>
              <w:right w:type="dxa" w:w="120"/>
            </w:tcMar>
            <w:vAlign w:val="center"/>
          </w:tcPr>
          <w:p>
            <w:r>
              <w:rPr>
                <w:b w:val="false"/>
                <w:bCs w:val="false"/>
              </w:rPr>
              <w:t xml:space="preserve"/>
            </w:r>
          </w:p>
        </w:tc>
      </w:tr>
      <w:tr>
        <w:tc>
          <w:tcPr>
            <w:tcW w:type="dxa" w:w="1500"/>
            <w:tcBorders>
              <w:top w:val="single" w:color="AFC3CC" w:sz="1"/>
              <w:left w:val="single" w:color="AFC3CC" w:sz="1"/>
              <w:bottom w:val="single" w:color="AFC3CC" w:sz="1"/>
              <w:right w:val="single" w:color="AFC3CC" w:sz="1"/>
            </w:tcBorders>
            <w:tcMar>
              <w:top w:type="dxa" w:w="80"/>
              <w:left w:type="dxa" w:w="120"/>
              <w:bottom w:type="dxa" w:w="80"/>
              <w:right w:type="dxa" w:w="120"/>
            </w:tcMar>
            <w:vAlign w:val="center"/>
          </w:tcPr>
          <w:p>
            <w:r>
              <w:rPr>
                <w:b w:val="false"/>
                <w:bCs w:val="false"/>
              </w:rPr>
              <w:t xml:space="preserve">§3.5-1</w:t>
            </w:r>
          </w:p>
        </w:tc>
        <w:tc>
          <w:tcPr>
            <w:tcW w:type="dxa" w:w="5060"/>
            <w:tcBorders>
              <w:top w:val="single" w:color="AFC3CC" w:sz="1"/>
              <w:left w:val="single" w:color="AFC3CC" w:sz="1"/>
              <w:bottom w:val="single" w:color="AFC3CC" w:sz="1"/>
              <w:right w:val="single" w:color="AFC3CC" w:sz="1"/>
            </w:tcBorders>
            <w:tcMar>
              <w:top w:type="dxa" w:w="80"/>
              <w:left w:type="dxa" w:w="120"/>
              <w:bottom w:type="dxa" w:w="80"/>
              <w:right w:type="dxa" w:w="120"/>
            </w:tcMar>
            <w:vAlign w:val="center"/>
          </w:tcPr>
          <w:p>
            <w:r>
              <w:rPr>
                <w:b w:val="false"/>
                <w:bCs w:val="false"/>
              </w:rPr>
              <w:t xml:space="preserve">Modbus TCP; IEC 61850 status stated</w:t>
            </w:r>
          </w:p>
        </w:tc>
        <w:tc>
          <w:tcPr>
            <w:tcW w:type="dxa" w:w="1300"/>
            <w:tcBorders>
              <w:top w:val="single" w:color="AFC3CC" w:sz="1"/>
              <w:left w:val="single" w:color="AFC3CC" w:sz="1"/>
              <w:bottom w:val="single" w:color="AFC3CC" w:sz="1"/>
              <w:right w:val="single" w:color="AFC3CC" w:sz="1"/>
            </w:tcBorders>
            <w:tcMar>
              <w:top w:type="dxa" w:w="80"/>
              <w:left w:type="dxa" w:w="120"/>
              <w:bottom w:type="dxa" w:w="80"/>
              <w:right w:type="dxa" w:w="120"/>
            </w:tcMar>
            <w:vAlign w:val="center"/>
          </w:tcPr>
          <w:p>
            <w:r>
              <w:rPr>
                <w:b w:val="false"/>
                <w:bCs w:val="false"/>
              </w:rPr>
              <w:t xml:space="preserve"/>
            </w:r>
          </w:p>
        </w:tc>
        <w:tc>
          <w:tcPr>
            <w:tcW w:type="dxa" w:w="1500"/>
            <w:tcBorders>
              <w:top w:val="single" w:color="AFC3CC" w:sz="1"/>
              <w:left w:val="single" w:color="AFC3CC" w:sz="1"/>
              <w:bottom w:val="single" w:color="AFC3CC" w:sz="1"/>
              <w:right w:val="single" w:color="AFC3CC" w:sz="1"/>
            </w:tcBorders>
            <w:tcMar>
              <w:top w:type="dxa" w:w="80"/>
              <w:left w:type="dxa" w:w="120"/>
              <w:bottom w:type="dxa" w:w="80"/>
              <w:right w:type="dxa" w:w="120"/>
            </w:tcMar>
            <w:vAlign w:val="center"/>
          </w:tcPr>
          <w:p>
            <w:r>
              <w:rPr>
                <w:b w:val="false"/>
                <w:bCs w:val="false"/>
              </w:rPr>
              <w:t xml:space="preserve"/>
            </w:r>
          </w:p>
        </w:tc>
      </w:tr>
      <w:tr>
        <w:tc>
          <w:tcPr>
            <w:tcW w:type="dxa" w:w="1500"/>
            <w:tcBorders>
              <w:top w:val="single" w:color="AFC3CC" w:sz="1"/>
              <w:left w:val="single" w:color="AFC3CC" w:sz="1"/>
              <w:bottom w:val="single" w:color="AFC3CC" w:sz="1"/>
              <w:right w:val="single" w:color="AFC3CC" w:sz="1"/>
            </w:tcBorders>
            <w:tcMar>
              <w:top w:type="dxa" w:w="80"/>
              <w:left w:type="dxa" w:w="120"/>
              <w:bottom w:type="dxa" w:w="80"/>
              <w:right w:type="dxa" w:w="120"/>
            </w:tcMar>
            <w:vAlign w:val="center"/>
          </w:tcPr>
          <w:p>
            <w:r>
              <w:rPr>
                <w:b w:val="false"/>
                <w:bCs w:val="false"/>
              </w:rPr>
              <w:t xml:space="preserve">§3.5-2</w:t>
            </w:r>
          </w:p>
        </w:tc>
        <w:tc>
          <w:tcPr>
            <w:tcW w:type="dxa" w:w="5060"/>
            <w:tcBorders>
              <w:top w:val="single" w:color="AFC3CC" w:sz="1"/>
              <w:left w:val="single" w:color="AFC3CC" w:sz="1"/>
              <w:bottom w:val="single" w:color="AFC3CC" w:sz="1"/>
              <w:right w:val="single" w:color="AFC3CC" w:sz="1"/>
            </w:tcBorders>
            <w:tcMar>
              <w:top w:type="dxa" w:w="80"/>
              <w:left w:type="dxa" w:w="120"/>
              <w:bottom w:type="dxa" w:w="80"/>
              <w:right w:type="dxa" w:w="120"/>
            </w:tcMar>
            <w:vAlign w:val="center"/>
          </w:tcPr>
          <w:p>
            <w:r>
              <w:rPr>
                <w:b w:val="false"/>
                <w:bCs w:val="false"/>
              </w:rPr>
              <w:t xml:space="preserve">Safety point list incl. first-responder read-only subset</w:t>
            </w:r>
          </w:p>
        </w:tc>
        <w:tc>
          <w:tcPr>
            <w:tcW w:type="dxa" w:w="1300"/>
            <w:tcBorders>
              <w:top w:val="single" w:color="AFC3CC" w:sz="1"/>
              <w:left w:val="single" w:color="AFC3CC" w:sz="1"/>
              <w:bottom w:val="single" w:color="AFC3CC" w:sz="1"/>
              <w:right w:val="single" w:color="AFC3CC" w:sz="1"/>
            </w:tcBorders>
            <w:tcMar>
              <w:top w:type="dxa" w:w="80"/>
              <w:left w:type="dxa" w:w="120"/>
              <w:bottom w:type="dxa" w:w="80"/>
              <w:right w:type="dxa" w:w="120"/>
            </w:tcMar>
            <w:vAlign w:val="center"/>
          </w:tcPr>
          <w:p>
            <w:r>
              <w:rPr>
                <w:b w:val="false"/>
                <w:bCs w:val="false"/>
              </w:rPr>
              <w:t xml:space="preserve"/>
            </w:r>
          </w:p>
        </w:tc>
        <w:tc>
          <w:tcPr>
            <w:tcW w:type="dxa" w:w="1500"/>
            <w:tcBorders>
              <w:top w:val="single" w:color="AFC3CC" w:sz="1"/>
              <w:left w:val="single" w:color="AFC3CC" w:sz="1"/>
              <w:bottom w:val="single" w:color="AFC3CC" w:sz="1"/>
              <w:right w:val="single" w:color="AFC3CC" w:sz="1"/>
            </w:tcBorders>
            <w:tcMar>
              <w:top w:type="dxa" w:w="80"/>
              <w:left w:type="dxa" w:w="120"/>
              <w:bottom w:type="dxa" w:w="80"/>
              <w:right w:type="dxa" w:w="120"/>
            </w:tcMar>
            <w:vAlign w:val="center"/>
          </w:tcPr>
          <w:p>
            <w:r>
              <w:rPr>
                <w:b w:val="false"/>
                <w:bCs w:val="false"/>
              </w:rPr>
              <w:t xml:space="preserve"/>
            </w:r>
          </w:p>
        </w:tc>
      </w:tr>
      <w:tr>
        <w:tc>
          <w:tcPr>
            <w:tcW w:type="dxa" w:w="1500"/>
            <w:tcBorders>
              <w:top w:val="single" w:color="AFC3CC" w:sz="1"/>
              <w:left w:val="single" w:color="AFC3CC" w:sz="1"/>
              <w:bottom w:val="single" w:color="AFC3CC" w:sz="1"/>
              <w:right w:val="single" w:color="AFC3CC" w:sz="1"/>
            </w:tcBorders>
            <w:tcMar>
              <w:top w:type="dxa" w:w="80"/>
              <w:left w:type="dxa" w:w="120"/>
              <w:bottom w:type="dxa" w:w="80"/>
              <w:right w:type="dxa" w:w="120"/>
            </w:tcMar>
            <w:vAlign w:val="center"/>
          </w:tcPr>
          <w:p>
            <w:r>
              <w:rPr>
                <w:b w:val="false"/>
                <w:bCs w:val="false"/>
              </w:rPr>
              <w:t xml:space="preserve">§3.5-3</w:t>
            </w:r>
          </w:p>
        </w:tc>
        <w:tc>
          <w:tcPr>
            <w:tcW w:type="dxa" w:w="5060"/>
            <w:tcBorders>
              <w:top w:val="single" w:color="AFC3CC" w:sz="1"/>
              <w:left w:val="single" w:color="AFC3CC" w:sz="1"/>
              <w:bottom w:val="single" w:color="AFC3CC" w:sz="1"/>
              <w:right w:val="single" w:color="AFC3CC" w:sz="1"/>
            </w:tcBorders>
            <w:tcMar>
              <w:top w:type="dxa" w:w="80"/>
              <w:left w:type="dxa" w:w="120"/>
              <w:bottom w:type="dxa" w:w="80"/>
              <w:right w:type="dxa" w:w="120"/>
            </w:tcMar>
            <w:vAlign w:val="center"/>
          </w:tcPr>
          <w:p>
            <w:r>
              <w:rPr>
                <w:b w:val="false"/>
                <w:bCs w:val="false"/>
              </w:rPr>
              <w:t xml:space="preserve">External emergency aux power accepted; 24–48 h loads stated (BP-1/2)</w:t>
            </w:r>
          </w:p>
        </w:tc>
        <w:tc>
          <w:tcPr>
            <w:tcW w:type="dxa" w:w="1300"/>
            <w:tcBorders>
              <w:top w:val="single" w:color="AFC3CC" w:sz="1"/>
              <w:left w:val="single" w:color="AFC3CC" w:sz="1"/>
              <w:bottom w:val="single" w:color="AFC3CC" w:sz="1"/>
              <w:right w:val="single" w:color="AFC3CC" w:sz="1"/>
            </w:tcBorders>
            <w:tcMar>
              <w:top w:type="dxa" w:w="80"/>
              <w:left w:type="dxa" w:w="120"/>
              <w:bottom w:type="dxa" w:w="80"/>
              <w:right w:type="dxa" w:w="120"/>
            </w:tcMar>
            <w:vAlign w:val="center"/>
          </w:tcPr>
          <w:p>
            <w:r>
              <w:rPr>
                <w:b w:val="false"/>
                <w:bCs w:val="false"/>
              </w:rPr>
              <w:t xml:space="preserve"/>
            </w:r>
          </w:p>
        </w:tc>
        <w:tc>
          <w:tcPr>
            <w:tcW w:type="dxa" w:w="1500"/>
            <w:tcBorders>
              <w:top w:val="single" w:color="AFC3CC" w:sz="1"/>
              <w:left w:val="single" w:color="AFC3CC" w:sz="1"/>
              <w:bottom w:val="single" w:color="AFC3CC" w:sz="1"/>
              <w:right w:val="single" w:color="AFC3CC" w:sz="1"/>
            </w:tcBorders>
            <w:tcMar>
              <w:top w:type="dxa" w:w="80"/>
              <w:left w:type="dxa" w:w="120"/>
              <w:bottom w:type="dxa" w:w="80"/>
              <w:right w:type="dxa" w:w="120"/>
            </w:tcMar>
            <w:vAlign w:val="center"/>
          </w:tcPr>
          <w:p>
            <w:r>
              <w:rPr>
                <w:b w:val="false"/>
                <w:bCs w:val="false"/>
              </w:rPr>
              <w:t xml:space="preserve"/>
            </w:r>
          </w:p>
        </w:tc>
      </w:tr>
      <w:tr>
        <w:tc>
          <w:tcPr>
            <w:tcW w:type="dxa" w:w="1500"/>
            <w:tcBorders>
              <w:top w:val="single" w:color="AFC3CC" w:sz="1"/>
              <w:left w:val="single" w:color="AFC3CC" w:sz="1"/>
              <w:bottom w:val="single" w:color="AFC3CC" w:sz="1"/>
              <w:right w:val="single" w:color="AFC3CC" w:sz="1"/>
            </w:tcBorders>
            <w:tcMar>
              <w:top w:type="dxa" w:w="80"/>
              <w:left w:type="dxa" w:w="120"/>
              <w:bottom w:type="dxa" w:w="80"/>
              <w:right w:type="dxa" w:w="120"/>
            </w:tcMar>
            <w:vAlign w:val="center"/>
          </w:tcPr>
          <w:p>
            <w:r>
              <w:rPr>
                <w:b w:val="false"/>
                <w:bCs w:val="false"/>
              </w:rPr>
              <w:t xml:space="preserve">§4 G-1</w:t>
            </w:r>
          </w:p>
        </w:tc>
        <w:tc>
          <w:tcPr>
            <w:tcW w:type="dxa" w:w="5060"/>
            <w:tcBorders>
              <w:top w:val="single" w:color="AFC3CC" w:sz="1"/>
              <w:left w:val="single" w:color="AFC3CC" w:sz="1"/>
              <w:bottom w:val="single" w:color="AFC3CC" w:sz="1"/>
              <w:right w:val="single" w:color="AFC3CC" w:sz="1"/>
            </w:tcBorders>
            <w:tcMar>
              <w:top w:type="dxa" w:w="80"/>
              <w:left w:type="dxa" w:w="120"/>
              <w:bottom w:type="dxa" w:w="80"/>
              <w:right w:type="dxa" w:w="120"/>
            </w:tcMar>
            <w:vAlign w:val="center"/>
          </w:tcPr>
          <w:p>
            <w:r>
              <w:rPr>
                <w:b w:val="false"/>
                <w:bCs w:val="false"/>
              </w:rPr>
              <w:t xml:space="preserve">UL 9540 NRTL listing; AHJ data release</w:t>
            </w:r>
          </w:p>
        </w:tc>
        <w:tc>
          <w:tcPr>
            <w:tcW w:type="dxa" w:w="1300"/>
            <w:tcBorders>
              <w:top w:val="single" w:color="AFC3CC" w:sz="1"/>
              <w:left w:val="single" w:color="AFC3CC" w:sz="1"/>
              <w:bottom w:val="single" w:color="AFC3CC" w:sz="1"/>
              <w:right w:val="single" w:color="AFC3CC" w:sz="1"/>
            </w:tcBorders>
            <w:tcMar>
              <w:top w:type="dxa" w:w="80"/>
              <w:left w:type="dxa" w:w="120"/>
              <w:bottom w:type="dxa" w:w="80"/>
              <w:right w:type="dxa" w:w="120"/>
            </w:tcMar>
            <w:vAlign w:val="center"/>
          </w:tcPr>
          <w:p>
            <w:r>
              <w:rPr>
                <w:b w:val="false"/>
                <w:bCs w:val="false"/>
              </w:rPr>
              <w:t xml:space="preserve"/>
            </w:r>
          </w:p>
        </w:tc>
        <w:tc>
          <w:tcPr>
            <w:tcW w:type="dxa" w:w="1500"/>
            <w:tcBorders>
              <w:top w:val="single" w:color="AFC3CC" w:sz="1"/>
              <w:left w:val="single" w:color="AFC3CC" w:sz="1"/>
              <w:bottom w:val="single" w:color="AFC3CC" w:sz="1"/>
              <w:right w:val="single" w:color="AFC3CC" w:sz="1"/>
            </w:tcBorders>
            <w:tcMar>
              <w:top w:type="dxa" w:w="80"/>
              <w:left w:type="dxa" w:w="120"/>
              <w:bottom w:type="dxa" w:w="80"/>
              <w:right w:type="dxa" w:w="120"/>
            </w:tcMar>
            <w:vAlign w:val="center"/>
          </w:tcPr>
          <w:p>
            <w:r>
              <w:rPr>
                <w:b w:val="false"/>
                <w:bCs w:val="false"/>
              </w:rPr>
              <w:t xml:space="preserve"/>
            </w:r>
          </w:p>
        </w:tc>
      </w:tr>
      <w:tr>
        <w:tc>
          <w:tcPr>
            <w:tcW w:type="dxa" w:w="1500"/>
            <w:tcBorders>
              <w:top w:val="single" w:color="AFC3CC" w:sz="1"/>
              <w:left w:val="single" w:color="AFC3CC" w:sz="1"/>
              <w:bottom w:val="single" w:color="AFC3CC" w:sz="1"/>
              <w:right w:val="single" w:color="AFC3CC" w:sz="1"/>
            </w:tcBorders>
            <w:tcMar>
              <w:top w:type="dxa" w:w="80"/>
              <w:left w:type="dxa" w:w="120"/>
              <w:bottom w:type="dxa" w:w="80"/>
              <w:right w:type="dxa" w:w="120"/>
            </w:tcMar>
            <w:vAlign w:val="center"/>
          </w:tcPr>
          <w:p>
            <w:r>
              <w:rPr>
                <w:b w:val="false"/>
                <w:bCs w:val="false"/>
              </w:rPr>
              <w:t xml:space="preserve">§4 G-2</w:t>
            </w:r>
          </w:p>
        </w:tc>
        <w:tc>
          <w:tcPr>
            <w:tcW w:type="dxa" w:w="5060"/>
            <w:tcBorders>
              <w:top w:val="single" w:color="AFC3CC" w:sz="1"/>
              <w:left w:val="single" w:color="AFC3CC" w:sz="1"/>
              <w:bottom w:val="single" w:color="AFC3CC" w:sz="1"/>
              <w:right w:val="single" w:color="AFC3CC" w:sz="1"/>
            </w:tcBorders>
            <w:tcMar>
              <w:top w:type="dxa" w:w="80"/>
              <w:left w:type="dxa" w:w="120"/>
              <w:bottom w:type="dxa" w:w="80"/>
              <w:right w:type="dxa" w:w="120"/>
            </w:tcMar>
            <w:vAlign w:val="center"/>
          </w:tcPr>
          <w:p>
            <w:r>
              <w:rPr>
                <w:b w:val="false"/>
                <w:bCs w:val="false"/>
              </w:rPr>
              <w:t xml:space="preserve">LSFT report (UL 9540A 5th Ed. or CSA C800:25) with bid</w:t>
            </w:r>
          </w:p>
        </w:tc>
        <w:tc>
          <w:tcPr>
            <w:tcW w:type="dxa" w:w="1300"/>
            <w:tcBorders>
              <w:top w:val="single" w:color="AFC3CC" w:sz="1"/>
              <w:left w:val="single" w:color="AFC3CC" w:sz="1"/>
              <w:bottom w:val="single" w:color="AFC3CC" w:sz="1"/>
              <w:right w:val="single" w:color="AFC3CC" w:sz="1"/>
            </w:tcBorders>
            <w:tcMar>
              <w:top w:type="dxa" w:w="80"/>
              <w:left w:type="dxa" w:w="120"/>
              <w:bottom w:type="dxa" w:w="80"/>
              <w:right w:type="dxa" w:w="120"/>
            </w:tcMar>
            <w:vAlign w:val="center"/>
          </w:tcPr>
          <w:p>
            <w:r>
              <w:rPr>
                <w:b w:val="false"/>
                <w:bCs w:val="false"/>
              </w:rPr>
              <w:t xml:space="preserve"/>
            </w:r>
          </w:p>
        </w:tc>
        <w:tc>
          <w:tcPr>
            <w:tcW w:type="dxa" w:w="1500"/>
            <w:tcBorders>
              <w:top w:val="single" w:color="AFC3CC" w:sz="1"/>
              <w:left w:val="single" w:color="AFC3CC" w:sz="1"/>
              <w:bottom w:val="single" w:color="AFC3CC" w:sz="1"/>
              <w:right w:val="single" w:color="AFC3CC" w:sz="1"/>
            </w:tcBorders>
            <w:tcMar>
              <w:top w:type="dxa" w:w="80"/>
              <w:left w:type="dxa" w:w="120"/>
              <w:bottom w:type="dxa" w:w="80"/>
              <w:right w:type="dxa" w:w="120"/>
            </w:tcMar>
            <w:vAlign w:val="center"/>
          </w:tcPr>
          <w:p>
            <w:r>
              <w:rPr>
                <w:b w:val="false"/>
                <w:bCs w:val="false"/>
              </w:rPr>
              <w:t xml:space="preserve"/>
            </w:r>
          </w:p>
        </w:tc>
      </w:tr>
      <w:tr>
        <w:tc>
          <w:tcPr>
            <w:tcW w:type="dxa" w:w="1500"/>
            <w:tcBorders>
              <w:top w:val="single" w:color="AFC3CC" w:sz="1"/>
              <w:left w:val="single" w:color="AFC3CC" w:sz="1"/>
              <w:bottom w:val="single" w:color="AFC3CC" w:sz="1"/>
              <w:right w:val="single" w:color="AFC3CC" w:sz="1"/>
            </w:tcBorders>
            <w:tcMar>
              <w:top w:type="dxa" w:w="80"/>
              <w:left w:type="dxa" w:w="120"/>
              <w:bottom w:type="dxa" w:w="80"/>
              <w:right w:type="dxa" w:w="120"/>
            </w:tcMar>
            <w:vAlign w:val="center"/>
          </w:tcPr>
          <w:p>
            <w:r>
              <w:rPr>
                <w:b w:val="false"/>
                <w:bCs w:val="false"/>
              </w:rPr>
              <w:t xml:space="preserve">§4 G-2a</w:t>
            </w:r>
          </w:p>
        </w:tc>
        <w:tc>
          <w:tcPr>
            <w:tcW w:type="dxa" w:w="5060"/>
            <w:tcBorders>
              <w:top w:val="single" w:color="AFC3CC" w:sz="1"/>
              <w:left w:val="single" w:color="AFC3CC" w:sz="1"/>
              <w:bottom w:val="single" w:color="AFC3CC" w:sz="1"/>
              <w:right w:val="single" w:color="AFC3CC" w:sz="1"/>
            </w:tcBorders>
            <w:tcMar>
              <w:top w:type="dxa" w:w="80"/>
              <w:left w:type="dxa" w:w="120"/>
              <w:bottom w:type="dxa" w:w="80"/>
              <w:right w:type="dxa" w:w="120"/>
            </w:tcMar>
            <w:vAlign w:val="center"/>
          </w:tcPr>
          <w:p>
            <w:r>
              <w:rPr>
                <w:b w:val="false"/>
                <w:bCs w:val="false"/>
              </w:rPr>
              <w:t xml:space="preserve">Installation-level non-propagation report (if claimed)</w:t>
            </w:r>
          </w:p>
        </w:tc>
        <w:tc>
          <w:tcPr>
            <w:tcW w:type="dxa" w:w="1300"/>
            <w:tcBorders>
              <w:top w:val="single" w:color="AFC3CC" w:sz="1"/>
              <w:left w:val="single" w:color="AFC3CC" w:sz="1"/>
              <w:bottom w:val="single" w:color="AFC3CC" w:sz="1"/>
              <w:right w:val="single" w:color="AFC3CC" w:sz="1"/>
            </w:tcBorders>
            <w:tcMar>
              <w:top w:type="dxa" w:w="80"/>
              <w:left w:type="dxa" w:w="120"/>
              <w:bottom w:type="dxa" w:w="80"/>
              <w:right w:type="dxa" w:w="120"/>
            </w:tcMar>
            <w:vAlign w:val="center"/>
          </w:tcPr>
          <w:p>
            <w:r>
              <w:rPr>
                <w:b w:val="false"/>
                <w:bCs w:val="false"/>
              </w:rPr>
              <w:t xml:space="preserve"/>
            </w:r>
          </w:p>
        </w:tc>
        <w:tc>
          <w:tcPr>
            <w:tcW w:type="dxa" w:w="1500"/>
            <w:tcBorders>
              <w:top w:val="single" w:color="AFC3CC" w:sz="1"/>
              <w:left w:val="single" w:color="AFC3CC" w:sz="1"/>
              <w:bottom w:val="single" w:color="AFC3CC" w:sz="1"/>
              <w:right w:val="single" w:color="AFC3CC" w:sz="1"/>
            </w:tcBorders>
            <w:tcMar>
              <w:top w:type="dxa" w:w="80"/>
              <w:left w:type="dxa" w:w="120"/>
              <w:bottom w:type="dxa" w:w="80"/>
              <w:right w:type="dxa" w:w="120"/>
            </w:tcMar>
            <w:vAlign w:val="center"/>
          </w:tcPr>
          <w:p>
            <w:r>
              <w:rPr>
                <w:b w:val="false"/>
                <w:bCs w:val="false"/>
              </w:rPr>
              <w:t xml:space="preserve"/>
            </w:r>
          </w:p>
        </w:tc>
      </w:tr>
      <w:tr>
        <w:tc>
          <w:tcPr>
            <w:tcW w:type="dxa" w:w="1500"/>
            <w:tcBorders>
              <w:top w:val="single" w:color="AFC3CC" w:sz="1"/>
              <w:left w:val="single" w:color="AFC3CC" w:sz="1"/>
              <w:bottom w:val="single" w:color="AFC3CC" w:sz="1"/>
              <w:right w:val="single" w:color="AFC3CC" w:sz="1"/>
            </w:tcBorders>
            <w:tcMar>
              <w:top w:type="dxa" w:w="80"/>
              <w:left w:type="dxa" w:w="120"/>
              <w:bottom w:type="dxa" w:w="80"/>
              <w:right w:type="dxa" w:w="120"/>
            </w:tcMar>
            <w:vAlign w:val="center"/>
          </w:tcPr>
          <w:p>
            <w:r>
              <w:rPr>
                <w:b w:val="false"/>
                <w:bCs w:val="false"/>
              </w:rPr>
              <w:t xml:space="preserve">§4 G-3/4</w:t>
            </w:r>
          </w:p>
        </w:tc>
        <w:tc>
          <w:tcPr>
            <w:tcW w:type="dxa" w:w="5060"/>
            <w:tcBorders>
              <w:top w:val="single" w:color="AFC3CC" w:sz="1"/>
              <w:left w:val="single" w:color="AFC3CC" w:sz="1"/>
              <w:bottom w:val="single" w:color="AFC3CC" w:sz="1"/>
              <w:right w:val="single" w:color="AFC3CC" w:sz="1"/>
            </w:tcBorders>
            <w:tcMar>
              <w:top w:type="dxa" w:w="80"/>
              <w:left w:type="dxa" w:w="120"/>
              <w:bottom w:type="dxa" w:w="80"/>
              <w:right w:type="dxa" w:w="120"/>
            </w:tcMar>
            <w:vAlign w:val="center"/>
          </w:tcPr>
          <w:p>
            <w:r>
              <w:rPr>
                <w:b w:val="false"/>
                <w:bCs w:val="false"/>
              </w:rPr>
              <w:t xml:space="preserve">HMA support data: FMEA, safety-system survivability</w:t>
            </w:r>
          </w:p>
        </w:tc>
        <w:tc>
          <w:tcPr>
            <w:tcW w:type="dxa" w:w="1300"/>
            <w:tcBorders>
              <w:top w:val="single" w:color="AFC3CC" w:sz="1"/>
              <w:left w:val="single" w:color="AFC3CC" w:sz="1"/>
              <w:bottom w:val="single" w:color="AFC3CC" w:sz="1"/>
              <w:right w:val="single" w:color="AFC3CC" w:sz="1"/>
            </w:tcBorders>
            <w:tcMar>
              <w:top w:type="dxa" w:w="80"/>
              <w:left w:type="dxa" w:w="120"/>
              <w:bottom w:type="dxa" w:w="80"/>
              <w:right w:type="dxa" w:w="120"/>
            </w:tcMar>
            <w:vAlign w:val="center"/>
          </w:tcPr>
          <w:p>
            <w:r>
              <w:rPr>
                <w:b w:val="false"/>
                <w:bCs w:val="false"/>
              </w:rPr>
              <w:t xml:space="preserve"/>
            </w:r>
          </w:p>
        </w:tc>
        <w:tc>
          <w:tcPr>
            <w:tcW w:type="dxa" w:w="1500"/>
            <w:tcBorders>
              <w:top w:val="single" w:color="AFC3CC" w:sz="1"/>
              <w:left w:val="single" w:color="AFC3CC" w:sz="1"/>
              <w:bottom w:val="single" w:color="AFC3CC" w:sz="1"/>
              <w:right w:val="single" w:color="AFC3CC" w:sz="1"/>
            </w:tcBorders>
            <w:tcMar>
              <w:top w:type="dxa" w:w="80"/>
              <w:left w:type="dxa" w:w="120"/>
              <w:bottom w:type="dxa" w:w="80"/>
              <w:right w:type="dxa" w:w="120"/>
            </w:tcMar>
            <w:vAlign w:val="center"/>
          </w:tcPr>
          <w:p>
            <w:r>
              <w:rPr>
                <w:b w:val="false"/>
                <w:bCs w:val="false"/>
              </w:rPr>
              <w:t xml:space="preserve"/>
            </w:r>
          </w:p>
        </w:tc>
      </w:tr>
      <w:tr>
        <w:tc>
          <w:tcPr>
            <w:tcW w:type="dxa" w:w="1500"/>
            <w:tcBorders>
              <w:top w:val="single" w:color="AFC3CC" w:sz="1"/>
              <w:left w:val="single" w:color="AFC3CC" w:sz="1"/>
              <w:bottom w:val="single" w:color="AFC3CC" w:sz="1"/>
              <w:right w:val="single" w:color="AFC3CC" w:sz="1"/>
            </w:tcBorders>
            <w:tcMar>
              <w:top w:type="dxa" w:w="80"/>
              <w:left w:type="dxa" w:w="120"/>
              <w:bottom w:type="dxa" w:w="80"/>
              <w:right w:type="dxa" w:w="120"/>
            </w:tcMar>
            <w:vAlign w:val="center"/>
          </w:tcPr>
          <w:p>
            <w:r>
              <w:rPr>
                <w:b w:val="false"/>
                <w:bCs w:val="false"/>
              </w:rPr>
              <w:t xml:space="preserve">§4 G-5</w:t>
            </w:r>
          </w:p>
        </w:tc>
        <w:tc>
          <w:tcPr>
            <w:tcW w:type="dxa" w:w="5060"/>
            <w:tcBorders>
              <w:top w:val="single" w:color="AFC3CC" w:sz="1"/>
              <w:left w:val="single" w:color="AFC3CC" w:sz="1"/>
              <w:bottom w:val="single" w:color="AFC3CC" w:sz="1"/>
              <w:right w:val="single" w:color="AFC3CC" w:sz="1"/>
            </w:tcBorders>
            <w:tcMar>
              <w:top w:type="dxa" w:w="80"/>
              <w:left w:type="dxa" w:w="120"/>
              <w:bottom w:type="dxa" w:w="80"/>
              <w:right w:type="dxa" w:w="120"/>
            </w:tcMar>
            <w:vAlign w:val="center"/>
          </w:tcPr>
          <w:p>
            <w:r>
              <w:rPr>
                <w:b w:val="false"/>
                <w:bCs w:val="false"/>
              </w:rPr>
              <w:t xml:space="preserve">NFPA 68/69 calculations for container envelope</w:t>
            </w:r>
          </w:p>
        </w:tc>
        <w:tc>
          <w:tcPr>
            <w:tcW w:type="dxa" w:w="1300"/>
            <w:tcBorders>
              <w:top w:val="single" w:color="AFC3CC" w:sz="1"/>
              <w:left w:val="single" w:color="AFC3CC" w:sz="1"/>
              <w:bottom w:val="single" w:color="AFC3CC" w:sz="1"/>
              <w:right w:val="single" w:color="AFC3CC" w:sz="1"/>
            </w:tcBorders>
            <w:tcMar>
              <w:top w:type="dxa" w:w="80"/>
              <w:left w:type="dxa" w:w="120"/>
              <w:bottom w:type="dxa" w:w="80"/>
              <w:right w:type="dxa" w:w="120"/>
            </w:tcMar>
            <w:vAlign w:val="center"/>
          </w:tcPr>
          <w:p>
            <w:r>
              <w:rPr>
                <w:b w:val="false"/>
                <w:bCs w:val="false"/>
              </w:rPr>
              <w:t xml:space="preserve"/>
            </w:r>
          </w:p>
        </w:tc>
        <w:tc>
          <w:tcPr>
            <w:tcW w:type="dxa" w:w="1500"/>
            <w:tcBorders>
              <w:top w:val="single" w:color="AFC3CC" w:sz="1"/>
              <w:left w:val="single" w:color="AFC3CC" w:sz="1"/>
              <w:bottom w:val="single" w:color="AFC3CC" w:sz="1"/>
              <w:right w:val="single" w:color="AFC3CC" w:sz="1"/>
            </w:tcBorders>
            <w:tcMar>
              <w:top w:type="dxa" w:w="80"/>
              <w:left w:type="dxa" w:w="120"/>
              <w:bottom w:type="dxa" w:w="80"/>
              <w:right w:type="dxa" w:w="120"/>
            </w:tcMar>
            <w:vAlign w:val="center"/>
          </w:tcPr>
          <w:p>
            <w:r>
              <w:rPr>
                <w:b w:val="false"/>
                <w:bCs w:val="false"/>
              </w:rPr>
              <w:t xml:space="preserve"/>
            </w:r>
          </w:p>
        </w:tc>
      </w:tr>
      <w:tr>
        <w:tc>
          <w:tcPr>
            <w:tcW w:type="dxa" w:w="1500"/>
            <w:tcBorders>
              <w:top w:val="single" w:color="AFC3CC" w:sz="1"/>
              <w:left w:val="single" w:color="AFC3CC" w:sz="1"/>
              <w:bottom w:val="single" w:color="AFC3CC" w:sz="1"/>
              <w:right w:val="single" w:color="AFC3CC" w:sz="1"/>
            </w:tcBorders>
            <w:tcMar>
              <w:top w:type="dxa" w:w="80"/>
              <w:left w:type="dxa" w:w="120"/>
              <w:bottom w:type="dxa" w:w="80"/>
              <w:right w:type="dxa" w:w="120"/>
            </w:tcMar>
            <w:vAlign w:val="center"/>
          </w:tcPr>
          <w:p>
            <w:r>
              <w:rPr>
                <w:b w:val="false"/>
                <w:bCs w:val="false"/>
              </w:rPr>
              <w:t xml:space="preserve">§4 UN38.3</w:t>
            </w:r>
          </w:p>
        </w:tc>
        <w:tc>
          <w:tcPr>
            <w:tcW w:type="dxa" w:w="5060"/>
            <w:tcBorders>
              <w:top w:val="single" w:color="AFC3CC" w:sz="1"/>
              <w:left w:val="single" w:color="AFC3CC" w:sz="1"/>
              <w:bottom w:val="single" w:color="AFC3CC" w:sz="1"/>
              <w:right w:val="single" w:color="AFC3CC" w:sz="1"/>
            </w:tcBorders>
            <w:tcMar>
              <w:top w:type="dxa" w:w="80"/>
              <w:left w:type="dxa" w:w="120"/>
              <w:bottom w:type="dxa" w:w="80"/>
              <w:right w:type="dxa" w:w="120"/>
            </w:tcMar>
            <w:vAlign w:val="center"/>
          </w:tcPr>
          <w:p>
            <w:r>
              <w:rPr>
                <w:b w:val="false"/>
                <w:bCs w:val="false"/>
              </w:rPr>
              <w:t xml:space="preserve">Transport test summaries, all design types</w:t>
            </w:r>
          </w:p>
        </w:tc>
        <w:tc>
          <w:tcPr>
            <w:tcW w:type="dxa" w:w="1300"/>
            <w:tcBorders>
              <w:top w:val="single" w:color="AFC3CC" w:sz="1"/>
              <w:left w:val="single" w:color="AFC3CC" w:sz="1"/>
              <w:bottom w:val="single" w:color="AFC3CC" w:sz="1"/>
              <w:right w:val="single" w:color="AFC3CC" w:sz="1"/>
            </w:tcBorders>
            <w:tcMar>
              <w:top w:type="dxa" w:w="80"/>
              <w:left w:type="dxa" w:w="120"/>
              <w:bottom w:type="dxa" w:w="80"/>
              <w:right w:type="dxa" w:w="120"/>
            </w:tcMar>
            <w:vAlign w:val="center"/>
          </w:tcPr>
          <w:p>
            <w:r>
              <w:rPr>
                <w:b w:val="false"/>
                <w:bCs w:val="false"/>
              </w:rPr>
              <w:t xml:space="preserve"/>
            </w:r>
          </w:p>
        </w:tc>
        <w:tc>
          <w:tcPr>
            <w:tcW w:type="dxa" w:w="1500"/>
            <w:tcBorders>
              <w:top w:val="single" w:color="AFC3CC" w:sz="1"/>
              <w:left w:val="single" w:color="AFC3CC" w:sz="1"/>
              <w:bottom w:val="single" w:color="AFC3CC" w:sz="1"/>
              <w:right w:val="single" w:color="AFC3CC" w:sz="1"/>
            </w:tcBorders>
            <w:tcMar>
              <w:top w:type="dxa" w:w="80"/>
              <w:left w:type="dxa" w:w="120"/>
              <w:bottom w:type="dxa" w:w="80"/>
              <w:right w:type="dxa" w:w="120"/>
            </w:tcMar>
            <w:vAlign w:val="center"/>
          </w:tcPr>
          <w:p>
            <w:r>
              <w:rPr>
                <w:b w:val="false"/>
                <w:bCs w:val="false"/>
              </w:rPr>
              <w:t xml:space="preserve"/>
            </w:r>
          </w:p>
        </w:tc>
      </w:tr>
      <w:tr>
        <w:tc>
          <w:tcPr>
            <w:tcW w:type="dxa" w:w="1500"/>
            <w:tcBorders>
              <w:top w:val="single" w:color="AFC3CC" w:sz="1"/>
              <w:left w:val="single" w:color="AFC3CC" w:sz="1"/>
              <w:bottom w:val="single" w:color="AFC3CC" w:sz="1"/>
              <w:right w:val="single" w:color="AFC3CC" w:sz="1"/>
            </w:tcBorders>
            <w:tcMar>
              <w:top w:type="dxa" w:w="80"/>
              <w:left w:type="dxa" w:w="120"/>
              <w:bottom w:type="dxa" w:w="80"/>
              <w:right w:type="dxa" w:w="120"/>
            </w:tcMar>
            <w:vAlign w:val="center"/>
          </w:tcPr>
          <w:p>
            <w:r>
              <w:rPr>
                <w:b w:val="false"/>
                <w:bCs w:val="false"/>
              </w:rPr>
              <w:t xml:space="preserve">§2.1 P-1</w:t>
            </w:r>
          </w:p>
        </w:tc>
        <w:tc>
          <w:tcPr>
            <w:tcW w:type="dxa" w:w="5060"/>
            <w:tcBorders>
              <w:top w:val="single" w:color="AFC3CC" w:sz="1"/>
              <w:left w:val="single" w:color="AFC3CC" w:sz="1"/>
              <w:bottom w:val="single" w:color="AFC3CC" w:sz="1"/>
              <w:right w:val="single" w:color="AFC3CC" w:sz="1"/>
            </w:tcBorders>
            <w:tcMar>
              <w:top w:type="dxa" w:w="80"/>
              <w:left w:type="dxa" w:w="120"/>
              <w:bottom w:type="dxa" w:w="80"/>
              <w:right w:type="dxa" w:w="120"/>
            </w:tcMar>
            <w:vAlign w:val="center"/>
          </w:tcPr>
          <w:p>
            <w:r>
              <w:rPr>
                <w:b w:val="false"/>
                <w:bCs w:val="false"/>
              </w:rPr>
              <w:t xml:space="preserve">Liquid-cooled? If yes, leak detection in scope</w:t>
            </w:r>
          </w:p>
        </w:tc>
        <w:tc>
          <w:tcPr>
            <w:tcW w:type="dxa" w:w="1300"/>
            <w:tcBorders>
              <w:top w:val="single" w:color="AFC3CC" w:sz="1"/>
              <w:left w:val="single" w:color="AFC3CC" w:sz="1"/>
              <w:bottom w:val="single" w:color="AFC3CC" w:sz="1"/>
              <w:right w:val="single" w:color="AFC3CC" w:sz="1"/>
            </w:tcBorders>
            <w:tcMar>
              <w:top w:type="dxa" w:w="80"/>
              <w:left w:type="dxa" w:w="120"/>
              <w:bottom w:type="dxa" w:w="80"/>
              <w:right w:type="dxa" w:w="120"/>
            </w:tcMar>
            <w:vAlign w:val="center"/>
          </w:tcPr>
          <w:p>
            <w:r>
              <w:rPr>
                <w:b w:val="false"/>
                <w:bCs w:val="false"/>
              </w:rPr>
              <w:t xml:space="preserve"/>
            </w:r>
          </w:p>
        </w:tc>
        <w:tc>
          <w:tcPr>
            <w:tcW w:type="dxa" w:w="1500"/>
            <w:tcBorders>
              <w:top w:val="single" w:color="AFC3CC" w:sz="1"/>
              <w:left w:val="single" w:color="AFC3CC" w:sz="1"/>
              <w:bottom w:val="single" w:color="AFC3CC" w:sz="1"/>
              <w:right w:val="single" w:color="AFC3CC" w:sz="1"/>
            </w:tcBorders>
            <w:tcMar>
              <w:top w:type="dxa" w:w="80"/>
              <w:left w:type="dxa" w:w="120"/>
              <w:bottom w:type="dxa" w:w="80"/>
              <w:right w:type="dxa" w:w="120"/>
            </w:tcMar>
            <w:vAlign w:val="center"/>
          </w:tcPr>
          <w:p>
            <w:r>
              <w:rPr>
                <w:b w:val="false"/>
                <w:bCs w:val="false"/>
              </w:rPr>
              <w:t xml:space="preserve"/>
            </w:r>
          </w:p>
        </w:tc>
      </w:tr>
      <w:tr>
        <w:tc>
          <w:tcPr>
            <w:tcW w:type="dxa" w:w="1500"/>
            <w:tcBorders>
              <w:top w:val="single" w:color="AFC3CC" w:sz="1"/>
              <w:left w:val="single" w:color="AFC3CC" w:sz="1"/>
              <w:bottom w:val="single" w:color="AFC3CC" w:sz="1"/>
              <w:right w:val="single" w:color="AFC3CC" w:sz="1"/>
            </w:tcBorders>
            <w:tcMar>
              <w:top w:type="dxa" w:w="80"/>
              <w:left w:type="dxa" w:w="120"/>
              <w:bottom w:type="dxa" w:w="80"/>
              <w:right w:type="dxa" w:w="120"/>
            </w:tcMar>
            <w:vAlign w:val="center"/>
          </w:tcPr>
          <w:p>
            <w:r>
              <w:rPr>
                <w:b w:val="false"/>
                <w:bCs w:val="false"/>
              </w:rPr>
              <w:t xml:space="preserve">§2.3</w:t>
            </w:r>
          </w:p>
        </w:tc>
        <w:tc>
          <w:tcPr>
            <w:tcW w:type="dxa" w:w="5060"/>
            <w:tcBorders>
              <w:top w:val="single" w:color="AFC3CC" w:sz="1"/>
              <w:left w:val="single" w:color="AFC3CC" w:sz="1"/>
              <w:bottom w:val="single" w:color="AFC3CC" w:sz="1"/>
              <w:right w:val="single" w:color="AFC3CC" w:sz="1"/>
            </w:tcBorders>
            <w:tcMar>
              <w:top w:type="dxa" w:w="80"/>
              <w:left w:type="dxa" w:w="120"/>
              <w:bottom w:type="dxa" w:w="80"/>
              <w:right w:type="dxa" w:w="120"/>
            </w:tcMar>
            <w:vAlign w:val="center"/>
          </w:tcPr>
          <w:p>
            <w:r>
              <w:rPr>
                <w:b w:val="false"/>
                <w:bCs w:val="false"/>
              </w:rPr>
              <w:t xml:space="preserve">Options 1–4 priced separately</w:t>
            </w:r>
          </w:p>
        </w:tc>
        <w:tc>
          <w:tcPr>
            <w:tcW w:type="dxa" w:w="1300"/>
            <w:tcBorders>
              <w:top w:val="single" w:color="AFC3CC" w:sz="1"/>
              <w:left w:val="single" w:color="AFC3CC" w:sz="1"/>
              <w:bottom w:val="single" w:color="AFC3CC" w:sz="1"/>
              <w:right w:val="single" w:color="AFC3CC" w:sz="1"/>
            </w:tcBorders>
            <w:tcMar>
              <w:top w:type="dxa" w:w="80"/>
              <w:left w:type="dxa" w:w="120"/>
              <w:bottom w:type="dxa" w:w="80"/>
              <w:right w:type="dxa" w:w="120"/>
            </w:tcMar>
            <w:vAlign w:val="center"/>
          </w:tcPr>
          <w:p>
            <w:r>
              <w:rPr>
                <w:b w:val="false"/>
                <w:bCs w:val="false"/>
              </w:rPr>
              <w:t xml:space="preserve"/>
            </w:r>
          </w:p>
        </w:tc>
        <w:tc>
          <w:tcPr>
            <w:tcW w:type="dxa" w:w="1500"/>
            <w:tcBorders>
              <w:top w:val="single" w:color="AFC3CC" w:sz="1"/>
              <w:left w:val="single" w:color="AFC3CC" w:sz="1"/>
              <w:bottom w:val="single" w:color="AFC3CC" w:sz="1"/>
              <w:right w:val="single" w:color="AFC3CC" w:sz="1"/>
            </w:tcBorders>
            <w:tcMar>
              <w:top w:type="dxa" w:w="80"/>
              <w:left w:type="dxa" w:w="120"/>
              <w:bottom w:type="dxa" w:w="80"/>
              <w:right w:type="dxa" w:w="120"/>
            </w:tcMar>
            <w:vAlign w:val="center"/>
          </w:tcPr>
          <w:p>
            <w:r>
              <w:rPr>
                <w:b w:val="false"/>
                <w:bCs w:val="false"/>
              </w:rPr>
              <w:t xml:space="preserve"/>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color w:val="555555"/>
        <w:sz w:val="18"/>
        <w:szCs w:val="18"/>
      </w:rPr>
      <w:t xml:space="preserve">Issued for Bid — June 11, 2026</w:t>
    </w:r>
    <w:r>
      <w:rPr>
        <w:color w:val="555555"/>
        <w:sz w:val="18"/>
        <w:szCs w:val="18"/>
      </w:rPr>
      <w:t xml:space="preserve">	Page </w:t>
    </w:r>
    <w:r>
      <w:rPr>
        <w:color w:val="555555"/>
        <w:sz w:val="18"/>
        <w:szCs w:val="18"/>
      </w:rPr>
      <w:fldChar w:fldCharType="begin"/>
      <w:instrText xml:space="preserve">PAGE</w:instrText>
      <w:fldChar w:fldCharType="separate"/>
      <w:fldChar w:fldCharType="end"/>
    </w:r>
    <w:r>
      <w:rPr>
        <w:color w:val="555555"/>
        <w:sz w:val="18"/>
        <w:szCs w:val="18"/>
      </w:rPr>
      <w:t xml:space="preserve"> of </w:t>
    </w:r>
    <w:r>
      <w:rPr>
        <w:color w:val="555555"/>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4E5F" w:sz="6" w:space="1"/>
      </w:pBdr>
      <w:tabs>
        <w:tab w:val="right" w:pos="9026"/>
      </w:tabs>
    </w:pPr>
    <w:r>
      <w:rPr>
        <w:color w:val="555555"/>
        <w:sz w:val="18"/>
        <w:szCs w:val="18"/>
      </w:rPr>
      <w:t xml:space="preserve">ESS-RFQ-001 Rev 0.1</w:t>
    </w:r>
    <w:r>
      <w:rPr>
        <w:color w:val="555555"/>
        <w:sz w:val="18"/>
        <w:szCs w:val="18"/>
      </w:rPr>
      <w:t xml:space="preserve">	Package 1 — Containerized LFP BESS — Request for Quotation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27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280"/>
      <w:outlineLvl w:val="0"/>
    </w:pPr>
    <w:rPr>
      <w:rFonts w:ascii="Arial" w:cs="Arial" w:eastAsia="Arial" w:hAnsi="Arial"/>
      <w:b/>
      <w:bCs/>
      <w:color w:val="1F4E5F"/>
      <w:sz w:val="30"/>
      <w:szCs w:val="30"/>
    </w:rPr>
  </w:style>
  <w:style w:type="paragraph" w:styleId="Heading2">
    <w:name w:val="Heading 2"/>
    <w:basedOn w:val="Normal"/>
    <w:next w:val="Normal"/>
    <w:qFormat/>
    <w:pPr>
      <w:spacing w:after="140" w:before="220"/>
      <w:outlineLvl w:val="1"/>
    </w:pPr>
    <w:rPr>
      <w:rFonts w:ascii="Arial" w:cs="Arial" w:eastAsia="Arial" w:hAnsi="Arial"/>
      <w:b/>
      <w:bCs/>
      <w:color w:val="2E6E84"/>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2026-06-11T22:18:23.743Z</dcterms:created>
  <dcterms:modified xsi:type="dcterms:W3CDTF">2026-06-11T22:18:23.744Z</dcterms:modified>
</cp:coreProperties>
</file>

<file path=docProps/custom.xml><?xml version="1.0" encoding="utf-8"?>
<Properties xmlns="http://schemas.openxmlformats.org/officeDocument/2006/custom-properties" xmlns:vt="http://schemas.openxmlformats.org/officeDocument/2006/docPropsVTypes"/>
</file>