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ADC Solutions Inc</w:t>
      </w:r>
      <w:r w:rsidDel="00000000" w:rsidR="00000000" w:rsidRPr="00000000">
        <w:rPr>
          <w:sz w:val="20"/>
          <w:szCs w:val="20"/>
          <w:rtl w:val="0"/>
        </w:rPr>
        <w:t xml:space="preserve">, is Louisiana’s 1st A.I. Native Business model that is positioned to Scale up for next generation bottlenecks of Mission Critical High Performance a Ai Compute. </w:t>
      </w:r>
    </w:p>
    <w:p w:rsidR="00000000" w:rsidDel="00000000" w:rsidP="00000000" w:rsidRDefault="00000000" w:rsidRPr="00000000" w14:paraId="00000002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-By utilizing our facilities in Lafayette, Louisiana, we assemble modular infrastructure components including:</w:t>
      </w:r>
    </w:p>
    <w:p w:rsidR="00000000" w:rsidDel="00000000" w:rsidP="00000000" w:rsidRDefault="00000000" w:rsidRPr="00000000" w14:paraId="00000003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Cooling Distribution Units (CDUs).</w:t>
      </w:r>
      <w:r w:rsidDel="00000000" w:rsidR="00000000" w:rsidRPr="00000000">
        <w:rPr>
          <w:sz w:val="20"/>
          <w:szCs w:val="20"/>
          <w:rtl w:val="0"/>
        </w:rPr>
        <w:t xml:space="preserve"> 2 MW liquid-to-liquid heat exchange units, with ultra-high-density (5 MW modules actively in development).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Modular Technology Cooling Systems (TCS).</w:t>
      </w:r>
      <w:r w:rsidDel="00000000" w:rsidR="00000000" w:rsidRPr="00000000">
        <w:rPr>
          <w:sz w:val="20"/>
          <w:szCs w:val="20"/>
          <w:rtl w:val="0"/>
        </w:rPr>
        <w:t xml:space="preserve"> Offsite clean-room assembly of these systems ensure the exceptional fluid cleanliness required for high-density chip cooling while accelerating on-site construction through plug-and-play installation.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Hot Aisle Containment (HAC) Structures.</w:t>
      </w:r>
      <w:r w:rsidDel="00000000" w:rsidR="00000000" w:rsidRPr="00000000">
        <w:rPr>
          <w:sz w:val="20"/>
          <w:szCs w:val="20"/>
          <w:rtl w:val="0"/>
        </w:rPr>
        <w:t xml:space="preserve"> Custom-built architectural frameworks designed for immediate drop-in compatibility with Google (28" × 4-wide) and NVIDIA (24" × 5-wide) bay form factors.</w:t>
      </w:r>
    </w:p>
    <w:p w:rsidR="00000000" w:rsidDel="00000000" w:rsidP="00000000" w:rsidRDefault="00000000" w:rsidRPr="00000000" w14:paraId="0000000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 MW Natural Gas Genset Microgrid.</w:t>
      </w:r>
      <w:r w:rsidDel="00000000" w:rsidR="00000000" w:rsidRPr="00000000">
        <w:rPr>
          <w:sz w:val="20"/>
          <w:szCs w:val="20"/>
          <w:rtl w:val="0"/>
        </w:rPr>
        <w:t xml:space="preserve"> A fungible 10 MW natural gas genset microgrid designed to scale, fully controlled through our unified Redfish telemetry architecture.</w:t>
      </w:r>
    </w:p>
    <w:p w:rsidR="00000000" w:rsidDel="00000000" w:rsidP="00000000" w:rsidRDefault="00000000" w:rsidRPr="00000000" w14:paraId="00000009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ADC Solutions Inc</w:t>
      </w:r>
      <w:r w:rsidDel="00000000" w:rsidR="00000000" w:rsidRPr="00000000">
        <w:rPr>
          <w:sz w:val="20"/>
          <w:szCs w:val="20"/>
          <w:rtl w:val="0"/>
        </w:rPr>
        <w:t xml:space="preserve">, is positioning itself as a large scale distributor of these integrated products, leveraging Lafayette’s deep supplier base in oilfield fluid-handling disciplines and proximity to major logistics hubs like the Port of Iberia for Worldwide shipping, Railway Access, and I-49 / I-10 split make the location ideal. Our current production run includes units for our Colo development sites and demo models, with the goal of evolving from a regional infrastructure provider into a Made in the USA leader.</w:t>
      </w:r>
    </w:p>
    <w:p w:rsidR="00000000" w:rsidDel="00000000" w:rsidP="00000000" w:rsidRDefault="00000000" w:rsidRPr="00000000" w14:paraId="0000000A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–We’re also a Louisiana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Colocation Solutions Provider</w:t>
      </w:r>
      <w:r w:rsidDel="00000000" w:rsidR="00000000" w:rsidRPr="00000000">
        <w:rPr>
          <w:sz w:val="20"/>
          <w:szCs w:val="20"/>
          <w:rtl w:val="0"/>
        </w:rPr>
        <w:t xml:space="preserve"> (CSP). Leveraging our in-house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Louisiana General Contractor</w:t>
      </w:r>
      <w:r w:rsidDel="00000000" w:rsidR="00000000" w:rsidRPr="00000000">
        <w:rPr>
          <w:sz w:val="20"/>
          <w:szCs w:val="20"/>
          <w:rtl w:val="0"/>
        </w:rPr>
        <w:t xml:space="preserve"> License, we are currently focused on </w:t>
      </w:r>
    </w:p>
    <w:p w:rsidR="00000000" w:rsidDel="00000000" w:rsidP="00000000" w:rsidRDefault="00000000" w:rsidRPr="00000000" w14:paraId="0000000B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Repurposing Older “Brownfield” Commercial locations</w:t>
      </w:r>
      <w:r w:rsidDel="00000000" w:rsidR="00000000" w:rsidRPr="00000000">
        <w:rPr>
          <w:sz w:val="20"/>
          <w:szCs w:val="20"/>
          <w:rtl w:val="0"/>
        </w:rPr>
        <w:t xml:space="preserve"> that previously consumed large amounts of electricity with on-prem Natural Gas that can accommodate up to 5-10MW IT Compute Clusters (Nvidia GPUs or Google TPUs).</w:t>
      </w:r>
    </w:p>
    <w:p w:rsidR="00000000" w:rsidDel="00000000" w:rsidP="00000000" w:rsidRDefault="00000000" w:rsidRPr="00000000" w14:paraId="0000000C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Introduce A.I. Enterprise to compute</w:t>
      </w:r>
      <w:r w:rsidDel="00000000" w:rsidR="00000000" w:rsidRPr="00000000">
        <w:rPr>
          <w:sz w:val="20"/>
          <w:szCs w:val="20"/>
          <w:rtl w:val="0"/>
        </w:rPr>
        <w:t xml:space="preserve"> and its resale value to Louisiana Oilfield Service Companies. </w:t>
      </w:r>
    </w:p>
    <w:p w:rsidR="00000000" w:rsidDel="00000000" w:rsidP="00000000" w:rsidRDefault="00000000" w:rsidRPr="00000000" w14:paraId="0000000D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industrial sites are ideal because they already have the transmission, substations, switching infrastructure, the industrial zoning, Natural Gas piping, and typically the local support for continued industrial use</w:t>
      </w:r>
    </w:p>
    <w:p w:rsidR="00000000" w:rsidDel="00000000" w:rsidP="00000000" w:rsidRDefault="00000000" w:rsidRPr="00000000" w14:paraId="0000000E">
      <w:pPr>
        <w:shd w:fill="ffffff" w:val="clear"/>
        <w:spacing w:after="260" w:before="260" w:lineRule="auto"/>
        <w:rPr>
          <w:rFonts w:ascii="Roboto" w:cs="Roboto" w:eastAsia="Roboto" w:hAnsi="Roboto"/>
          <w:color w:val="444746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3)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 Greenfield projects</w:t>
      </w:r>
      <w:r w:rsidDel="00000000" w:rsidR="00000000" w:rsidRPr="00000000">
        <w:rPr>
          <w:sz w:val="20"/>
          <w:szCs w:val="20"/>
          <w:rtl w:val="0"/>
        </w:rPr>
        <w:t xml:space="preserve"> with large amounts of on-prem Natural Gas / Water</w:t>
      </w:r>
      <w:r w:rsidDel="00000000" w:rsidR="00000000" w:rsidRPr="00000000">
        <w:rPr>
          <w:rFonts w:ascii="Roboto" w:cs="Roboto" w:eastAsia="Roboto" w:hAnsi="Roboto"/>
          <w:color w:val="444746"/>
          <w:sz w:val="20"/>
          <w:szCs w:val="20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0F">
      <w:pPr>
        <w:shd w:fill="ffffff" w:val="clear"/>
        <w:spacing w:after="260" w:before="260" w:lineRule="auto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44746"/>
          <w:sz w:val="20"/>
          <w:szCs w:val="20"/>
          <w:highlight w:val="white"/>
          <w:rtl w:val="0"/>
        </w:rPr>
        <w:t xml:space="preserve">By capitalizing on our deep expertise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0"/>
          <w:szCs w:val="20"/>
          <w:highlight w:val="white"/>
          <w:rtl w:val="0"/>
        </w:rPr>
        <w:t xml:space="preserve">robotics, aviation, drone technology, and electronics,</w:t>
      </w:r>
      <w:r w:rsidDel="00000000" w:rsidR="00000000" w:rsidRPr="00000000">
        <w:rPr>
          <w:rFonts w:ascii="Roboto" w:cs="Roboto" w:eastAsia="Roboto" w:hAnsi="Roboto"/>
          <w:color w:val="444746"/>
          <w:sz w:val="20"/>
          <w:szCs w:val="20"/>
          <w:highlight w:val="white"/>
          <w:rtl w:val="0"/>
        </w:rPr>
        <w:t xml:space="preserve"> we plan to lead the adoption of these innovations as they become available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