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2" w:lineRule="auto"/>
        <w:jc w:val="center"/>
      </w:pPr>
      <w:r>
        <w:t>Greenfield Build Cost Comparison</w:t>
      </w:r>
    </w:p>
    <w:p>
      <w:pPr>
        <w:spacing w:after="80" w:line="252" w:lineRule="auto"/>
        <w:jc w:val="center"/>
      </w:pPr>
      <w:r>
        <w:rPr>
          <w:b/>
          <w:color w:val="595959"/>
          <w:sz w:val="22"/>
        </w:rPr>
        <w:t>1016 SW Evangeline Thruway, Lafayette, LA 70501</w:t>
      </w:r>
    </w:p>
    <w:p>
      <w:pPr>
        <w:spacing w:after="80" w:line="252" w:lineRule="auto"/>
        <w:jc w:val="center"/>
      </w:pPr>
      <w:r>
        <w:rPr>
          <w:color w:val="808080"/>
          <w:sz w:val="18"/>
        </w:rPr>
        <w:t>Prepared May 30, 2026 | Order-of-magnitude budgeting memo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pStyle w:val="ExecutiveCallout"/>
            </w:pPr>
            <w:r>
              <w:rPr>
                <w:b/>
              </w:rPr>
              <w:t xml:space="preserve">Bottom line: </w:t>
            </w:r>
            <w:r>
              <w:t>A greenfield replacement of the existing +/-173,437 SF dry warehouse/distribution facility on a +/-12.26-acre industrial site is likely a $19,427,681 to $26,601,491 all-in project including land, or roughly $112.02/SF to $153.38/SF of building area. Excluding land, the build budget is roughly $18,427,681 to $24,801,491. The current $6.0M asking price equates to about $34.59/SF, but the offering appears to be leasehold improvements only under a ground lease, so fee-simple economics are not apples-to-apples.</w:t>
            </w:r>
          </w:p>
        </w:tc>
      </w:tr>
    </w:tbl>
    <w:p>
      <w:pPr>
        <w:spacing w:after="8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2605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field_cos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05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80" w:line="252" w:lineRule="auto"/>
      </w:pPr>
      <w:r>
        <w:t>1. Subject Property Snapshot</w:t>
      </w:r>
    </w:p>
    <w:p>
      <w:pPr>
        <w:spacing w:after="80" w:line="252" w:lineRule="auto"/>
      </w:pPr>
      <w:r>
        <w:t>The estimate uses the uploaded leasing brochure and parcel report as the basis for the physical scope. Calculations use the brochure's +/-173,437 SF building size; the front page also lists total available space of +/-173,473 SF.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Existing 1016 SW Evangeline data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Cost-model treatment</w:t>
            </w:r>
          </w:p>
        </w:tc>
      </w:tr>
      <w:tr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Building / use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+/-173,437 SF industrial warehouse / distribution facility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Used as the greenfield replacement building area.</w:t>
            </w:r>
          </w:p>
        </w:tc>
      </w:tr>
      <w:tr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b/>
                <w:sz w:val="17"/>
              </w:rPr>
              <w:t>Site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+/-12.26 acres with laydown yard and outdoor storage/staging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Replacement site assumes similar acreage, paved truck court/yard, fencing, drainage, and utilities.</w:t>
            </w:r>
          </w:p>
        </w:tc>
      </w:tr>
      <w:tr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Zoning / location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IL - Industrial Light; frontage on Evangeline Thruway; close to I-10 / US-90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Assumes comparable industrial-zoned Lafayette-area site with regional logistics access.</w:t>
            </w:r>
          </w:p>
        </w:tc>
      </w:tr>
      <w:tr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b/>
                <w:sz w:val="17"/>
              </w:rPr>
              <w:t>Existing offer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$6,000,000 sale price; $5.00/SF/YR lease rate; $72,265.42/month NNN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Sale price is compared to replacement cost. Lease rate is compared to implied replacement-cost rent.</w:t>
            </w:r>
          </w:p>
        </w:tc>
      </w:tr>
      <w:tr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Title / ownership nuance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Brochure states property operates under a ground lease and sale includes leasehold improvements only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Greenfield fee-simple comparison includes a separate land-acquisition allowance.</w:t>
            </w:r>
          </w:p>
        </w:tc>
      </w:tr>
      <w:tr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b/>
                <w:sz w:val="17"/>
              </w:rPr>
              <w:t>Cold storage note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Brochure notes the leftmost space was formerly a cold-storage facility</w:t>
            </w:r>
          </w:p>
        </w:tc>
        <w:tc>
          <w:tcPr>
            <w:tcW w:type="dxa" w:w="35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Baseline estimate is dry warehouse only. Cold storage/refrigeration would require a separate, materially higher budget.</w:t>
            </w:r>
          </w:p>
        </w:tc>
      </w:tr>
    </w:tbl>
    <w:p>
      <w:pPr>
        <w:pStyle w:val="Heading1"/>
        <w:spacing w:after="80" w:line="252" w:lineRule="auto"/>
      </w:pPr>
      <w:r>
        <w:t>2. Greenfield Budget Estimate</w:t>
      </w:r>
    </w:p>
    <w:p>
      <w:pPr>
        <w:spacing w:after="80" w:line="252" w:lineRule="auto"/>
      </w:pPr>
      <w:r>
        <w:t>This is a planning-level replacement-cost model for a standard dry warehouse/distribution facility. It is intended to frame a buy/lease-versus-build decision, not to replace a contractor estimate, civil takeoff, environmental report, or appraisal.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Cost bucket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Low case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High case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Basis / notes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Building + site construction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$14,742,145 ($85/SF)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$19,078,070 ($110/SF)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Uses a $85-$110/SF planning range for a large dry warehouse/distribution building with basic MEP, dock-high operations, paving/site work, and normal industrial fit-out.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b/>
                <w:sz w:val="17"/>
              </w:rPr>
              <w:t>Soft costs, design, permits, contingency, escalation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$3,685,536 (+25%)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$5,723,421 (+30%)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Covers architecture/engineering, surveys, permits, testing, legal/insurance, project management, contingency, and pricing uncertainty.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Total project cost excluding land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$18,427,681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$24,801,491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Equals roughly $106.25/SF to $143.00/SF of building area before land.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b/>
                <w:sz w:val="17"/>
              </w:rPr>
              <w:t>Land acquisition allowance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$1,000,000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$1,800,000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Local industrial land indicators support a midpoint around $1,462,593 for 12.26 acres using an approximately $119,298/acre market reference; the parcel report's land-market value is lower, so the range is intentionally broad.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Total all-in greenfield cost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$19,427,681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$26,601,491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Roughly $112.02/SF to $153.38/SF of building area.</w:t>
            </w:r>
          </w:p>
        </w:tc>
      </w:tr>
    </w:tbl>
    <w:p>
      <w:pPr>
        <w:pStyle w:val="Heading1"/>
        <w:spacing w:after="80" w:line="252" w:lineRule="auto"/>
      </w:pPr>
      <w:r>
        <w:t>3. Existing Offer vs. Greenfield Replacement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Existing property / offer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Greenfield replacement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Implication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Capital outlay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$6.0M asking price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$19,427,681-$26,601,491 including land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Greenfield is roughly 3.2x-4.4x the stated asking price.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b/>
                <w:sz w:val="17"/>
              </w:rPr>
              <w:t>Price per building SF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$34.59/SF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$112.02/SF-$153.38/SF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Existing basis is far below replacement cost, but leasehold/ground-lease terms must be valued separately.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Land / control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Sale appears to include leasehold improvements only; land owned separately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Assumes fee-simple land acquisition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The main diligence item is the ground lease: term, rent, renewal rights, assignment rights, and reversion risk.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b/>
                <w:sz w:val="17"/>
              </w:rPr>
              <w:t>Occupancy cost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$5.00/SF/YR NNN; $72,265.42/month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Replacement-cost rent likely $8.96-$13.80/SF/YR NNN at 8%-9% yield on cost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The quoted lease rate is materially below the rent a new build would typically need to justify development capital.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Speed to market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Immediate or near-term occupancy subject to repairs and lease terms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Likely entitlement/design/construction timeline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Existing asset may save 12-24+ months versus greenfield development depending on permitting and site readiness.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b/>
                <w:sz w:val="17"/>
              </w:rPr>
              <w:t>Functional quality</w:t>
            </w:r>
          </w:p>
        </w:tc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Older existing building with large yard; some areas formerly cold storage</w:t>
            </w:r>
          </w:p>
        </w:tc>
        <w:tc>
          <w:tcPr>
            <w:tcW w:type="dxa" w:w="2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New building can be designed for clear height, truck court, dock count, ESFR, LED, power, and trailer circulation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Greenfield may have a higher functional ceiling, but at a much higher capital basis.</w:t>
            </w:r>
          </w:p>
        </w:tc>
      </w:tr>
    </w:tbl>
    <w:p>
      <w:pPr>
        <w:pStyle w:val="Heading1"/>
        <w:spacing w:after="80" w:line="252" w:lineRule="auto"/>
      </w:pPr>
      <w:r>
        <w:t>4. Sensitivity: What Moves the Number</w:t>
      </w:r>
    </w:p>
    <w:p>
      <w:pPr>
        <w:spacing w:after="80" w:line="252" w:lineRule="auto"/>
      </w:pPr>
      <w:r>
        <w:t>The model is most sensitive to site work, clear-height / structural system, dock and truck-court design, office percentage, fire protection, cold-storage requirements, and offsite utility upgrades.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Construction basis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Soft / contingency load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Total excl. land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Total incl. midpoint land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All-in $/SF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$85/SF construction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25% soft/cont.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$18,427,681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$19,890,275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$114.68/SF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b/>
                <w:sz w:val="17"/>
              </w:rPr>
              <w:t>$95/SF construction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25% soft/cont.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$20,595,644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$22,058,237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$127.18/SF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$110/SF construction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30% soft/cont.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$24,801,491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$26,264,084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$151.43/SF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b/>
                <w:sz w:val="17"/>
              </w:rPr>
              <w:t>$130/SF construction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30% soft/cont.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$29,310,853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$30,773,446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/>
            </w:pPr>
            <w:r>
              <w:rPr>
                <w:sz w:val="17"/>
              </w:rPr>
              <w:t>$177.43/SF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Cold-storage scenario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Separate specialty budget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Not included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Can materially exceed baseline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/>
            </w:pPr>
            <w:r>
              <w:rPr>
                <w:sz w:val="17"/>
              </w:rPr>
              <w:t>See exclusions</w:t>
            </w:r>
          </w:p>
        </w:tc>
      </w:tr>
    </w:tbl>
    <w:p>
      <w:pPr>
        <w:pStyle w:val="Heading1"/>
        <w:spacing w:after="80" w:line="252" w:lineRule="auto"/>
      </w:pPr>
      <w:r>
        <w:t>5. Key Diligence Before Relying on the Estimate</w:t>
      </w:r>
    </w:p>
    <w:p>
      <w:pPr>
        <w:spacing w:after="80" w:line="252" w:lineRule="auto"/>
        <w:ind w:left="259" w:hanging="173"/>
      </w:pPr>
      <w:r>
        <w:rPr>
          <w:b/>
        </w:rPr>
        <w:t xml:space="preserve">• </w:t>
      </w:r>
      <w:r>
        <w:t>Ground lease economics: base rent, escalations, remaining term, renewals, assignment, lender protections, casualty/condemnation, and what happens to improvements at expiration.</w:t>
      </w:r>
    </w:p>
    <w:p>
      <w:pPr>
        <w:spacing w:after="80" w:line="252" w:lineRule="auto"/>
        <w:ind w:left="259" w:hanging="173"/>
      </w:pPr>
      <w:r>
        <w:rPr>
          <w:b/>
        </w:rPr>
        <w:t xml:space="preserve">• </w:t>
      </w:r>
      <w:r>
        <w:t>Building condition: roof, slab, columns/steel, dock equipment, fire sprinkler, electrical service, office HVAC, plumbing, and any former cold-storage systems or penetrations.</w:t>
      </w:r>
    </w:p>
    <w:p>
      <w:pPr>
        <w:spacing w:after="80" w:line="252" w:lineRule="auto"/>
        <w:ind w:left="259" w:hanging="173"/>
      </w:pPr>
      <w:r>
        <w:rPr>
          <w:b/>
        </w:rPr>
        <w:t xml:space="preserve">• </w:t>
      </w:r>
      <w:r>
        <w:t>Civil/site: stormwater capacity, detention requirements, truck court condition, paving replacement, fencing/security, utilities, offsite improvements, and access/traffic review.</w:t>
      </w:r>
    </w:p>
    <w:p>
      <w:pPr>
        <w:spacing w:after="80" w:line="252" w:lineRule="auto"/>
        <w:ind w:left="259" w:hanging="173"/>
      </w:pPr>
      <w:r>
        <w:rPr>
          <w:b/>
        </w:rPr>
        <w:t xml:space="preserve">• </w:t>
      </w:r>
      <w:r>
        <w:t>Environmental: Phase I ESA, railroad-adjacent issues, historical use, vapor, soil/groundwater, asbestos/lead paint, and any remediation obligations.</w:t>
      </w:r>
    </w:p>
    <w:p>
      <w:pPr>
        <w:spacing w:after="80" w:line="252" w:lineRule="auto"/>
        <w:ind w:left="259" w:hanging="173"/>
      </w:pPr>
      <w:r>
        <w:rPr>
          <w:b/>
        </w:rPr>
        <w:t xml:space="preserve">• </w:t>
      </w:r>
      <w:r>
        <w:t>Operational fit: clear height, dock count, trailer/car parking, laydown intensity, floor flatness, power demand, office ratio, and whether cold storage or automation is actually required.</w:t>
      </w:r>
    </w:p>
    <w:p>
      <w:pPr>
        <w:pStyle w:val="Heading1"/>
        <w:spacing w:after="80" w:line="252" w:lineRule="auto"/>
      </w:pPr>
      <w:r>
        <w:t>6. Exclusions and Caveats</w:t>
      </w:r>
    </w:p>
    <w:p>
      <w:pPr>
        <w:spacing w:after="80" w:line="252" w:lineRule="auto"/>
        <w:ind w:left="259" w:hanging="173"/>
      </w:pPr>
      <w:r>
        <w:rPr>
          <w:b/>
        </w:rPr>
        <w:t xml:space="preserve">• </w:t>
      </w:r>
      <w:r>
        <w:t>No contractor bids, civil takeoff, geotechnical report, survey, environmental assessment, title review, or lease review were available.</w:t>
      </w:r>
    </w:p>
    <w:p>
      <w:pPr>
        <w:spacing w:after="80" w:line="252" w:lineRule="auto"/>
        <w:ind w:left="259" w:hanging="173"/>
      </w:pPr>
      <w:r>
        <w:rPr>
          <w:b/>
        </w:rPr>
        <w:t xml:space="preserve">• </w:t>
      </w:r>
      <w:r>
        <w:t>Baseline excludes refrigerated/cold-storage fit-out, rack systems, conveyors, automation/robotics, tenant equipment, rail spur work, significant offsite utility upgrades, extraordinary soil remediation, and financing costs.</w:t>
      </w:r>
    </w:p>
    <w:p>
      <w:pPr>
        <w:spacing w:after="80" w:line="252" w:lineRule="auto"/>
        <w:ind w:left="259" w:hanging="173"/>
      </w:pPr>
      <w:r>
        <w:rPr>
          <w:b/>
        </w:rPr>
        <w:t xml:space="preserve">• </w:t>
      </w:r>
      <w:r>
        <w:t>The estimate assumes a standard dry industrial warehouse/distribution facility. New modern specs could raise the range, especially with higher clear heights, ESFR, extensive trailer parking, heavy power, or a larger office component.</w:t>
      </w:r>
    </w:p>
    <w:p>
      <w:pPr>
        <w:spacing w:after="80" w:line="252" w:lineRule="auto"/>
        <w:ind w:left="259" w:hanging="173"/>
      </w:pPr>
      <w:r>
        <w:rPr>
          <w:b/>
        </w:rPr>
        <w:t xml:space="preserve">• </w:t>
      </w:r>
      <w:r>
        <w:t>The existing $6.0M price is not equivalent to fee-simple ownership if the land remains subject to a ground lease. The ground-lease present value and reversion risk should be modeled before purchase.</w:t>
      </w:r>
    </w:p>
    <w:p>
      <w:pPr>
        <w:pStyle w:val="Heading1"/>
        <w:spacing w:after="80" w:line="252" w:lineRule="auto"/>
      </w:pPr>
      <w:r>
        <w:t>7. Sources Used</w:t>
      </w:r>
    </w:p>
    <w:p>
      <w:pPr>
        <w:pStyle w:val="SmallNote"/>
        <w:spacing w:after="80" w:line="252" w:lineRule="auto"/>
        <w:ind w:left="259" w:hanging="173"/>
      </w:pPr>
      <w:r>
        <w:rPr>
          <w:b/>
        </w:rPr>
        <w:t xml:space="preserve">• </w:t>
      </w:r>
      <w:r>
        <w:t>Uploaded Lease Brochure, May 2026: sale price, lease rate, building size, site size, zoning, ground-lease statement, property photos, and flood/zoning pages.</w:t>
      </w:r>
    </w:p>
    <w:p>
      <w:pPr>
        <w:pStyle w:val="SmallNote"/>
        <w:spacing w:after="80" w:line="252" w:lineRule="auto"/>
        <w:ind w:left="259" w:hanging="173"/>
      </w:pPr>
      <w:r>
        <w:rPr>
          <w:b/>
        </w:rPr>
        <w:t xml:space="preserve">• </w:t>
      </w:r>
      <w:r>
        <w:t>Uploaded Lafayette Parish Beacon parcel report dated May 30, 2026: parcel ID, owner, assessment/land value, deed units, and sales history visible in the uploaded property report.</w:t>
      </w:r>
    </w:p>
    <w:p>
      <w:pPr>
        <w:pStyle w:val="SmallNote"/>
        <w:spacing w:after="80" w:line="252" w:lineRule="auto"/>
        <w:ind w:left="259" w:hanging="173"/>
      </w:pPr>
      <w:r>
        <w:rPr>
          <w:b/>
        </w:rPr>
        <w:t xml:space="preserve">• </w:t>
      </w:r>
      <w:r>
        <w:t>Cushman &amp; Wakefield, 2025 Industrial Construction Cost Guide: reported 2025 average ground-up industrial costs of approximately $139/SF for small projects, $85/SF for medium warehouses, and $77/SF for large projects.</w:t>
      </w:r>
    </w:p>
    <w:p>
      <w:pPr>
        <w:pStyle w:val="SmallNote"/>
        <w:spacing w:after="80" w:line="252" w:lineRule="auto"/>
        <w:ind w:left="259" w:hanging="173"/>
      </w:pPr>
      <w:r>
        <w:rPr>
          <w:b/>
        </w:rPr>
        <w:t xml:space="preserve">• </w:t>
      </w:r>
      <w:r>
        <w:t>CBRE, Warehouse &amp; Distribution Construction Cost Trends 2023-2024: industrial construction costs increased sharply after 2019; CBRE also notes building shell, site work, and office TI as major cost categories and that site-work estimates vary materially by market.</w:t>
      </w:r>
    </w:p>
    <w:p>
      <w:pPr>
        <w:pStyle w:val="SmallNote"/>
        <w:spacing w:after="80" w:line="252" w:lineRule="auto"/>
        <w:ind w:left="259" w:hanging="173"/>
      </w:pPr>
      <w:r>
        <w:rPr>
          <w:b/>
        </w:rPr>
        <w:t xml:space="preserve">• </w:t>
      </w:r>
      <w:r>
        <w:t>Brown Integrated Logistics, 2026 warehouse cost guide: broad 2026 national warehouse cost ranges; large distribution centers commonly cited at roughly $70-$110/SF; hard costs often 70%-80% and soft costs 20%-30% of budget; cold storage/refrigerated warehousing can be much higher.</w:t>
      </w:r>
    </w:p>
    <w:p>
      <w:pPr>
        <w:pStyle w:val="SmallNote"/>
        <w:spacing w:after="80" w:line="252" w:lineRule="auto"/>
        <w:ind w:left="259" w:hanging="173"/>
      </w:pPr>
      <w:r>
        <w:rPr>
          <w:b/>
        </w:rPr>
        <w:t xml:space="preserve">• </w:t>
      </w:r>
      <w:r>
        <w:t>LandSearch Lafayette/Lafayette Parish industrial land listings as of 2026: average industrial land asking costs around $116k-$119k per acre, used only as a rough land-acquisition cross-check.</w:t>
      </w:r>
    </w:p>
    <w:p>
      <w:pPr>
        <w:pStyle w:val="SmallNote"/>
        <w:spacing w:after="80" w:line="252" w:lineRule="auto"/>
        <w:ind w:left="259" w:hanging="173"/>
      </w:pPr>
      <w:r>
        <w:rPr>
          <w:b/>
        </w:rPr>
        <w:t xml:space="preserve">• </w:t>
      </w:r>
      <w:r>
        <w:t>Rider Levett Bucknall Q1 2026 Construction Cost Report: construction cost increases have stabilized but remain upward, with RLB's index up about 4.4% in Q1 2026.</w:t>
      </w:r>
    </w:p>
    <w:p>
      <w:pPr>
        <w:pStyle w:val="Heading1"/>
        <w:spacing w:after="80" w:line="252" w:lineRule="auto"/>
      </w:pPr>
      <w:r>
        <w:t>Recommended Next Step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Use the greenfield estimate as the replacement-cost ceiling, then diligence the leasehold risk. </w:t>
            </w:r>
            <w:r>
              <w:t>On pure cost basis, the existing improvement purchase looks deeply below replacement cost. The question is whether ground-lease economics, building-condition capex, environmental/site liabilities, and functional obsolescence offset that apparent discount.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5"/>
      </w:rPr>
      <w:t>Planning-level estimate only - not a contractor bid or appraisal.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1016 SW Evangeline Thruway | Greenfield Build Cost Comparison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color w:val="595959"/>
      <w:sz w:val="16"/>
    </w:rPr>
  </w:style>
  <w:style w:type="paragraph" w:customStyle="1" w:styleId="ExecutiveCallout">
    <w:name w:val="Executive Callout"/>
    <w:rPr>
      <w:rFonts w:ascii="Arial" w:hAnsi="Arial" w:eastAsia="Arial"/>
      <w:b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