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54roti5c4xz" w:id="0"/>
      <w:bookmarkEnd w:id="0"/>
      <w:r w:rsidDel="00000000" w:rsidR="00000000" w:rsidRPr="00000000">
        <w:rPr>
          <w:rtl w:val="0"/>
        </w:rPr>
        <w:t xml:space="preserve">MGN-BOD-002 — 10 MW AC-MV Natural-Gas Microgrid Node — Basis of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— Internal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MGN-BOD-002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MW AC-MV Natural-Gas Microgrid Node — Basis of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 (Working Draft)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ADC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 (ELEC / MECH / ENV / CTRL / CIVIL / FUEL)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Scott Tomsu — Chief Engineer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[L]</w:t>
            </w:r>
            <w:r w:rsidDel="00000000" w:rsidR="00000000" w:rsidRPr="00000000">
              <w:rPr>
                <w:rtl w:val="0"/>
              </w:rPr>
              <w:t xml:space="preserve"> Locked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[W]</w:t>
            </w:r>
            <w:r w:rsidDel="00000000" w:rsidR="00000000" w:rsidRPr="00000000">
              <w:rPr>
                <w:rtl w:val="0"/>
              </w:rPr>
              <w:t xml:space="preserve"> Working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[O]</w:t>
            </w:r>
            <w:r w:rsidDel="00000000" w:rsidR="00000000" w:rsidRPr="00000000">
              <w:rPr>
                <w:rtl w:val="0"/>
              </w:rPr>
              <w:t xml:space="preserve"> Open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2vk3sx4jk1j" w:id="1"/>
      <w:bookmarkEnd w:id="1"/>
      <w:r w:rsidDel="00000000" w:rsidR="00000000" w:rsidRPr="00000000">
        <w:rPr>
          <w:rtl w:val="0"/>
        </w:rPr>
        <w:t xml:space="preserve">Revision History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working draft. Defines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MW AC-MV natural-gas microgrid node</w:t>
            </w:r>
            <w:r w:rsidDel="00000000" w:rsidR="00000000" w:rsidRPr="00000000">
              <w:rPr>
                <w:rtl w:val="0"/>
              </w:rPr>
              <w:t xml:space="preserve">: 5× Cat G3520H (4 running + 1 N+1) = 10 MW firm. Prime-mover ratings/efficiency and the Cummins 60 Hz rating verified against OEM data (§4). BESS sized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 MW PCS / 3 MWh usable</w:t>
            </w:r>
            <w:r w:rsidDel="00000000" w:rsidR="00000000" w:rsidRPr="00000000">
              <w:rPr>
                <w:rtl w:val="0"/>
              </w:rPr>
              <w:t xml:space="preserve"> (§5.3).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n30em6lyzc2k" w:id="2"/>
      <w:bookmarkEnd w:id="2"/>
      <w:r w:rsidDel="00000000" w:rsidR="00000000" w:rsidRPr="00000000">
        <w:rPr>
          <w:rtl w:val="0"/>
        </w:rPr>
        <w:t xml:space="preserve">§1 Purpose &amp; Scope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standard 10 MW AC-MV natural-gas microgrid node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atomic unit the company builds, permits, finances, and replicates. The node aligns with the ≤10 MW platform convention used on other programs and is the natural unit for: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Single-host deployments</w:t>
      </w:r>
      <w:r w:rsidDel="00000000" w:rsidR="00000000" w:rsidRPr="00000000">
        <w:rPr>
          <w:rtl w:val="0"/>
        </w:rPr>
        <w:t xml:space="preserve"> (one data-center hall, one industrial process) where 10 MW is the right bite;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Proof-of-concept / first-article</w:t>
      </w:r>
      <w:r w:rsidDel="00000000" w:rsidR="00000000" w:rsidRPr="00000000">
        <w:rPr>
          <w:rtl w:val="0"/>
        </w:rPr>
        <w:t xml:space="preserve"> builds that validate the node before scaling; and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Aggregated campuses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bCs w:val="1"/>
          <w:rtl w:val="0"/>
        </w:rPr>
        <w:t xml:space="preserve">twenty (20) nodes aggregate to 200 MW under a single minor-source air-permit envelope</w:t>
      </w:r>
      <w:r w:rsidDel="00000000" w:rsidR="00000000" w:rsidRPr="00000000">
        <w:rPr>
          <w:rtl w:val="0"/>
        </w:rPr>
        <w:t xml:space="preserve"> (ref §7).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node is a merchant / behind-the-meter power platform: it parallels reciprocating gas gensets at medium voltage, uses an AC-coupled battery energy storage system (BESS) as the transient bridge, and delivers firm power to a point of interconnection (POI) or directly to an on-site load (data center, industrial host, or grid-parallel sale).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BOD governs the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. Campus-level aggregation, site civil, and POI design are site-specific and carried in separate site documents that reference this node standard.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f98zfvs7uw2j" w:id="3"/>
      <w:bookmarkEnd w:id="3"/>
      <w:r w:rsidDel="00000000" w:rsidR="00000000" w:rsidRPr="00000000">
        <w:rPr>
          <w:rtl w:val="0"/>
        </w:rPr>
        <w:t xml:space="preserve">§2 Design Basis, Codes &amp; Conventions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c0vrr1pab3kj" w:id="4"/>
      <w:bookmarkEnd w:id="4"/>
      <w:r w:rsidDel="00000000" w:rsidR="00000000" w:rsidRPr="00000000">
        <w:rPr>
          <w:rtl w:val="0"/>
        </w:rPr>
        <w:t xml:space="preserve">§2.1 Governing codes &amp; standards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NFPA 37</w:t>
      </w:r>
      <w:r w:rsidDel="00000000" w:rsidR="00000000" w:rsidRPr="00000000">
        <w:rPr>
          <w:rtl w:val="0"/>
        </w:rPr>
        <w:t xml:space="preserve"> — stationary combustion engines and gas turbines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NFPA 70 (NEC)</w:t>
      </w:r>
      <w:r w:rsidDel="00000000" w:rsidR="00000000" w:rsidRPr="00000000">
        <w:rPr>
          <w:rtl w:val="0"/>
        </w:rPr>
        <w:t xml:space="preserve"> — electrical installation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NFPA 110</w:t>
      </w:r>
      <w:r w:rsidDel="00000000" w:rsidR="00000000" w:rsidRPr="00000000">
        <w:rPr>
          <w:rtl w:val="0"/>
        </w:rPr>
        <w:t xml:space="preserve"> — emergency &amp; standby power systems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 C84.1</w:t>
      </w:r>
      <w:r w:rsidDel="00000000" w:rsidR="00000000" w:rsidRPr="00000000">
        <w:rPr>
          <w:rtl w:val="0"/>
        </w:rPr>
        <w:t xml:space="preserve"> — voltage ranges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1547</w:t>
      </w:r>
      <w:r w:rsidDel="00000000" w:rsidR="00000000" w:rsidRPr="00000000">
        <w:rPr>
          <w:rtl w:val="0"/>
        </w:rPr>
        <w:t xml:space="preserve"> — interconnection (where grid-parallel)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IEEE 519</w:t>
      </w:r>
      <w:r w:rsidDel="00000000" w:rsidR="00000000" w:rsidRPr="00000000">
        <w:rPr>
          <w:rtl w:val="0"/>
        </w:rPr>
        <w:t xml:space="preserve"> — harmonic control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8528</w:t>
      </w:r>
      <w:r w:rsidDel="00000000" w:rsidR="00000000" w:rsidRPr="00000000">
        <w:rPr>
          <w:rtl w:val="0"/>
        </w:rPr>
        <w:t xml:space="preserve"> (esp. Part 5, transient response) — genset performance; target class </w:t>
      </w:r>
      <w:r w:rsidDel="00000000" w:rsidR="00000000" w:rsidRPr="00000000">
        <w:rPr>
          <w:b w:val="1"/>
          <w:bCs w:val="1"/>
          <w:rtl w:val="0"/>
        </w:rPr>
        <w:t xml:space="preserve">G3 or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 9540 / UL 9540A</w:t>
      </w:r>
      <w:r w:rsidDel="00000000" w:rsidR="00000000" w:rsidRPr="00000000">
        <w:rPr>
          <w:rtl w:val="0"/>
        </w:rPr>
        <w:t xml:space="preserve"> — BESS, thermal-runaway fire test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 CFR 60 subpart JJJJ</w:t>
      </w:r>
      <w:r w:rsidDel="00000000" w:rsidR="00000000" w:rsidRPr="00000000">
        <w:rPr>
          <w:rtl w:val="0"/>
        </w:rPr>
        <w:t xml:space="preserve"> — NSPS, stationary spark-ignition engines (NOx / CO / VOC)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 CFR 63 subpart ZZZZ</w:t>
      </w:r>
      <w:r w:rsidDel="00000000" w:rsidR="00000000" w:rsidRPr="00000000">
        <w:rPr>
          <w:rtl w:val="0"/>
        </w:rPr>
        <w:t xml:space="preserve"> — RICE NESHAP (CO / formaldehyde HAP)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weabstlwjjhl" w:id="5"/>
      <w:bookmarkEnd w:id="5"/>
      <w:r w:rsidDel="00000000" w:rsidR="00000000" w:rsidRPr="00000000">
        <w:rPr>
          <w:rtl w:val="0"/>
        </w:rPr>
        <w:t xml:space="preserve">§2.2 Site reference conditions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ambient: </w:t>
      </w:r>
      <w:r w:rsidDel="00000000" w:rsidR="00000000" w:rsidRPr="00000000">
        <w:rPr>
          <w:b w:val="1"/>
          <w:bCs w:val="1"/>
          <w:rtl w:val="0"/>
        </w:rPr>
        <w:t xml:space="preserve">[O]</w:t>
      </w:r>
      <w:r w:rsidDel="00000000" w:rsidR="00000000" w:rsidRPr="00000000">
        <w:rPr>
          <w:rtl w:val="0"/>
        </w:rPr>
        <w:t xml:space="preserve"> per site. Placeholder for Gulf Coast siting: </w:t>
      </w:r>
      <w:r w:rsidDel="00000000" w:rsidR="00000000" w:rsidRPr="00000000">
        <w:rPr>
          <w:b w:val="1"/>
          <w:bCs w:val="1"/>
          <w:rtl w:val="0"/>
        </w:rPr>
        <w:t xml:space="preserve">35 °C / 95 °F, ~sea level, high RH</w:t>
      </w:r>
      <w:r w:rsidDel="00000000" w:rsidR="00000000" w:rsidRPr="00000000">
        <w:rPr>
          <w:rtl w:val="0"/>
        </w:rPr>
        <w:t xml:space="preserve">. Firm-MW rating is de-rated to confirmed site ambient before any commercial commitment (ref ELEC-006 / MECH-002).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MW figures herein are </w:t>
      </w:r>
      <w:r w:rsidDel="00000000" w:rsidR="00000000" w:rsidRPr="00000000">
        <w:rPr>
          <w:b w:val="1"/>
          <w:bCs w:val="1"/>
          <w:rtl w:val="0"/>
        </w:rPr>
        <w:t xml:space="preserve">net electrical</w:t>
      </w:r>
      <w:r w:rsidDel="00000000" w:rsidR="00000000" w:rsidRPr="00000000">
        <w:rPr>
          <w:rtl w:val="0"/>
        </w:rPr>
        <w:t xml:space="preserve"> unless noted.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w7a9e4ynzci" w:id="6"/>
      <w:bookmarkEnd w:id="6"/>
      <w:r w:rsidDel="00000000" w:rsidR="00000000" w:rsidRPr="00000000">
        <w:rPr>
          <w:rtl w:val="0"/>
        </w:rPr>
        <w:t xml:space="preserve">§3 Node Topology (single-line summary)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Reference drawing: </w:t>
      </w:r>
      <w:r w:rsidDel="00000000" w:rsidR="00000000" w:rsidRPr="00000000">
        <w:rPr>
          <w:b w:val="1"/>
          <w:bCs w:val="1"/>
          <w:rtl w:val="0"/>
        </w:rPr>
        <w:t xml:space="preserve">MGN-SLD-002 Rev 0.1</w:t>
      </w:r>
      <w:r w:rsidDel="00000000" w:rsidR="00000000" w:rsidRPr="00000000">
        <w:rPr>
          <w:rtl w:val="0"/>
        </w:rPr>
        <w:t xml:space="preserve"> (companion single-line).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G3520H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switchgear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(metal-clad,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AC-coupled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(4-quadrant)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MWh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LFP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(transient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black-start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ride-through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peak-shave)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Synchronous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condenser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study]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transformer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utility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(site-specific)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mqpdx2zmp3z" w:id="7"/>
      <w:bookmarkEnd w:id="7"/>
      <w:r w:rsidDel="00000000" w:rsidR="00000000" w:rsidRPr="00000000">
        <w:rPr>
          <w:rtl w:val="0"/>
        </w:rPr>
        <w:t xml:space="preserve">§4 Prime Mover Basis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ncyy2es6lft" w:id="8"/>
      <w:bookmarkEnd w:id="8"/>
      <w:r w:rsidDel="00000000" w:rsidR="00000000" w:rsidRPr="00000000">
        <w:rPr>
          <w:rtl w:val="0"/>
        </w:rPr>
        <w:t xml:space="preserve">§4.1 Primary — Cat G3520H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Output: ~</w:t>
      </w:r>
      <w:r w:rsidDel="00000000" w:rsidR="00000000" w:rsidRPr="00000000">
        <w:rPr>
          <w:b w:val="1"/>
          <w:bCs w:val="1"/>
          <w:rtl w:val="0"/>
        </w:rPr>
        <w:t xml:space="preserve">2.5 MW</w:t>
      </w:r>
      <w:r w:rsidDel="00000000" w:rsidR="00000000" w:rsidRPr="00000000">
        <w:rPr>
          <w:rtl w:val="0"/>
        </w:rPr>
        <w:t xml:space="preserve"> continuous (1.76–2.52 MW range). </w:t>
      </w:r>
      <w:r w:rsidDel="00000000" w:rsidR="00000000" w:rsidRPr="00000000">
        <w:rPr>
          <w:i w:val="1"/>
          <w:iCs w:val="1"/>
          <w:rtl w:val="0"/>
        </w:rPr>
        <w:t xml:space="preserve">OEM-verified:</w:t>
      </w:r>
      <w:r w:rsidDel="00000000" w:rsidR="00000000" w:rsidRPr="00000000">
        <w:rPr>
          <w:rtl w:val="0"/>
        </w:rPr>
        <w:t xml:space="preserve"> continuous rating </w:t>
      </w:r>
      <w:r w:rsidDel="00000000" w:rsidR="00000000" w:rsidRPr="00000000">
        <w:rPr>
          <w:b w:val="1"/>
          <w:bCs w:val="1"/>
          <w:rtl w:val="0"/>
        </w:rPr>
        <w:t xml:space="preserve">2500 ekW (2519 ekW max) @ 1.0 pf</w:t>
      </w:r>
      <w:r w:rsidDel="00000000" w:rsidR="00000000" w:rsidRPr="00000000">
        <w:rPr>
          <w:rtl w:val="0"/>
        </w:rPr>
        <w:t xml:space="preserve">, V20, 4-stroke, lean-burn, 97.5 L displacement.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Speed: 1500 / 1800 RPM (high-speed)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efficiency: ~44–45%.</w:t>
      </w:r>
      <w:r w:rsidDel="00000000" w:rsidR="00000000" w:rsidRPr="00000000">
        <w:rPr>
          <w:rtl w:val="0"/>
        </w:rPr>
        <w:t xml:space="preserve"> Caterpillar publishes </w:t>
      </w:r>
      <w:r w:rsidDel="00000000" w:rsidR="00000000" w:rsidRPr="00000000">
        <w:rPr>
          <w:b w:val="1"/>
          <w:bCs w:val="1"/>
          <w:rtl w:val="0"/>
        </w:rPr>
        <w:t xml:space="preserve">max electrical efficiency 45.3%</w:t>
      </w:r>
      <w:r w:rsidDel="00000000" w:rsidR="00000000" w:rsidRPr="00000000">
        <w:rPr>
          <w:rtl w:val="0"/>
        </w:rPr>
        <w:t xml:space="preserve"> for the high-efficiency 12.1:1 compression configuration; working figure ~44% net after parasitics. Use the 60 Hz natural-gas data sheet value for the final heat-rate / fuel-burn model (ELEC-006 / MECH-002).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Generator: </w:t>
      </w:r>
      <w:r w:rsidDel="00000000" w:rsidR="00000000" w:rsidRPr="00000000">
        <w:rPr>
          <w:b w:val="1"/>
          <w:bCs w:val="1"/>
          <w:rtl w:val="0"/>
        </w:rPr>
        <w:t xml:space="preserve">4.16 kV</w:t>
      </w:r>
      <w:r w:rsidDel="00000000" w:rsidR="00000000" w:rsidRPr="00000000">
        <w:rPr>
          <w:rtl w:val="0"/>
        </w:rPr>
        <w:t xml:space="preserve">, 3-phase, 60 Hz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Fuel: dry pipeline natural gas, 31.5–47.2 MJ/Nm³. </w:t>
      </w: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G3520H also supports </w:t>
      </w:r>
      <w:r w:rsidDel="00000000" w:rsidR="00000000" w:rsidRPr="00000000">
        <w:rPr>
          <w:b w:val="1"/>
          <w:bCs w:val="1"/>
          <w:rtl w:val="0"/>
        </w:rPr>
        <w:t xml:space="preserve">up to 25% hydrogen blend by volume</w:t>
      </w:r>
      <w:r w:rsidDel="00000000" w:rsidR="00000000" w:rsidRPr="00000000">
        <w:rPr>
          <w:rtl w:val="0"/>
        </w:rPr>
        <w:t xml:space="preserve"> (optional; not required, but available for future low-carbon fuel posture).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Ambient: 40 °C before de-rate (sea level); Louisiana summer sits inside this envelope — de-rate expected small but is a BOD number (ELEC-006)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acoustics: ≤ 75 dB(A) @ 7 m (enclosed) —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louder than competitor high-pressure-mix platforms; flag for sensitive-receptor siting (CIVIL-002)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5lcj2lt1wcmu" w:id="9"/>
      <w:bookmarkEnd w:id="9"/>
      <w:r w:rsidDel="00000000" w:rsidR="00000000" w:rsidRPr="00000000">
        <w:rPr>
          <w:rtl w:val="0"/>
        </w:rPr>
        <w:t xml:space="preserve">§4.2 Second source — Cummins HSK78G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at the platform's </w:t>
      </w:r>
      <w:r w:rsidDel="00000000" w:rsidR="00000000" w:rsidRPr="00000000">
        <w:rPr>
          <w:b w:val="1"/>
          <w:bCs w:val="1"/>
          <w:rtl w:val="0"/>
        </w:rPr>
        <w:t xml:space="preserve">60 Hz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~1.6–1.8 MW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OEM-verified:</w:t>
      </w:r>
      <w:r w:rsidDel="00000000" w:rsidR="00000000" w:rsidRPr="00000000">
        <w:rPr>
          <w:rtl w:val="0"/>
        </w:rPr>
        <w:t xml:space="preserve"> 60 Hz models rate </w:t>
      </w:r>
      <w:r w:rsidDel="00000000" w:rsidR="00000000" w:rsidRPr="00000000">
        <w:rPr>
          <w:b w:val="1"/>
          <w:bCs w:val="1"/>
          <w:rtl w:val="0"/>
        </w:rPr>
        <w:t xml:space="preserve">1600 kWe (C1600N6CD)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1800 kWe (C1800N6CD)</w:t>
      </w:r>
      <w:r w:rsidDel="00000000" w:rsidR="00000000" w:rsidRPr="00000000">
        <w:rPr>
          <w:rtl w:val="0"/>
        </w:rPr>
        <w:t xml:space="preserve">. The "up to 2.0 MW" power density is the </w:t>
      </w:r>
      <w:r w:rsidDel="00000000" w:rsidR="00000000" w:rsidRPr="00000000">
        <w:rPr>
          <w:b w:val="1"/>
          <w:bCs w:val="1"/>
          <w:rtl w:val="0"/>
        </w:rPr>
        <w:t xml:space="preserve">50 Hz</w:t>
      </w:r>
      <w:r w:rsidDel="00000000" w:rsidR="00000000" w:rsidRPr="00000000">
        <w:rPr>
          <w:rtl w:val="0"/>
        </w:rPr>
        <w:t xml:space="preserve"> figure; on a US 60 Hz site the unit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2.5 MW-equivalent swap for the Cat. See the count note below.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Electrical efficiency: </w:t>
      </w:r>
      <w:r w:rsidDel="00000000" w:rsidR="00000000" w:rsidRPr="00000000">
        <w:rPr>
          <w:b w:val="1"/>
          <w:bCs w:val="1"/>
          <w:rtl w:val="0"/>
        </w:rPr>
        <w:t xml:space="preserve">43.5% @ 60 Hz / 44.2% @ 50 Hz</w:t>
      </w:r>
      <w:r w:rsidDel="00000000" w:rsidR="00000000" w:rsidRPr="00000000">
        <w:rPr>
          <w:rtl w:val="0"/>
        </w:rPr>
        <w:t xml:space="preserve"> (OEM-confirmed)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Ambient: rated to </w:t>
      </w:r>
      <w:r w:rsidDel="00000000" w:rsidR="00000000" w:rsidRPr="00000000">
        <w:rPr>
          <w:b w:val="1"/>
          <w:bCs w:val="1"/>
          <w:rtl w:val="0"/>
        </w:rPr>
        <w:t xml:space="preserve">55 °C / 131 °F</w:t>
      </w:r>
      <w:r w:rsidDel="00000000" w:rsidR="00000000" w:rsidRPr="00000000">
        <w:rPr>
          <w:rtl w:val="0"/>
        </w:rPr>
        <w:t xml:space="preserve"> — best hot-ambient headroom on the platform; preferred for high-design-ambient sites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Fuel flexibility: pipeline gas down to </w:t>
      </w:r>
      <w:r w:rsidDel="00000000" w:rsidR="00000000" w:rsidRPr="00000000">
        <w:rPr>
          <w:b w:val="1"/>
          <w:bCs w:val="1"/>
          <w:rtl w:val="0"/>
        </w:rPr>
        <w:t xml:space="preserve">70 MN</w:t>
      </w:r>
      <w:r w:rsidDel="00000000" w:rsidR="00000000" w:rsidRPr="00000000">
        <w:rPr>
          <w:rtl w:val="0"/>
        </w:rPr>
        <w:t xml:space="preserve"> without power derate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NOx: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HSK78G can reach ~250 mg/Nm³ (≈0.5 g/hp-hr)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SCR. This is a useful permitting hedge, but this BOD </w:t>
      </w:r>
      <w:r w:rsidDel="00000000" w:rsidR="00000000" w:rsidRPr="00000000">
        <w:rPr>
          <w:b w:val="1"/>
          <w:bCs w:val="1"/>
          <w:rtl w:val="0"/>
        </w:rPr>
        <w:t xml:space="preserve">still locks SCR + oxidation catalyst</w:t>
      </w:r>
      <w:r w:rsidDel="00000000" w:rsidR="00000000" w:rsidRPr="00000000">
        <w:rPr>
          <w:rtl w:val="0"/>
        </w:rPr>
        <w:t xml:space="preserve"> as the conservative design basis (§6, §7); the native-NOx capability is held in reserve and confirmed against the site PTE calc.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Qualified as a </w:t>
      </w:r>
      <w:r w:rsidDel="00000000" w:rsidR="00000000" w:rsidRPr="00000000">
        <w:rPr>
          <w:b w:val="1"/>
          <w:bCs w:val="1"/>
          <w:rtl w:val="0"/>
        </w:rPr>
        <w:t xml:space="preserve">per-position drop-in second source</w:t>
      </w:r>
      <w:r w:rsidDel="00000000" w:rsidR="00000000" w:rsidRPr="00000000">
        <w:rPr>
          <w:rtl w:val="0"/>
        </w:rPr>
        <w:t xml:space="preserve"> to de-risk engine allocation. </w:t>
      </w:r>
      <w:r w:rsidDel="00000000" w:rsidR="00000000" w:rsidRPr="00000000">
        <w:rPr>
          <w:b w:val="1"/>
          <w:bCs w:val="1"/>
          <w:rtl w:val="0"/>
        </w:rPr>
        <w:t xml:space="preserve">Count note:</w:t>
      </w:r>
      <w:r w:rsidDel="00000000" w:rsidR="00000000" w:rsidRPr="00000000">
        <w:rPr>
          <w:rtl w:val="0"/>
        </w:rPr>
        <w:t xml:space="preserve"> because the HSK78G rates lower at 60 Hz, a node populated </w:t>
      </w:r>
      <w:r w:rsidDel="00000000" w:rsidR="00000000" w:rsidRPr="00000000">
        <w:rPr>
          <w:i w:val="1"/>
          <w:iCs w:val="1"/>
          <w:rtl w:val="0"/>
        </w:rPr>
        <w:t xml:space="preserve">predominantly</w:t>
      </w:r>
      <w:r w:rsidDel="00000000" w:rsidR="00000000" w:rsidRPr="00000000">
        <w:rPr>
          <w:rtl w:val="0"/>
        </w:rPr>
        <w:t xml:space="preserve"> with HSK78G units needs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≈6 running + 1 N+1 = 7 units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hold 10 MW firm (6 × 1.8 ≈ 10.8 MW), versus </w:t>
      </w:r>
      <w:r w:rsidDel="00000000" w:rsidR="00000000" w:rsidRPr="00000000">
        <w:rPr>
          <w:b w:val="1"/>
          <w:bCs w:val="1"/>
          <w:rtl w:val="0"/>
        </w:rPr>
        <w:t xml:space="preserve">4 + 1 = 5 units</w:t>
      </w:r>
      <w:r w:rsidDel="00000000" w:rsidR="00000000" w:rsidRPr="00000000">
        <w:rPr>
          <w:rtl w:val="0"/>
        </w:rPr>
        <w:t xml:space="preserve"> for the Cat. Node controls and BoP are designed to accept either engine in a genset position (CTRL-002); the </w:t>
      </w:r>
      <w:r w:rsidDel="00000000" w:rsidR="00000000" w:rsidRPr="00000000">
        <w:rPr>
          <w:b w:val="1"/>
          <w:bCs w:val="1"/>
          <w:rtl w:val="0"/>
        </w:rPr>
        <w:t xml:space="preserve">engine count per node is set by the engine actually allocated to each position</w:t>
      </w:r>
      <w:r w:rsidDel="00000000" w:rsidR="00000000" w:rsidRPr="00000000">
        <w:rPr>
          <w:rtl w:val="0"/>
        </w:rPr>
        <w:t xml:space="preserve">, not assumed identical between the two sources.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bzydvkd713mg" w:id="10"/>
      <w:bookmarkEnd w:id="10"/>
      <w:r w:rsidDel="00000000" w:rsidR="00000000" w:rsidRPr="00000000">
        <w:rPr>
          <w:rtl w:val="0"/>
        </w:rPr>
        <w:t xml:space="preserve">§4.3 Load-acceptance rationale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Both engines are lean-burn gas reciprocating units with </w:t>
      </w:r>
      <w:r w:rsidDel="00000000" w:rsidR="00000000" w:rsidRPr="00000000">
        <w:rPr>
          <w:b w:val="1"/>
          <w:bCs w:val="1"/>
          <w:rtl w:val="0"/>
        </w:rPr>
        <w:t xml:space="preserve">staged block-load limits</w:t>
      </w:r>
      <w:r w:rsidDel="00000000" w:rsidR="00000000" w:rsidRPr="00000000">
        <w:rPr>
          <w:rtl w:val="0"/>
        </w:rPr>
        <w:t xml:space="preserve"> (ISO 8528-5; the HSK78G is rated for a </w:t>
      </w:r>
      <w:r w:rsidDel="00000000" w:rsidR="00000000" w:rsidRPr="00000000">
        <w:rPr>
          <w:b w:val="1"/>
          <w:bCs w:val="1"/>
          <w:rtl w:val="0"/>
        </w:rPr>
        <w:t xml:space="preserve">30% first load step at G1</w:t>
      </w:r>
      <w:r w:rsidDel="00000000" w:rsidR="00000000" w:rsidRPr="00000000">
        <w:rPr>
          <w:rtl w:val="0"/>
        </w:rPr>
        <w:t xml:space="preserve"> with four steps to full load). They cannot absorb a hard AI/industrial step without risk of lean-misfire and trip. The node therefore relies on the AC-coupled BESS to buffer the first 1–5 s transient while engines ramp fuel (ref §5.3). The many-small-machine architecture (</w:t>
      </w:r>
      <w:r w:rsidDel="00000000" w:rsidR="00000000" w:rsidRPr="00000000">
        <w:rPr>
          <w:b w:val="1"/>
          <w:bCs w:val="1"/>
          <w:rtl w:val="0"/>
        </w:rPr>
        <w:t xml:space="preserve">5 gensets</w:t>
      </w:r>
      <w:r w:rsidDel="00000000" w:rsidR="00000000" w:rsidRPr="00000000">
        <w:rPr>
          <w:rtl w:val="0"/>
        </w:rPr>
        <w:t xml:space="preserve"> vs ~2 large units for a 10 MW block) also raises distributed inertia per MW and reduces each unit's share of any single step — each of the 4 running gensets picks up only ~1.25 MW of a 5 MW coherent step.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wxmvxwii8akw" w:id="11"/>
      <w:bookmarkEnd w:id="11"/>
      <w:r w:rsidDel="00000000" w:rsidR="00000000" w:rsidRPr="00000000">
        <w:rPr>
          <w:rtl w:val="0"/>
        </w:rPr>
        <w:t xml:space="preserve">§5 Electrical Architecture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ahcnrkmqkjki" w:id="12"/>
      <w:bookmarkEnd w:id="12"/>
      <w:r w:rsidDel="00000000" w:rsidR="00000000" w:rsidRPr="00000000">
        <w:rPr>
          <w:rtl w:val="0"/>
        </w:rPr>
        <w:t xml:space="preserve">§5.1 Generation &amp; paralleling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5× 4.16 kV gensets onto common </w:t>
      </w:r>
      <w:r w:rsidDel="00000000" w:rsidR="00000000" w:rsidRPr="00000000">
        <w:rPr>
          <w:b w:val="1"/>
          <w:bCs w:val="1"/>
          <w:rtl w:val="0"/>
        </w:rPr>
        <w:t xml:space="preserve">4.16 kV metal-clad paralleling switchgear</w:t>
      </w:r>
      <w:r w:rsidDel="00000000" w:rsidR="00000000" w:rsidRPr="00000000">
        <w:rPr>
          <w:rtl w:val="0"/>
        </w:rPr>
        <w:t xml:space="preserve"> (5 kV class).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genset: dedicated breaker, synchronizing, reverse-power and protective relaying.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running carry 10 MW firm; the 5th is N+1 for maintenance/forced-outage cover.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jwfjt1iv5pw3" w:id="13"/>
      <w:bookmarkEnd w:id="13"/>
      <w:r w:rsidDel="00000000" w:rsidR="00000000" w:rsidRPr="00000000">
        <w:rPr>
          <w:rtl w:val="0"/>
        </w:rPr>
        <w:t xml:space="preserve">§5.2 Grid-forming &amp; control mode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Microgrid operates </w:t>
      </w:r>
      <w:r w:rsidDel="00000000" w:rsidR="00000000" w:rsidRPr="00000000">
        <w:rPr>
          <w:b w:val="1"/>
          <w:bCs w:val="1"/>
          <w:rtl w:val="0"/>
        </w:rPr>
        <w:t xml:space="preserve">grid-forming</w:t>
      </w:r>
      <w:r w:rsidDel="00000000" w:rsidR="00000000" w:rsidRPr="00000000">
        <w:rPr>
          <w:rtl w:val="0"/>
        </w:rPr>
        <w:t xml:space="preserve"> in island/behind-the-meter mode.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Grid-former = BESS 4-quadrant grid-forming PCS.</w:t>
      </w:r>
      <w:r w:rsidDel="00000000" w:rsidR="00000000" w:rsidRPr="00000000">
        <w:rPr>
          <w:rtl w:val="0"/>
        </w:rPr>
        <w:t xml:space="preserve"> The PCS establishes the bus voltage/frequency reference, </w:t>
      </w:r>
      <w:r w:rsidDel="00000000" w:rsidR="00000000" w:rsidRPr="00000000">
        <w:rPr>
          <w:b w:val="1"/>
          <w:bCs w:val="1"/>
          <w:rtl w:val="0"/>
        </w:rPr>
        <w:t xml:space="preserve">black-starts the node</w:t>
      </w:r>
      <w:r w:rsidDel="00000000" w:rsidR="00000000" w:rsidRPr="00000000">
        <w:rPr>
          <w:rtl w:val="0"/>
        </w:rPr>
        <w:t xml:space="preserve"> (energize the 4.16 kV bus, then start and synchronize gensets to the live bus), and provides the cleanest transient response — consistent with the BESS already being the locked transient bridge (§5.3). [L]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grid-former: a designated lead genset in isochronous mode</w:t>
      </w:r>
      <w:r w:rsidDel="00000000" w:rsidR="00000000" w:rsidRPr="00000000">
        <w:rPr>
          <w:rtl w:val="0"/>
        </w:rPr>
        <w:t xml:space="preserve"> if the BESS/PCS is unavailable; the remaining gensets droop-share. [L]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Grid-parallel operation (if/where applicable) per IEEE 1547 with anti-islanding.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nmhe2syc4hog" w:id="14"/>
      <w:bookmarkEnd w:id="14"/>
      <w:r w:rsidDel="00000000" w:rsidR="00000000" w:rsidRPr="00000000">
        <w:rPr>
          <w:rtl w:val="0"/>
        </w:rPr>
        <w:t xml:space="preserve">§5.3 BESS — transient bridge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AC-coupled</w:t>
      </w:r>
      <w:r w:rsidDel="00000000" w:rsidR="00000000" w:rsidRPr="00000000">
        <w:rPr>
          <w:rtl w:val="0"/>
        </w:rPr>
        <w:t xml:space="preserve"> on the 4.16 kV bus via a </w:t>
      </w:r>
      <w:r w:rsidDel="00000000" w:rsidR="00000000" w:rsidRPr="00000000">
        <w:rPr>
          <w:b w:val="1"/>
          <w:bCs w:val="1"/>
          <w:rtl w:val="0"/>
        </w:rPr>
        <w:t xml:space="preserve">4-quadrant, grid-forming</w:t>
      </w:r>
      <w:r w:rsidDel="00000000" w:rsidR="00000000" w:rsidRPr="00000000">
        <w:rPr>
          <w:rtl w:val="0"/>
        </w:rPr>
        <w:t xml:space="preserve"> power conversion system (PCS).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Functions: (1) transient bridge for engine load-acceptance, (2) black-start, (3) ride-through, (4) peak-shaving / grid-services revenue.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rating: 6 MW PCS, 4-quadrant (±P, ±Q).</w:t>
      </w:r>
      <w:r w:rsidDel="00000000" w:rsidR="00000000" w:rsidRPr="00000000">
        <w:rPr>
          <w:rtl w:val="0"/>
        </w:rPr>
        <w:t xml:space="preserve"> [L]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rating: 3 MWh usable (~30 min at rated power, ~2C). Chemistry: LFP; fire basis UL 9540A; thermal-runaway separation and suppression per NFPA.</w:t>
      </w:r>
      <w:r w:rsidDel="00000000" w:rsidR="00000000" w:rsidRPr="00000000">
        <w:rPr>
          <w:rtl w:val="0"/>
        </w:rPr>
        <w:t xml:space="preserve"> [L]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Sizing basis (power-binding):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Power is the binding constraint.</w:t>
      </w:r>
      <w:r w:rsidDel="00000000" w:rsidR="00000000" w:rsidRPr="00000000">
        <w:rPr>
          <w:rtl w:val="0"/>
        </w:rPr>
        <w:t xml:space="preserve"> Worst-case coherent load step = </w:t>
      </w:r>
      <w:r w:rsidDel="00000000" w:rsidR="00000000" w:rsidRPr="00000000">
        <w:rPr>
          <w:b w:val="1"/>
          <w:bCs w:val="1"/>
          <w:rtl w:val="0"/>
        </w:rPr>
        <w:t xml:space="preserve">50% of node = 5 MW</w:t>
      </w:r>
      <w:r w:rsidDel="00000000" w:rsidR="00000000" w:rsidRPr="00000000">
        <w:rPr>
          <w:rtl w:val="0"/>
        </w:rPr>
        <w:t xml:space="preserve"> (synchronized AI training swing between compute and collective-communication phases; conservative — treats the swing as 50% of the whole node, including thermally-slow cooling that does not actually step on the fast edge). PCS = 5 MW × 1.20 margin (reactive headroom during the dip + round-trip loss at the instant + step-growth headroom) = </w:t>
      </w:r>
      <w:r w:rsidDel="00000000" w:rsidR="00000000" w:rsidRPr="00000000">
        <w:rPr>
          <w:b w:val="1"/>
          <w:bCs w:val="1"/>
          <w:rtl w:val="0"/>
        </w:rPr>
        <w:t xml:space="preserve">6 MW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4-quadrant</w:t>
      </w:r>
      <w:r w:rsidDel="00000000" w:rsidR="00000000" w:rsidRPr="00000000">
        <w:rPr>
          <w:rtl w:val="0"/>
        </w:rPr>
        <w:t xml:space="preserve"> because a </w:t>
      </w:r>
      <w:r w:rsidDel="00000000" w:rsidR="00000000" w:rsidRPr="00000000">
        <w:rPr>
          <w:b w:val="1"/>
          <w:bCs w:val="1"/>
          <w:rtl w:val="0"/>
        </w:rPr>
        <w:t xml:space="preserve">load rejection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(≈5 MW dropping at once) reverses the problem — the BESS must </w:t>
      </w:r>
      <w:r w:rsidDel="00000000" w:rsidR="00000000" w:rsidRPr="00000000">
        <w:rPr>
          <w:b w:val="1"/>
          <w:bCs w:val="1"/>
          <w:rtl w:val="0"/>
        </w:rPr>
        <w:t xml:space="preserve">absorb</w:t>
      </w:r>
      <w:r w:rsidDel="00000000" w:rsidR="00000000" w:rsidRPr="00000000">
        <w:rPr>
          <w:rtl w:val="0"/>
        </w:rPr>
        <w:t xml:space="preserve"> real power while the engines back down.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Governing-case check:</w:t>
      </w:r>
      <w:r w:rsidDel="00000000" w:rsidR="00000000" w:rsidRPr="00000000">
        <w:rPr>
          <w:rtl w:val="0"/>
        </w:rPr>
        <w:t xml:space="preserve"> the load step (5 MW) exceeds the N-1 generation loss (one genset = 2.5 MW); the load step governs.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Energy is set by secondary duties, not the bridge.</w:t>
      </w:r>
      <w:r w:rsidDel="00000000" w:rsidR="00000000" w:rsidRPr="00000000">
        <w:rPr>
          <w:rtl w:val="0"/>
        </w:rPr>
        <w:t xml:space="preserve"> The transient-bridge energy itself is negligible (~0.06 MWh delivered across a conservative ~45 s gas block-load ramp, taken flat at 5 MW). The 3 MWh rating covers black-start, ride-through, repeated transient cycles, and a peak-shave / grid-services bite. Dial to 60 min (</w:t>
      </w:r>
      <w:r w:rsidDel="00000000" w:rsidR="00000000" w:rsidRPr="00000000">
        <w:rPr>
          <w:b w:val="1"/>
          <w:bCs w:val="1"/>
          <w:rtl w:val="0"/>
        </w:rPr>
        <w:t xml:space="preserve">6 MWh, 1C</w:t>
      </w:r>
      <w:r w:rsidDel="00000000" w:rsidR="00000000" w:rsidRPr="00000000">
        <w:rPr>
          <w:rtl w:val="0"/>
        </w:rPr>
        <w:t xml:space="preserve">) if peak-shave arbitrage becomes a primary revenue target.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Engine protection:</w:t>
      </w:r>
      <w:r w:rsidDel="00000000" w:rsidR="00000000" w:rsidRPr="00000000">
        <w:rPr>
          <w:rtl w:val="0"/>
        </w:rPr>
        <w:t xml:space="preserve"> the multi-second pickup window is intentional — a gentle, staged genset ramp avoids lean-burn misfire/trip while the BESS bridges the gap.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t7w39t8xjwg8" w:id="15"/>
      <w:bookmarkEnd w:id="15"/>
      <w:r w:rsidDel="00000000" w:rsidR="00000000" w:rsidRPr="00000000">
        <w:rPr>
          <w:rtl w:val="0"/>
        </w:rPr>
        <w:t xml:space="preserve">§5.4 Synchronous condenser — provisional </w:t>
      </w:r>
      <w:r w:rsidDel="00000000" w:rsidR="00000000" w:rsidRPr="00000000">
        <w:rPr>
          <w:b w:val="1"/>
          <w:bCs w:val="1"/>
          <w:rtl w:val="0"/>
        </w:rPr>
        <w:t xml:space="preserve">[O]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the fault-level / voltage-stiffness study (ELEC-002) shows the gensets alone provide insufficient short-circuit strength or reactive support. Supplement to — not replacement for — the BESS. </w:t>
      </w: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with only 4 running machines, the node's short-circuit contribution is modest, so the fault study (ELEC-002) carries meaningful weight here.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amv2b3n4miq1" w:id="16"/>
      <w:bookmarkEnd w:id="16"/>
      <w:r w:rsidDel="00000000" w:rsidR="00000000" w:rsidRPr="00000000">
        <w:rPr>
          <w:rtl w:val="0"/>
        </w:rPr>
        <w:t xml:space="preserve">§5.5 Step-up &amp; collection </w:t>
      </w:r>
      <w:r w:rsidDel="00000000" w:rsidR="00000000" w:rsidRPr="00000000">
        <w:rPr>
          <w:b w:val="1"/>
          <w:bCs w:val="1"/>
          <w:rtl w:val="0"/>
        </w:rPr>
        <w:t xml:space="preserve">[W]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step-up transformer: 4.16 kV → </w:t>
      </w:r>
      <w:r w:rsidDel="00000000" w:rsidR="00000000" w:rsidRPr="00000000">
        <w:rPr>
          <w:b w:val="1"/>
          <w:bCs w:val="1"/>
          <w:rtl w:val="0"/>
        </w:rPr>
        <w:t xml:space="preserve">13.8 / 34.5 kV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(collection voltage TBD, ELEC-004); transformer kVA scaled to the 10 MW node (≈12.5–15 MVA class with margin).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Campus collection bus aggregates nodes to the POI; POI step-up to utility transmission is site-specific.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p26zg1jw302v" w:id="17"/>
      <w:bookmarkEnd w:id="17"/>
      <w:r w:rsidDel="00000000" w:rsidR="00000000" w:rsidRPr="00000000">
        <w:rPr>
          <w:rtl w:val="0"/>
        </w:rPr>
        <w:t xml:space="preserve">§5.6 Power quality </w:t>
      </w:r>
      <w:r w:rsidDel="00000000" w:rsidR="00000000" w:rsidRPr="00000000">
        <w:rPr>
          <w:b w:val="1"/>
          <w:bCs w:val="1"/>
          <w:rtl w:val="0"/>
        </w:rPr>
        <w:t xml:space="preserve">[O]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THD within IEEE 519 limits at the POI; harmonic study (ELEC-003) to confirm PCS/VFD content and filtering need.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yxx3i4j2szl5" w:id="18"/>
      <w:bookmarkEnd w:id="18"/>
      <w:r w:rsidDel="00000000" w:rsidR="00000000" w:rsidRPr="00000000">
        <w:rPr>
          <w:rtl w:val="0"/>
        </w:rPr>
        <w:t xml:space="preserve">§6 Mechanical / Cooling / Balance of Plant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cooling [O]</w:t>
      </w:r>
      <w:r w:rsidDel="00000000" w:rsidR="00000000" w:rsidRPr="00000000">
        <w:rPr>
          <w:rtl w:val="0"/>
        </w:rPr>
        <w:t xml:space="preserve">: remote/roof radiators vs closed-loop to dry/adiabatic coolers — selected per site water and ambient (MECH-001). Jacket-water and aftercooler circuits per engine.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Exhaust / aftertreatment [L]</w:t>
      </w:r>
      <w:r w:rsidDel="00000000" w:rsidR="00000000" w:rsidRPr="00000000">
        <w:rPr>
          <w:rtl w:val="0"/>
        </w:rPr>
        <w:t xml:space="preserve">: per-engine </w:t>
      </w:r>
      <w:r w:rsidDel="00000000" w:rsidR="00000000" w:rsidRPr="00000000">
        <w:rPr>
          <w:b w:val="1"/>
          <w:bCs w:val="1"/>
          <w:rtl w:val="0"/>
        </w:rPr>
        <w:t xml:space="preserve">SCR (NOx) + oxidation catalyst (CO / VOC / formaldehyde)</w:t>
      </w:r>
      <w:r w:rsidDel="00000000" w:rsidR="00000000" w:rsidRPr="00000000">
        <w:rPr>
          <w:rtl w:val="0"/>
        </w:rPr>
        <w:t xml:space="preserve">; urea storage &amp; dosing (ENV-002); stack per dispersion modeling. (HSK78G native-NOx capability per §4.2 does not change this locked basis.)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Fuel [W]</w:t>
      </w:r>
      <w:r w:rsidDel="00000000" w:rsidR="00000000" w:rsidRPr="00000000">
        <w:rPr>
          <w:rtl w:val="0"/>
        </w:rPr>
        <w:t xml:space="preserve">: pipeline delivery, per-node pressure regulation and gas train; gas quality (Wobbe / methane number) confirmed against engine envelope (FUEL-001).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BoP</w:t>
      </w:r>
      <w:r w:rsidDel="00000000" w:rsidR="00000000" w:rsidRPr="00000000">
        <w:rPr>
          <w:rtl w:val="0"/>
        </w:rPr>
        <w:t xml:space="preserve">: lube oil system, starting (electric/air), combustion-air and enclosure ventilation, fire detection &amp; suppression (NFPA 37 / 110).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4clvj3qjl7o" w:id="19"/>
      <w:bookmarkEnd w:id="19"/>
      <w:r w:rsidDel="00000000" w:rsidR="00000000" w:rsidRPr="00000000">
        <w:rPr>
          <w:rtl w:val="0"/>
        </w:rPr>
        <w:t xml:space="preserve">§7 Emissions &amp; Permitting Strategy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core commercial lever.</w:t>
      </w:r>
      <w:r w:rsidDel="00000000" w:rsidR="00000000" w:rsidRPr="00000000">
        <w:rPr>
          <w:rtl w:val="0"/>
        </w:rPr>
        <w:t xml:space="preserve"> Each node is engineered so that </w:t>
      </w:r>
      <w:r w:rsidDel="00000000" w:rsidR="00000000" w:rsidRPr="00000000">
        <w:rPr>
          <w:b w:val="1"/>
          <w:bCs w:val="1"/>
          <w:rtl w:val="0"/>
        </w:rPr>
        <w:t xml:space="preserve">20 nodes (200 MW) remain below federal PSD / Title V major-source thresholds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synthetic-minor</w:t>
      </w:r>
      <w:r w:rsidDel="00000000" w:rsidR="00000000" w:rsidRPr="00000000">
        <w:rPr>
          <w:rtl w:val="0"/>
        </w:rPr>
        <w:t xml:space="preserve"> posture that avoids major-source New Source Review and compresses permitting timeline. This is the same regulatory mechanism a leading competitor markets as "200 MW under a minor-source permit."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NOx controlled via SCR; CO / VOC / formaldehyde via oxidation catalyst (subpart ZZZZ compliance).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Caveat [O — ENV-001]:</w:t>
      </w:r>
      <w:r w:rsidDel="00000000" w:rsidR="00000000" w:rsidRPr="00000000">
        <w:rPr>
          <w:rtl w:val="0"/>
        </w:rPr>
        <w:t xml:space="preserve"> major-source thresholds are </w:t>
      </w:r>
      <w:r w:rsidDel="00000000" w:rsidR="00000000" w:rsidRPr="00000000">
        <w:rPr>
          <w:b w:val="1"/>
          <w:bCs w:val="1"/>
          <w:rtl w:val="0"/>
        </w:rPr>
        <w:t xml:space="preserve">site- and attainment-specific.</w:t>
      </w:r>
      <w:r w:rsidDel="00000000" w:rsidR="00000000" w:rsidRPr="00000000">
        <w:rPr>
          <w:rtl w:val="0"/>
        </w:rPr>
        <w:t xml:space="preserve"> Nonattainment areas (e.g., the Baton Rouge ozone region — relevant to a St. Gabriel / Willow Glen-class site) carry </w:t>
      </w:r>
      <w:r w:rsidDel="00000000" w:rsidR="00000000" w:rsidRPr="00000000">
        <w:rPr>
          <w:b w:val="1"/>
          <w:bCs w:val="1"/>
          <w:rtl w:val="0"/>
        </w:rPr>
        <w:t xml:space="preserve">lower NOx thresholds and may force emission offsets</w:t>
      </w:r>
      <w:r w:rsidDel="00000000" w:rsidR="00000000" w:rsidRPr="00000000">
        <w:rPr>
          <w:rtl w:val="0"/>
        </w:rPr>
        <w:t xml:space="preserve">, which can break the 20-node/200 MW envelope. Lafayette / Acadiana is in attainment. The node's potential-to-emit (PTE) calc and the per-site threshold must be confirmed with the air consultant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committing the 200 MW envelope at any given site.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 is locked as the design basis (conservative, supports the near-zero / minor-source claim);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control level required is set by the site PTE calc.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Standby-fleet note — chief-engineer flag:</w:t>
      </w:r>
      <w:r w:rsidDel="00000000" w:rsidR="00000000" w:rsidRPr="00000000">
        <w:rPr>
          <w:rtl w:val="0"/>
        </w:rPr>
        <w:t xml:space="preserve"> a 200 MW campus built from 20 nodes carries </w:t>
      </w:r>
      <w:r w:rsidDel="00000000" w:rsidR="00000000" w:rsidRPr="00000000">
        <w:rPr>
          <w:b w:val="1"/>
          <w:bCs w:val="1"/>
          <w:rtl w:val="0"/>
        </w:rPr>
        <w:t xml:space="preserve">20 N+1 standby gensets</w:t>
      </w:r>
      <w:r w:rsidDel="00000000" w:rsidR="00000000" w:rsidRPr="00000000">
        <w:rPr>
          <w:rtl w:val="0"/>
        </w:rPr>
        <w:t xml:space="preserve"> on top of the ~80 running units (80 × 2.5 MW). If standby units are permitted with run-hours, those units add to campus PTE. ENV-001 must size the PTE on the </w:t>
      </w:r>
      <w:r w:rsidDel="00000000" w:rsidR="00000000" w:rsidRPr="00000000">
        <w:rPr>
          <w:b w:val="1"/>
          <w:bCs w:val="1"/>
          <w:rtl w:val="0"/>
        </w:rPr>
        <w:t xml:space="preserve">actual node count and standby run-hour allowance</w:t>
      </w:r>
      <w:r w:rsidDel="00000000" w:rsidR="00000000" w:rsidRPr="00000000">
        <w:rPr>
          <w:rtl w:val="0"/>
        </w:rPr>
        <w:t xml:space="preserve">, not on running MW alone.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z5nvo4ekhzst" w:id="20"/>
      <w:bookmarkEnd w:id="20"/>
      <w:r w:rsidDel="00000000" w:rsidR="00000000" w:rsidRPr="00000000">
        <w:rPr>
          <w:rtl w:val="0"/>
        </w:rPr>
        <w:t xml:space="preserve">§8 Controls / SCADA — "Mission Control"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master controller</w:t>
      </w:r>
      <w:r w:rsidDel="00000000" w:rsidR="00000000" w:rsidRPr="00000000">
        <w:rPr>
          <w:rtl w:val="0"/>
        </w:rPr>
        <w:t xml:space="preserve">: dispatch, load-share, synchronizing, BESS coordination, engine sequencing for N+1.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Genset controls: Cat EMCP 4.x / AGC paralleling (G3520H); Cummins PowerCommand (HSK78G) — abstracted behind a common node controller (CTRL-002).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Merchant-operations layer</w:t>
      </w:r>
      <w:r w:rsidDel="00000000" w:rsidR="00000000" w:rsidRPr="00000000">
        <w:rPr>
          <w:rtl w:val="0"/>
        </w:rPr>
        <w:t xml:space="preserve">: remote monitoring &amp; dispatch, grid-services participation (frequency response, demand response, peak-shave), performance/availability telemetry per node and per campus (CTRL-001).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4a1zd8e2jenc" w:id="21"/>
      <w:bookmarkEnd w:id="21"/>
      <w:r w:rsidDel="00000000" w:rsidR="00000000" w:rsidRPr="00000000">
        <w:rPr>
          <w:rtl w:val="0"/>
        </w:rPr>
        <w:t xml:space="preserve">§9 Capacity &amp; Scaling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 G3520H, ~2.5 MW (Cummins HSK78G ~1.6–1.8 MW @ 60 Hz alt.)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5× genset (4 running + 1 N+1)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MW 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nodes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200 MW = one minor-source envelope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&gt;200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Replicate campus modules; each is its own permit envelope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&amp; redundancy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node aligns with the ≤10 MW platform convention used on other programs and is the natural </w:t>
      </w:r>
      <w:r w:rsidDel="00000000" w:rsidR="00000000" w:rsidRPr="00000000">
        <w:rPr>
          <w:b w:val="1"/>
          <w:bCs w:val="1"/>
          <w:rtl w:val="0"/>
        </w:rPr>
        <w:t xml:space="preserve">single-host / proof-of-concept</w:t>
      </w:r>
      <w:r w:rsidDel="00000000" w:rsidR="00000000" w:rsidRPr="00000000">
        <w:rPr>
          <w:rtl w:val="0"/>
        </w:rPr>
        <w:t xml:space="preserve"> node.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N+1 / redundancy:</w:t>
      </w:r>
      <w:r w:rsidDel="00000000" w:rsidR="00000000" w:rsidRPr="00000000">
        <w:rPr>
          <w:rtl w:val="0"/>
        </w:rPr>
        <w:t xml:space="preserve"> the node carries </w:t>
      </w:r>
      <w:r w:rsidDel="00000000" w:rsidR="00000000" w:rsidRPr="00000000">
        <w:rPr>
          <w:b w:val="1"/>
          <w:bCs w:val="1"/>
          <w:rtl w:val="0"/>
        </w:rPr>
        <w:t xml:space="preserve">5 units (4 running + 1 N+1)</w:t>
      </w:r>
      <w:r w:rsidDel="00000000" w:rsidR="00000000" w:rsidRPr="00000000">
        <w:rPr>
          <w:rtl w:val="0"/>
        </w:rPr>
        <w:t xml:space="preserve"> for 10 MW </w:t>
      </w:r>
      <w:r w:rsidDel="00000000" w:rsidR="00000000" w:rsidRPr="00000000">
        <w:rPr>
          <w:i w:val="1"/>
          <w:iCs w:val="1"/>
          <w:rtl w:val="0"/>
        </w:rPr>
        <w:t xml:space="preserve">firm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4-unit non-redundant variant</w:t>
      </w:r>
      <w:r w:rsidDel="00000000" w:rsidR="00000000" w:rsidRPr="00000000">
        <w:rPr>
          <w:rtl w:val="0"/>
        </w:rPr>
        <w:t xml:space="preserve"> (10 MW, no on-node spare) is available where utility backup or campus-level redundancy makes on-node N+1 unnecessary — state which variant is being quoted on every commercial commitment.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6g6ec0its9xr" w:id="22"/>
      <w:bookmarkEnd w:id="22"/>
      <w:r w:rsidDel="00000000" w:rsidR="00000000" w:rsidRPr="00000000">
        <w:rPr>
          <w:rtl w:val="0"/>
        </w:rPr>
        <w:t xml:space="preserve">§10 Decision Ledger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nzvufbjij9ub" w:id="23"/>
      <w:bookmarkEnd w:id="23"/>
      <w:r w:rsidDel="00000000" w:rsidR="00000000" w:rsidRPr="00000000">
        <w:rPr>
          <w:rtl w:val="0"/>
        </w:rPr>
        <w:t xml:space="preserve">Locked </w:t>
      </w:r>
      <w:r w:rsidDel="00000000" w:rsidR="00000000" w:rsidRPr="00000000">
        <w:rPr>
          <w:b w:val="1"/>
          <w:bCs w:val="1"/>
          <w:rtl w:val="0"/>
        </w:rPr>
        <w:t xml:space="preserve">[L]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AC-MV synchronous-genset microgrid topology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prime mover: Cat G3520H; second source: Cummins HSK78G (per-position drop-in)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= 5× G3520H, 4 running + 1 N+1 = </w:t>
      </w:r>
      <w:r w:rsidDel="00000000" w:rsidR="00000000" w:rsidRPr="00000000">
        <w:rPr>
          <w:b w:val="1"/>
          <w:bCs w:val="1"/>
          <w:rtl w:val="0"/>
        </w:rPr>
        <w:t xml:space="preserve">10 MW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AC-coupled BESS as the transient bridge (not battery-free)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BESS rating: 6 MW PCS (4-quadrant) / 3 MWh usable, LFP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Per-engine SCR + oxidation catalyst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nodes = 200 MW = one minor-source permit envelope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Genset terminal / paralleling voltage = 4.16 kV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Grid-former = BESS PCS; lead-genset isochronous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g7ync5i8mdb7" w:id="24"/>
      <w:bookmarkEnd w:id="24"/>
      <w:r w:rsidDel="00000000" w:rsidR="00000000" w:rsidRPr="00000000">
        <w:rPr>
          <w:rtl w:val="0"/>
        </w:rPr>
        <w:t xml:space="preserve">Working </w:t>
      </w:r>
      <w:r w:rsidDel="00000000" w:rsidR="00000000" w:rsidRPr="00000000">
        <w:rPr>
          <w:b w:val="1"/>
          <w:bCs w:val="1"/>
          <w:rtl w:val="0"/>
        </w:rPr>
        <w:t xml:space="preserve">[W]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Collection voltage (13.8 vs 34.5 kV)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 step-up scheme / transformer kVA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Fuel supply pressure / metering scheme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jdyxybdmviry" w:id="25"/>
      <w:bookmarkEnd w:id="25"/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[O]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Site design ambient &amp; firm-MW de-rate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Fault-level study → synchronous condenser need (carries extra weight on a 4-machine node)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Harmonic study (IEEE 519)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Engine cooling method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Site &amp; POI selection; per-site attainment / PTE confirmation (incl. standby-fleet run-hours)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62egflrlyyof" w:id="26"/>
      <w:bookmarkEnd w:id="26"/>
      <w:r w:rsidDel="00000000" w:rsidR="00000000" w:rsidRPr="00000000">
        <w:rPr>
          <w:rtl w:val="0"/>
        </w:rPr>
        <w:t xml:space="preserve">§11 Open Items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Gating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Fault-level / short-circuit &amp; voltage-stiffness study → sync condenser decision (4-machine node)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+ campus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Harmonic study (IEEE 519)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PCS / VFD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 voltage selection (13.8 / 34.5 kV)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 &amp; campus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Firm-MW de-rate to site ambient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 site ambient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Cooling method (remote radiator vs closed-loop cooler)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water / ambient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Heat-rate impact of SCR catalyst ΔP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Aftertreatment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PTE calc + minor-source threshold confirmation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account for the 20-node standby fleet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attainment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 urea logistics &amp;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Run-hours / dispatch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 supply pressure, MN / Wobbe confirmation, metering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/ supplier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Plant-master / dispatch platform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Merchant-ops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controller abstraction for dual-source engines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 OEM control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footprint, foundations, transport / crane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&amp; enclosure 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CIVIL-002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Acoustic mitigation vs sensitive receptors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receptor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Company / product name → replaces "MGN" doc 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decision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i w:val="1"/>
          <w:iCs w:val="1"/>
          <w:rtl w:val="0"/>
        </w:rPr>
        <w:t xml:space="preserve">End MGN-BOD-002 Rev 0.1 — Working Draft. Subsequent revisions to carry tracked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