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1B53" w14:textId="77777777" w:rsidR="00304BF3" w:rsidRPr="00304BF3" w:rsidRDefault="00304BF3" w:rsidP="00304BF3">
      <w:pPr>
        <w:spacing w:after="0" w:line="240" w:lineRule="auto"/>
        <w:rPr>
          <w:rFonts w:ascii="Arial" w:eastAsia="Times New Roman" w:hAnsi="Arial" w:cs="Arial"/>
          <w:color w:val="000000"/>
          <w:sz w:val="20"/>
          <w:szCs w:val="20"/>
        </w:rPr>
      </w:pPr>
      <w:r w:rsidRPr="00304BF3">
        <w:rPr>
          <w:rFonts w:ascii="Arial" w:eastAsia="Times New Roman" w:hAnsi="Arial" w:cs="Arial"/>
          <w:color w:val="000000"/>
          <w:sz w:val="20"/>
          <w:szCs w:val="20"/>
        </w:rPr>
        <w:t xml:space="preserve">&lt;p&gt;&lt;strong&gt;NOAA Office:&lt;/strong&gt;OCS    &lt;/p&gt;   </w:t>
      </w:r>
      <w:r w:rsidRPr="00304BF3">
        <w:rPr>
          <w:rFonts w:ascii="Arial" w:eastAsia="Times New Roman" w:hAnsi="Arial" w:cs="Arial"/>
          <w:color w:val="000000"/>
          <w:sz w:val="20"/>
          <w:szCs w:val="20"/>
        </w:rPr>
        <w:br/>
        <w:t>&lt;p&gt;&lt;strong&gt;Duration of Use Case:&lt;/strong&gt; Ongoing   &lt;/p&gt;</w:t>
      </w:r>
      <w:r w:rsidRPr="00304BF3">
        <w:rPr>
          <w:rFonts w:ascii="Arial" w:eastAsia="Times New Roman" w:hAnsi="Arial" w:cs="Arial"/>
          <w:color w:val="000000"/>
          <w:sz w:val="20"/>
          <w:szCs w:val="20"/>
        </w:rPr>
        <w:br/>
        <w:t>&lt;p&gt;&lt;strong&gt;Link to Case:&lt;/strong&gt;    &lt;/p&gt;</w:t>
      </w:r>
      <w:r w:rsidRPr="00304BF3">
        <w:rPr>
          <w:rFonts w:ascii="Arial" w:eastAsia="Times New Roman" w:hAnsi="Arial" w:cs="Arial"/>
          <w:color w:val="000000"/>
          <w:sz w:val="20"/>
          <w:szCs w:val="20"/>
        </w:rPr>
        <w:br/>
        <w:t>&lt;p&gt;&lt;strong&gt;Geographic Location:&lt;/strong&gt;United States Mid-Atlantic    &lt;/p&gt;</w:t>
      </w:r>
      <w:r w:rsidRPr="00304BF3">
        <w:rPr>
          <w:rFonts w:ascii="Arial" w:eastAsia="Times New Roman" w:hAnsi="Arial" w:cs="Arial"/>
          <w:color w:val="000000"/>
          <w:sz w:val="20"/>
          <w:szCs w:val="20"/>
        </w:rPr>
        <w:br/>
        <w:t>&lt;p&gt;&lt;strong&gt;Is the Use Case Published?&lt;/strong&gt;No    &lt;/p&gt;</w:t>
      </w:r>
      <w:r w:rsidRPr="00304BF3">
        <w:rPr>
          <w:rFonts w:ascii="Arial" w:eastAsia="Times New Roman" w:hAnsi="Arial" w:cs="Arial"/>
          <w:color w:val="000000"/>
          <w:sz w:val="20"/>
          <w:szCs w:val="20"/>
        </w:rPr>
        <w:br/>
        <w:t>&lt;p&gt;&lt;strong&gt;Primary Use:&lt;/strong&gt;Sea Space Utilization    &lt;/p&gt;</w:t>
      </w:r>
      <w:r w:rsidRPr="00304BF3">
        <w:rPr>
          <w:rFonts w:ascii="Arial" w:eastAsia="Times New Roman" w:hAnsi="Arial" w:cs="Arial"/>
          <w:color w:val="000000"/>
          <w:sz w:val="20"/>
          <w:szCs w:val="20"/>
        </w:rPr>
        <w:br/>
        <w:t>&lt;p&gt;&lt;strong&gt;Which Marine Industries Benefit from the case:&lt;/strong&gt;Marine transportation, Ports    &lt;/p&gt;</w:t>
      </w:r>
      <w:r w:rsidRPr="00304BF3">
        <w:rPr>
          <w:rFonts w:ascii="Arial" w:eastAsia="Times New Roman" w:hAnsi="Arial" w:cs="Arial"/>
          <w:color w:val="000000"/>
          <w:sz w:val="20"/>
          <w:szCs w:val="20"/>
        </w:rPr>
        <w:br/>
        <w:t>&lt;p&gt;&lt;strong&gt;Case Benefits:&lt;/strong&gt;By having accurate and up-to-date charting products that include updated hydrography allows for decision makers and regulators in the off-shore wind industry to have a better understanding of where to place wind energy, but also how to route vessels around and through wind energy to keep the nations commerce moving.    &lt;/p&gt;</w:t>
      </w:r>
      <w:r w:rsidRPr="00304BF3">
        <w:rPr>
          <w:rFonts w:ascii="Arial" w:eastAsia="Times New Roman" w:hAnsi="Arial" w:cs="Arial"/>
          <w:color w:val="000000"/>
          <w:sz w:val="20"/>
          <w:szCs w:val="20"/>
        </w:rPr>
        <w:br/>
        <w:t>&lt;p&gt;&lt;strong&gt;Description:&lt;/strong&gt;"Sea area utilization" decision making process.  For example: the relationship between PARS and wind energy lease areas/cable routing.  Here in the mid-</w:t>
      </w:r>
      <w:proofErr w:type="spellStart"/>
      <w:r w:rsidRPr="00304BF3">
        <w:rPr>
          <w:rFonts w:ascii="Arial" w:eastAsia="Times New Roman" w:hAnsi="Arial" w:cs="Arial"/>
          <w:color w:val="000000"/>
          <w:sz w:val="20"/>
          <w:szCs w:val="20"/>
        </w:rPr>
        <w:t>atlantic</w:t>
      </w:r>
      <w:proofErr w:type="spellEnd"/>
      <w:r w:rsidRPr="00304BF3">
        <w:rPr>
          <w:rFonts w:ascii="Arial" w:eastAsia="Times New Roman" w:hAnsi="Arial" w:cs="Arial"/>
          <w:color w:val="000000"/>
          <w:sz w:val="20"/>
          <w:szCs w:val="20"/>
        </w:rPr>
        <w:t xml:space="preserve"> and really the entire east coast there are quite a few wind lease areas in different stages of construction.  </w:t>
      </w:r>
      <w:proofErr w:type="gramStart"/>
      <w:r w:rsidRPr="00304BF3">
        <w:rPr>
          <w:rFonts w:ascii="Arial" w:eastAsia="Times New Roman" w:hAnsi="Arial" w:cs="Arial"/>
          <w:color w:val="000000"/>
          <w:sz w:val="20"/>
          <w:szCs w:val="20"/>
        </w:rPr>
        <w:t>Specifically</w:t>
      </w:r>
      <w:proofErr w:type="gramEnd"/>
      <w:r w:rsidRPr="00304BF3">
        <w:rPr>
          <w:rFonts w:ascii="Arial" w:eastAsia="Times New Roman" w:hAnsi="Arial" w:cs="Arial"/>
          <w:color w:val="000000"/>
          <w:sz w:val="20"/>
          <w:szCs w:val="20"/>
        </w:rPr>
        <w:t xml:space="preserve"> right off the coast of VA, the dominion energy wind area is about to start construction and there has been a lot of work put into preserving natural deep water routes with new fairways established by the PARS study.  Also, deconflicting cable routing areas, especially where cables cross, which require rock armoring sometimes 5+ feet above the sea </w:t>
      </w:r>
      <w:proofErr w:type="gramStart"/>
      <w:r w:rsidRPr="00304BF3">
        <w:rPr>
          <w:rFonts w:ascii="Arial" w:eastAsia="Times New Roman" w:hAnsi="Arial" w:cs="Arial"/>
          <w:color w:val="000000"/>
          <w:sz w:val="20"/>
          <w:szCs w:val="20"/>
        </w:rPr>
        <w:t>floor.&lt;</w:t>
      </w:r>
      <w:proofErr w:type="gramEnd"/>
      <w:r w:rsidRPr="00304BF3">
        <w:rPr>
          <w:rFonts w:ascii="Arial" w:eastAsia="Times New Roman" w:hAnsi="Arial" w:cs="Arial"/>
          <w:color w:val="000000"/>
          <w:sz w:val="20"/>
          <w:szCs w:val="20"/>
        </w:rPr>
        <w:t>/p&gt;</w:t>
      </w:r>
    </w:p>
    <w:p w14:paraId="2DB9D13F"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F3"/>
    <w:rsid w:val="00106AB0"/>
    <w:rsid w:val="00304BF3"/>
    <w:rsid w:val="00411B25"/>
    <w:rsid w:val="00BE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2DBD"/>
  <w15:chartTrackingRefBased/>
  <w15:docId w15:val="{87935720-A642-4650-8EA0-95189D4E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2022-12-14T18:53:00Z</dcterms:created>
  <dcterms:modified xsi:type="dcterms:W3CDTF">2022-12-14T18:54:00Z</dcterms:modified>
</cp:coreProperties>
</file>