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сканера nikto и методов тестирования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 чтобы работать с nikto, нужно подготовить веб-приложение, которое будем сканировать. В нащем случае было выбрано DVWA, для этого запускаем apache2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084971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p>
      <w:pPr>
        <w:pStyle w:val="BodyText"/>
      </w:pPr>
      <w:r>
        <w:t xml:space="preserve">В адресной строке браузера вводим адрес DVWA, перехожим в режим выбора уровня безопасности, ставим минимальный (nikto при обычном сканировании для режима impossible и low выдаст одинаковые потенциальные уязвимости, так как все уязвимости остаются, но изменяется сложность, с которой их можно использовать)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653698"/>
            <wp:effectExtent b="0" l="0" r="0" t="0"/>
            <wp:docPr descr="Запуск DVWA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Запускаем nikto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495637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p>
      <w:pPr>
        <w:pStyle w:val="BodyText"/>
      </w:pPr>
      <w:r>
        <w:t xml:space="preserve">Проверяем веб-приложение, введя его полный URL и не вводя порт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326989"/>
            <wp:effectExtent b="0" l="0" r="0" t="0"/>
            <wp:docPr descr="Проверка веб-приложения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веб-приложения</w:t>
      </w:r>
    </w:p>
    <w:p>
      <w:pPr>
        <w:pStyle w:val="BodyText"/>
      </w:pPr>
      <w:r>
        <w:t xml:space="preserve">Затем сканируем, введя адрес хоста и адрес порта, результаты отличаются незначительно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891521"/>
            <wp:effectExtent b="0" l="0" r="0" t="0"/>
            <wp:docPr descr="Сканировани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Сканирование</w:t>
      </w:r>
    </w:p>
    <w:bookmarkStart w:id="38" w:name="анализ-результатов-сканирования"/>
    <w:p>
      <w:pPr>
        <w:pStyle w:val="Heading2"/>
      </w:pP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выполнения этапа индивидуального проекта был изучен и использован сканер nikto для тестирования веб-приложений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</dc:title>
  <dc:creator>Чванова Ангелина Дмитриевна, НПИбд02-21</dc:creator>
  <dc:language>ru-RU</dc:language>
  <cp:keywords/>
  <dcterms:created xsi:type="dcterms:W3CDTF">2024-10-04T10:01:54Z</dcterms:created>
  <dcterms:modified xsi:type="dcterms:W3CDTF">2024-10-04T10:01:54Z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