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/>
      </w:pPr>
      <w:bookmarkStart w:id="0" w:name="_vwlnuvou5pnt"/>
      <w:bookmarkEnd w:id="0"/>
      <w:r>
        <w:rPr/>
        <w:t>Bloque 3 · Gestión documental y sincronización (RF08) – ENRI</w:t>
      </w:r>
    </w:p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Prueba de procesamiento de texto.</w:t>
      </w:r>
    </w:p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1"/>
        <w:rPr/>
      </w:pPr>
      <w:r>
        <w:rPr/>
        <w:t>Listado de tareas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b/>
          <w:bCs/>
          <w:strike/>
        </w:rPr>
        <w:t>T20</w:t>
      </w:r>
      <w:r>
        <w:rPr>
          <w:strike/>
        </w:rPr>
        <w:t xml:space="preserve"> Conectar con Drive en modo solo lectura con cuenta de servicio, compartiendo la carpeta institucional con esa cuenta.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T21</w:t>
      </w:r>
      <w:r>
        <w:rPr/>
        <w:t xml:space="preserve"> Interpretar la convención de carpetas (materia / comisión / período) y derivar los metadatos del documento.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T22</w:t>
      </w:r>
      <w:r>
        <w:rPr/>
        <w:t xml:space="preserve"> Extraer texto de los formatos admitidos (PDF, Google Docs, DOCX). Primero hay que definir cuáles se admiten.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T23</w:t>
      </w:r>
      <w:r>
        <w:rPr/>
        <w:t xml:space="preserve"> Definir e implementar la estrategia de fragmentación (tamaño, solapamiento, conservación del título y la sección).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T24</w:t>
      </w:r>
      <w:r>
        <w:rPr/>
        <w:t xml:space="preserve"> Detectar cambios por identificador y huella de contenido: nuevo, modificado, eliminado, vencido.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T25</w:t>
      </w:r>
      <w:r>
        <w:rPr/>
        <w:t xml:space="preserve"> Indexar: reemplazar los fragmentos del documento, retirar los eliminados o vencidos y mantener los estados del documento (Fig. 6, incluido «Observado»).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T26</w:t>
      </w:r>
      <w:r>
        <w:rPr/>
        <w:t xml:space="preserve"> Cargar el directorio de derivación desde la planilla de Drive.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T27</w:t>
      </w:r>
      <w:r>
        <w:rPr/>
        <w:t xml:space="preserve"> Crear el endpoint </w:t>
      </w:r>
      <w:r>
        <w:rPr>
          <w:rFonts w:eastAsia="Roboto Mono" w:cs="Roboto Mono" w:ascii="Roboto Mono" w:hAnsi="Roboto Mono"/>
          <w:color w:val="188038"/>
        </w:rPr>
        <w:t>/sync</w:t>
      </w:r>
      <w:r>
        <w:rPr/>
        <w:t xml:space="preserve"> a demanda (protegido) y la tarea programada diaria en Vercel.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T28</w:t>
      </w:r>
      <w:r>
        <w:rPr/>
        <w:t xml:space="preserve"> Registrar cada ejecución en </w:t>
      </w:r>
      <w:r>
        <w:rPr>
          <w:rFonts w:eastAsia="Roboto Mono" w:cs="Roboto Mono" w:ascii="Roboto Mono" w:hAnsi="Roboto Mono"/>
          <w:color w:val="188038"/>
        </w:rPr>
        <w:t>SINCRONIZACION</w:t>
      </w:r>
      <w:r>
        <w:rPr/>
        <w:t xml:space="preserve"> (conteos y errores).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>
          <w:highlight w:val="yellow"/>
        </w:rPr>
      </w:pPr>
      <w:r>
        <w:rPr>
          <w:b/>
          <w:bCs/>
          <w:highlight w:val="yellow"/>
        </w:rPr>
        <w:t>T29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>Spike:</w:t>
      </w:r>
      <w:r>
        <w:rPr>
          <w:highlight w:val="yellow"/>
        </w:rPr>
        <w:t xml:space="preserve"> medir el tiempo de una sincronización completa contra el límite de ejecución serverless y definir si hace falta procesar por lotes o reanudar.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Roboto Mono">
    <w:charset w:val="00" w:characterSet="windows-1252"/>
    <w:family w:val="roman"/>
    <w:pitch w:val="variable"/>
    <w:embedRegular r:id="rId1" w:fontKey="{01014A78-CABC-4EF0-12AC-5CD89AEFDE01}"/>
  </w:font>
  <w:font w:name="Wingdings">
    <w:charset w:val="02"/>
    <w:family w:val="auto"/>
    <w:pitch w:val="variable"/>
    <w:embedRegular r:id="rId2" w:fontKey="{02014A78-CABC-4EF0-12AC-5CD89AEFDE02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xx" w:bidi="zxx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S Gothic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Tahoma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S Gothic" w:cs="Tahoma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Tahoma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xx" w:bidi="zxx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LibreOffice/26.2.6.3$Windows_X86_64 LibreOffice_project/8221e31b3ac356a1623c672912a3d2b492f7e3d1</Application>
  <AppVersion>15.0000</AppVersion>
  <Pages>1</Pages>
  <Words>192</Words>
  <Characters>1043</Characters>
  <CharactersWithSpaces>1213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2026-10-11T11:08:27Z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