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0B1440"/>
          <w:sz w:val="38"/>
          <w:szCs w:val="38"/>
        </w:rPr>
        <w:t xml:space="preserve">Segmentación Meta Ads — Captación de nuevas familias</w:t>
      </w:r>
    </w:p>
    <w:p>
      <w:pPr>
        <w:spacing w:after="40"/>
      </w:pPr>
      <w:r>
        <w:rPr>
          <w:b/>
          <w:bCs/>
          <w:color w:val="5B3FD1"/>
          <w:sz w:val="24"/>
          <w:szCs w:val="24"/>
        </w:rPr>
        <w:t xml:space="preserve">Colegio La Salle Pereira · Bilingual School — 2026</w:t>
      </w:r>
    </w:p>
    <w:p>
      <w:pPr>
        <w:spacing w:after="120"/>
      </w:pPr>
      <w:r>
        <w:rPr>
          <w:i/>
          <w:iCs/>
          <w:color w:val="444444"/>
          <w:sz w:val="20"/>
          <w:szCs w:val="20"/>
        </w:rPr>
        <w:t xml:space="preserve">Documento operativo para el planner de medios · v4 — estructura consolidada + proyección de leads</w:t>
      </w:r>
    </w:p>
    <w:p>
      <w:pPr>
        <w:pBdr>
          <w:bottom w:val="single" w:color="5B3FD1" w:sz="6"/>
        </w:pBdr>
        <w:spacing w:after="160" w:before="60"/>
      </w:pPr>
      <w:r>
        <w:t xml:space="preserve"/>
      </w:r>
    </w:p>
    <w:p>
      <w:pPr>
        <w:pStyle w:val="Heading1"/>
        <w:spacing w:after="120" w:before="320"/>
      </w:pPr>
      <w:r>
        <w:rPr>
          <w:b/>
          <w:bCs/>
          <w:color w:val="0B1440"/>
          <w:sz w:val="30"/>
          <w:szCs w:val="30"/>
        </w:rPr>
        <w:t xml:space="preserve">1. Contexto y objetivo</w:t>
      </w:r>
    </w:p>
    <w:p>
      <w:pPr>
        <w:spacing w:after="120" w:line="276"/>
      </w:pPr>
      <w:r>
        <w:rPr>
          <w:color w:val="444444"/>
          <w:sz w:val="21"/>
          <w:szCs w:val="21"/>
        </w:rPr>
        <w:t xml:space="preserve">La sede está sobre el </w:t>
      </w:r>
      <w:r>
        <w:rPr>
          <w:b/>
          <w:bCs/>
          <w:color w:val="444444"/>
          <w:sz w:val="21"/>
          <w:szCs w:val="21"/>
        </w:rPr>
        <w:t xml:space="preserve">Km 6 Vía Cerritos, entrada 1</w:t>
      </w:r>
      <w:r>
        <w:rPr>
          <w:color w:val="444444"/>
          <w:sz w:val="21"/>
          <w:szCs w:val="21"/>
        </w:rPr>
        <w:t xml:space="preserve"> (4.82613, -75.79421), en el eje de mayor valorización y desarrollo residencial de Pereira: la franja de condominios y casas campestres estrato 5-6 que hoy concentra los lanzamientos de vivienda nueva. El cliente ideal del colegio se está mudando físicamente al radio de la sede.</w:t>
      </w:r>
    </w:p>
    <w:p>
      <w:pPr>
        <w:spacing w:after="120" w:line="276"/>
      </w:pPr>
      <w:r>
        <w:rPr>
          <w:color w:val="444444"/>
          <w:sz w:val="21"/>
          <w:szCs w:val="21"/>
        </w:rPr>
        <w:t xml:space="preserve">Objetivo: captar familias nuevas para grados de ingreso, con foco en primera infancia y primaria. </w:t>
      </w:r>
      <w:r>
        <w:rPr>
          <w:b/>
          <w:bCs/>
          <w:color w:val="444444"/>
          <w:sz w:val="21"/>
          <w:szCs w:val="21"/>
        </w:rPr>
        <w:t xml:space="preserve">Presupuesto de referencia: $1.5M – $4M COP / mes.</w:t>
      </w:r>
    </w:p>
    <w:p>
      <w:pPr>
        <w:pStyle w:val="Heading1"/>
        <w:spacing w:after="120" w:before="320"/>
      </w:pPr>
      <w:r>
        <w:rPr>
          <w:b/>
          <w:bCs/>
          <w:color w:val="0B1440"/>
          <w:sz w:val="30"/>
          <w:szCs w:val="30"/>
        </w:rPr>
        <w:t xml:space="preserve">2. Lógica estratégica</w:t>
      </w:r>
    </w:p>
    <w:p>
      <w:pPr>
        <w:pStyle w:val="Heading2"/>
        <w:spacing w:after="90" w:before="240"/>
      </w:pPr>
      <w:r>
        <w:rPr>
          <w:b/>
          <w:bCs/>
          <w:color w:val="5B3FD1"/>
          <w:sz w:val="25"/>
          <w:szCs w:val="25"/>
        </w:rPr>
        <w:t xml:space="preserve">2.1 Por qué la geografía y no el estrato</w:t>
      </w:r>
    </w:p>
    <w:p>
      <w:pPr>
        <w:spacing w:after="120" w:line="276"/>
      </w:pPr>
      <w:r>
        <w:rPr>
          <w:color w:val="444444"/>
          <w:sz w:val="21"/>
          <w:szCs w:val="21"/>
        </w:rPr>
        <w:t xml:space="preserve">Dos restricciones condicionan el diseño. Primera: </w:t>
      </w:r>
      <w:r>
        <w:rPr>
          <w:b/>
          <w:bCs/>
          <w:color w:val="444444"/>
          <w:sz w:val="21"/>
          <w:szCs w:val="21"/>
        </w:rPr>
        <w:t xml:space="preserve">Meta no permite segmentar por estrato ni por religión</w:t>
      </w:r>
      <w:r>
        <w:rPr>
          <w:color w:val="444444"/>
          <w:sz w:val="21"/>
          <w:szCs w:val="21"/>
        </w:rPr>
        <w:t xml:space="preserve"> (categorías sensibles retiradas), así que el nivel socioeconómico y el matiz lasallista se aproximan por geografía + intereses, no de forma directa. Segunda: Risaralda tiene fecundidad baja (~1.7 hijos por mujer) y población infantil pequeña; un radio amplio y genérico quema presupuesto.</w:t>
      </w:r>
    </w:p>
    <w:p>
      <w:pPr>
        <w:spacing w:after="120" w:line="276"/>
      </w:pPr>
      <w:r>
        <w:rPr>
          <w:color w:val="444444"/>
          <w:sz w:val="21"/>
          <w:szCs w:val="21"/>
        </w:rPr>
        <w:t xml:space="preserve">Principio rector: </w:t>
      </w:r>
      <w:r>
        <w:rPr>
          <w:b/>
          <w:bCs/>
          <w:color w:val="444444"/>
          <w:sz w:val="21"/>
          <w:szCs w:val="21"/>
        </w:rPr>
        <w:t xml:space="preserve">la geografía hace el filtro socioeconómico</w:t>
      </w:r>
      <w:r>
        <w:rPr>
          <w:color w:val="444444"/>
          <w:sz w:val="21"/>
          <w:szCs w:val="21"/>
        </w:rPr>
        <w:t xml:space="preserve"> y </w:t>
      </w:r>
      <w:r>
        <w:rPr>
          <w:b/>
          <w:bCs/>
          <w:color w:val="444444"/>
          <w:sz w:val="21"/>
          <w:szCs w:val="21"/>
        </w:rPr>
        <w:t xml:space="preserve">la variable Padres protege el CPL</w:t>
      </w:r>
      <w:r>
        <w:rPr>
          <w:color w:val="444444"/>
          <w:sz w:val="21"/>
          <w:szCs w:val="21"/>
        </w:rPr>
        <w:t xml:space="preserve">. Cerrar el radio más y más satura una audiencia diminuta y sube frecuencia y CPL; segmentar por paternidad hace que cada peso impacte a un papá o mamá del rango de hijo correcto, sin asfixiar el mapa.</w:t>
      </w:r>
    </w:p>
    <w:p>
      <w:pPr>
        <w:pStyle w:val="Heading2"/>
        <w:spacing w:after="90" w:before="240"/>
      </w:pPr>
      <w:r>
        <w:rPr>
          <w:b/>
          <w:bCs/>
          <w:color w:val="5B3FD1"/>
          <w:sz w:val="25"/>
          <w:szCs w:val="25"/>
        </w:rPr>
        <w:t xml:space="preserve">2.2 Por qué un solo conjunto de prospección</w:t>
      </w:r>
    </w:p>
    <w:p>
      <w:pPr>
        <w:spacing w:after="120" w:line="276"/>
      </w:pPr>
      <w:r>
        <w:rPr>
          <w:color w:val="444444"/>
          <w:sz w:val="21"/>
          <w:szCs w:val="21"/>
        </w:rPr>
        <w:t xml:space="preserve">La versión anterior repartía la pauta en cuatro conjuntos por capa geográfica. </w:t>
      </w:r>
      <w:r>
        <w:rPr>
          <w:b/>
          <w:bCs/>
          <w:color w:val="444444"/>
          <w:sz w:val="21"/>
          <w:szCs w:val="21"/>
        </w:rPr>
        <w:t xml:space="preserve">Con este presupuesto, consolidar no es una concesión administrativa: es la decisión técnicamente superior.</w:t>
      </w:r>
      <w:r>
        <w:rPr>
          <w:color w:val="444444"/>
          <w:sz w:val="21"/>
          <w:szCs w:val="21"/>
        </w:rPr>
        <w:t xml:space="preserve"> Meta necesita del orden de 50 conversiones semanales </w:t>
      </w:r>
      <w:r>
        <w:rPr>
          <w:i/>
          <w:iCs/>
          <w:color w:val="444444"/>
          <w:sz w:val="21"/>
          <w:szCs w:val="21"/>
        </w:rPr>
        <w:t xml:space="preserve">por conjunto</w:t>
      </w:r>
      <w:r>
        <w:rPr>
          <w:color w:val="444444"/>
          <w:sz w:val="21"/>
          <w:szCs w:val="21"/>
        </w:rPr>
        <w:t xml:space="preserve"> para estabilizar la entrega. Con $1.5–4M mensuales el volumen esperado es de ~25-40 leads semanales en total; repartido en cuatro conjuntos, ninguno sale nunca de la fase de aprendizaje y el CPL se infla en todos a la vez. Un solo conjunto concentra la señal y sí alcanza el umbral.</w:t>
      </w:r>
    </w:p>
    <w:p>
      <w:pPr>
        <w:spacing w:after="120" w:line="276"/>
      </w:pPr>
      <w:r>
        <w:rPr>
          <w:color w:val="444444"/>
          <w:sz w:val="21"/>
          <w:szCs w:val="21"/>
        </w:rPr>
        <w:t xml:space="preserve">Beneficio adicional: dentro de un mismo conjunto los pines </w:t>
      </w:r>
      <w:r>
        <w:rPr>
          <w:b/>
          <w:bCs/>
          <w:color w:val="444444"/>
          <w:sz w:val="21"/>
          <w:szCs w:val="21"/>
        </w:rPr>
        <w:t xml:space="preserve">se suman</w:t>
      </w:r>
      <w:r>
        <w:rPr>
          <w:color w:val="444444"/>
          <w:sz w:val="21"/>
          <w:szCs w:val="21"/>
        </w:rPr>
        <w:t xml:space="preserve">, no compiten entre sí. Desaparece el riesgo de solapamiento de audiencias y de competir contra uno mismo en la subasta.</w:t>
      </w:r>
    </w:p>
    <w:p>
      <w:pPr>
        <w:pStyle w:val="Heading2"/>
        <w:spacing w:after="90" w:before="240"/>
      </w:pPr>
      <w:r>
        <w:rPr>
          <w:b/>
          <w:bCs/>
          <w:color w:val="5B3FD1"/>
          <w:sz w:val="25"/>
          <w:szCs w:val="25"/>
        </w:rPr>
        <w:t xml:space="preserve">2.3 El riesgo que hay que neutralizar</w:t>
      </w:r>
    </w:p>
    <w:p>
      <w:pPr>
        <w:spacing w:after="120" w:line="276"/>
      </w:pPr>
      <w:r>
        <w:rPr>
          <w:color w:val="444444"/>
          <w:sz w:val="21"/>
          <w:szCs w:val="21"/>
        </w:rPr>
        <w:t xml:space="preserve">Al consolidar se pierde el control de cuánto se gasta en cada zona, y existe una asimetría peligrosa: </w:t>
      </w:r>
      <w:r>
        <w:rPr>
          <w:b/>
          <w:bCs/>
          <w:color w:val="444444"/>
          <w:sz w:val="21"/>
          <w:szCs w:val="21"/>
        </w:rPr>
        <w:t xml:space="preserve">Pinares–Álamos es tejido urbano denso y barato de impactar; el corredor Cerritos es campestre y de baja densidad.</w:t>
      </w:r>
      <w:r>
        <w:rPr>
          <w:color w:val="444444"/>
          <w:sz w:val="21"/>
          <w:szCs w:val="21"/>
        </w:rPr>
        <w:t xml:space="preserve"> Meta tenderá a volcar el presupuesto al oriente porque le resulta más económico entregar, dejando desatendido justo el núcleo de proximidad. Las secciones 4 y 5 existen para compensar exactamente eso.</w:t>
      </w:r>
    </w:p>
    <w:p>
      <w:pPr>
        <w:pStyle w:val="Heading1"/>
        <w:spacing w:after="120" w:before="320"/>
      </w:pPr>
      <w:r>
        <w:rPr>
          <w:b/>
          <w:bCs/>
          <w:color w:val="0B1440"/>
          <w:sz w:val="30"/>
          <w:szCs w:val="30"/>
        </w:rPr>
        <w:t xml:space="preserve">3. Estructura de campaña</w:t>
      </w:r>
    </w:p>
    <w:tbl>
      <w:tblPr>
        <w:tblW w:type="dxa" w:w="8450"/>
        <w:tblBorders>
          <w:top w:val="single" w:color="CCCCCC" w:sz="2"/>
          <w:left w:val="single" w:color="CCCCCC" w:sz="2"/>
          <w:bottom w:val="single" w:color="CCCCCC" w:sz="2"/>
          <w:right w:val="single" w:color="CCCCCC" w:sz="2"/>
          <w:insideH w:val="single" w:color="DDDDDD" w:sz="2"/>
          <w:insideV w:val="single" w:color="DDDDDD" w:sz="2"/>
        </w:tblBorders>
      </w:tblPr>
      <w:tblGrid>
        <w:gridCol w:w="1700"/>
        <w:gridCol w:w="2100"/>
        <w:gridCol w:w="1150"/>
        <w:gridCol w:w="3500"/>
      </w:tblGrid>
      <w:tr>
        <w:trPr>
          <w:tblHeader/>
        </w:trPr>
        <w:tc>
          <w:tcPr>
            <w:tcW w:type="dxa" w:w="1700"/>
            <w:shd w:fill="0B1440" w:val="clear"/>
            <w:tcMar>
              <w:top w:type="dxa" w:w="55"/>
              <w:left w:type="dxa" w:w="85"/>
              <w:bottom w:type="dxa" w:w="55"/>
              <w:right w:type="dxa" w:w="85"/>
            </w:tcMar>
          </w:tcPr>
          <w:p>
            <w:pPr>
              <w:spacing w:after="0" w:line="245"/>
            </w:pPr>
            <w:r>
              <w:rPr>
                <w:b/>
                <w:bCs/>
                <w:color w:val="FFFFFF"/>
                <w:sz w:val="18"/>
                <w:szCs w:val="18"/>
              </w:rPr>
              <w:t xml:space="preserve">Conjunto</w:t>
            </w:r>
          </w:p>
        </w:tc>
        <w:tc>
          <w:tcPr>
            <w:tcW w:type="dxa" w:w="2100"/>
            <w:shd w:fill="0B1440" w:val="clear"/>
            <w:tcMar>
              <w:top w:type="dxa" w:w="55"/>
              <w:left w:type="dxa" w:w="85"/>
              <w:bottom w:type="dxa" w:w="55"/>
              <w:right w:type="dxa" w:w="85"/>
            </w:tcMar>
          </w:tcPr>
          <w:p>
            <w:pPr>
              <w:spacing w:after="0" w:line="245"/>
            </w:pPr>
            <w:r>
              <w:rPr>
                <w:b/>
                <w:bCs/>
                <w:color w:val="FFFFFF"/>
                <w:sz w:val="18"/>
                <w:szCs w:val="18"/>
              </w:rPr>
              <w:t xml:space="preserve">Audiencia</w:t>
            </w:r>
          </w:p>
        </w:tc>
        <w:tc>
          <w:tcPr>
            <w:tcW w:type="dxa" w:w="1150"/>
            <w:shd w:fill="0B1440" w:val="clear"/>
            <w:tcMar>
              <w:top w:type="dxa" w:w="55"/>
              <w:left w:type="dxa" w:w="85"/>
              <w:bottom w:type="dxa" w:w="55"/>
              <w:right w:type="dxa" w:w="85"/>
            </w:tcMar>
          </w:tcPr>
          <w:p>
            <w:pPr>
              <w:spacing w:after="0" w:line="245"/>
            </w:pPr>
            <w:r>
              <w:rPr>
                <w:b/>
                <w:bCs/>
                <w:color w:val="FFFFFF"/>
                <w:sz w:val="18"/>
                <w:szCs w:val="18"/>
              </w:rPr>
              <w:t xml:space="preserve">Presupuesto</w:t>
            </w:r>
          </w:p>
        </w:tc>
        <w:tc>
          <w:tcPr>
            <w:tcW w:type="dxa" w:w="3500"/>
            <w:shd w:fill="0B1440" w:val="clear"/>
            <w:tcMar>
              <w:top w:type="dxa" w:w="55"/>
              <w:left w:type="dxa" w:w="85"/>
              <w:bottom w:type="dxa" w:w="55"/>
              <w:right w:type="dxa" w:w="85"/>
            </w:tcMar>
          </w:tcPr>
          <w:p>
            <w:pPr>
              <w:spacing w:after="0" w:line="245"/>
            </w:pPr>
            <w:r>
              <w:rPr>
                <w:b/>
                <w:bCs/>
                <w:color w:val="FFFFFF"/>
                <w:sz w:val="18"/>
                <w:szCs w:val="18"/>
              </w:rPr>
              <w:t xml:space="preserve">Función</w:t>
            </w:r>
          </w:p>
        </w:tc>
      </w:tr>
      <w:tr>
        <w:tc>
          <w:tcPr>
            <w:tcW w:type="dxa" w:w="1700"/>
            <w:tcMar>
              <w:top w:type="dxa" w:w="55"/>
              <w:left w:type="dxa" w:w="85"/>
              <w:bottom w:type="dxa" w:w="55"/>
              <w:right w:type="dxa" w:w="85"/>
            </w:tcMar>
          </w:tcPr>
          <w:p>
            <w:pPr>
              <w:spacing w:after="0" w:line="245"/>
            </w:pPr>
            <w:r>
              <w:rPr>
                <w:color w:val="444444"/>
                <w:sz w:val="18"/>
                <w:szCs w:val="18"/>
              </w:rPr>
              <w:t xml:space="preserve">Prospección consolidada</w:t>
            </w:r>
          </w:p>
        </w:tc>
        <w:tc>
          <w:tcPr>
            <w:tcW w:type="dxa" w:w="2100"/>
            <w:tcMar>
              <w:top w:type="dxa" w:w="55"/>
              <w:left w:type="dxa" w:w="85"/>
              <w:bottom w:type="dxa" w:w="55"/>
              <w:right w:type="dxa" w:w="85"/>
            </w:tcMar>
          </w:tcPr>
          <w:p>
            <w:pPr>
              <w:spacing w:after="0" w:line="245"/>
            </w:pPr>
            <w:r>
              <w:rPr>
                <w:color w:val="444444"/>
                <w:sz w:val="18"/>
                <w:szCs w:val="18"/>
              </w:rPr>
              <w:t xml:space="preserve">Audiencia A + los 7 pines (capas 1A, 1B y 2 fusionadas), excluyendo matriculados</w:t>
            </w:r>
          </w:p>
        </w:tc>
        <w:tc>
          <w:tcPr>
            <w:tcW w:type="dxa" w:w="1150"/>
            <w:tcMar>
              <w:top w:type="dxa" w:w="55"/>
              <w:left w:type="dxa" w:w="85"/>
              <w:bottom w:type="dxa" w:w="55"/>
              <w:right w:type="dxa" w:w="85"/>
            </w:tcMar>
          </w:tcPr>
          <w:p>
            <w:pPr>
              <w:spacing w:after="0" w:line="245"/>
            </w:pPr>
            <w:r>
              <w:rPr>
                <w:color w:val="444444"/>
                <w:sz w:val="18"/>
                <w:szCs w:val="18"/>
              </w:rPr>
              <w:t xml:space="preserve">~85 %</w:t>
            </w:r>
          </w:p>
        </w:tc>
        <w:tc>
          <w:tcPr>
            <w:tcW w:type="dxa" w:w="3500"/>
            <w:tcMar>
              <w:top w:type="dxa" w:w="55"/>
              <w:left w:type="dxa" w:w="85"/>
              <w:bottom w:type="dxa" w:w="55"/>
              <w:right w:type="dxa" w:w="85"/>
            </w:tcMar>
          </w:tcPr>
          <w:p>
            <w:pPr>
              <w:spacing w:after="0" w:line="245"/>
            </w:pPr>
            <w:r>
              <w:rPr>
                <w:color w:val="444444"/>
                <w:sz w:val="18"/>
                <w:szCs w:val="18"/>
              </w:rPr>
              <w:t xml:space="preserve">Motor único de captación. Concentra toda la señal de conversión para salir de aprendizaje.</w:t>
            </w:r>
          </w:p>
        </w:tc>
      </w:tr>
      <w:tr>
        <w:tc>
          <w:tcPr>
            <w:tcW w:type="dxa" w:w="1700"/>
            <w:shd w:fill="EEEBFA" w:val="clear"/>
            <w:tcMar>
              <w:top w:type="dxa" w:w="55"/>
              <w:left w:type="dxa" w:w="85"/>
              <w:bottom w:type="dxa" w:w="55"/>
              <w:right w:type="dxa" w:w="85"/>
            </w:tcMar>
          </w:tcPr>
          <w:p>
            <w:pPr>
              <w:spacing w:after="0" w:line="245"/>
            </w:pPr>
            <w:r>
              <w:rPr>
                <w:color w:val="444444"/>
                <w:sz w:val="18"/>
                <w:szCs w:val="18"/>
              </w:rPr>
              <w:t xml:space="preserve">Retargeting</w:t>
            </w:r>
          </w:p>
        </w:tc>
        <w:tc>
          <w:tcPr>
            <w:tcW w:type="dxa" w:w="2100"/>
            <w:shd w:fill="EEEBFA" w:val="clear"/>
            <w:tcMar>
              <w:top w:type="dxa" w:w="55"/>
              <w:left w:type="dxa" w:w="85"/>
              <w:bottom w:type="dxa" w:w="55"/>
              <w:right w:type="dxa" w:w="85"/>
            </w:tcMar>
          </w:tcPr>
          <w:p>
            <w:pPr>
              <w:spacing w:after="0" w:line="245"/>
            </w:pPr>
            <w:r>
              <w:rPr>
                <w:color w:val="444444"/>
                <w:sz w:val="18"/>
                <w:szCs w:val="18"/>
              </w:rPr>
              <w:t xml:space="preserve">50 registros que iniciaron admisión y no matricularon</w:t>
            </w:r>
          </w:p>
        </w:tc>
        <w:tc>
          <w:tcPr>
            <w:tcW w:type="dxa" w:w="1150"/>
            <w:shd w:fill="EEEBFA" w:val="clear"/>
            <w:tcMar>
              <w:top w:type="dxa" w:w="55"/>
              <w:left w:type="dxa" w:w="85"/>
              <w:bottom w:type="dxa" w:w="55"/>
              <w:right w:type="dxa" w:w="85"/>
            </w:tcMar>
          </w:tcPr>
          <w:p>
            <w:pPr>
              <w:spacing w:after="0" w:line="245"/>
            </w:pPr>
            <w:r>
              <w:rPr>
                <w:color w:val="444444"/>
                <w:sz w:val="18"/>
                <w:szCs w:val="18"/>
              </w:rPr>
              <w:t xml:space="preserve">~15 %</w:t>
            </w:r>
          </w:p>
        </w:tc>
        <w:tc>
          <w:tcPr>
            <w:tcW w:type="dxa" w:w="3500"/>
            <w:shd w:fill="EEEBFA" w:val="clear"/>
            <w:tcMar>
              <w:top w:type="dxa" w:w="55"/>
              <w:left w:type="dxa" w:w="85"/>
              <w:bottom w:type="dxa" w:w="55"/>
              <w:right w:type="dxa" w:w="85"/>
            </w:tcMar>
          </w:tcPr>
          <w:p>
            <w:pPr>
              <w:spacing w:after="0" w:line="245"/>
            </w:pPr>
            <w:r>
              <w:rPr>
                <w:color w:val="444444"/>
                <w:sz w:val="18"/>
                <w:szCs w:val="18"/>
              </w:rPr>
              <w:t xml:space="preserve">Va aparte por ser otra etapa del embudo y otro mensaje. No diluye el aprendizaje del conjunto principal.</w:t>
            </w:r>
          </w:p>
        </w:tc>
      </w:tr>
    </w:tbl>
    <w:p>
      <w:pPr>
        <w:spacing w:after="160" w:before="60"/>
      </w:pPr>
      <w:r>
        <w:rPr>
          <w:i/>
          <w:iCs/>
          <w:color w:val="666666"/>
          <w:sz w:val="17"/>
          <w:szCs w:val="17"/>
        </w:rPr>
        <w:t xml:space="preserve">Dos conjuntos en total. Todo lo demás se pospone deliberadamente (ver sección 6).</w:t>
      </w:r>
    </w:p>
    <w:p>
      <w:pPr>
        <w:pStyle w:val="Heading1"/>
        <w:spacing w:after="120" w:before="320"/>
      </w:pPr>
      <w:r>
        <w:rPr>
          <w:b/>
          <w:bCs/>
          <w:color w:val="0B1440"/>
          <w:sz w:val="30"/>
          <w:szCs w:val="30"/>
        </w:rPr>
        <w:t xml:space="preserve">4. Geolocalización consolidada — 7 pines</w:t>
      </w:r>
    </w:p>
    <w:p>
      <w:pPr>
        <w:spacing w:after="120" w:line="276"/>
      </w:pPr>
      <w:r>
        <w:rPr>
          <w:color w:val="444444"/>
          <w:sz w:val="21"/>
          <w:szCs w:val="21"/>
        </w:rPr>
        <w:t xml:space="preserve">Todos los pines van dentro del mismo conjunto de prospección. </w:t>
      </w:r>
      <w:r>
        <w:rPr>
          <w:b/>
          <w:bCs/>
          <w:color w:val="444444"/>
          <w:sz w:val="21"/>
          <w:szCs w:val="21"/>
        </w:rPr>
        <w:t xml:space="preserve">Como ya no se puede asignar presupuesto por zona, el peso se asigna por inventario disponible: el radio pasa a ser el mecanismo de ponderación.</w:t>
      </w:r>
      <w:r>
        <w:rPr>
          <w:color w:val="444444"/>
          <w:sz w:val="21"/>
          <w:szCs w:val="21"/>
        </w:rPr>
        <w:t xml:space="preserve"> Por eso el oriente se achica al mínimo permitido y el núcleo se mantiene generoso.</w:t>
      </w:r>
    </w:p>
    <w:tbl>
      <w:tblPr>
        <w:tblW w:type="dxa" w:w="8450"/>
        <w:tblBorders>
          <w:top w:val="single" w:color="CCCCCC" w:sz="2"/>
          <w:left w:val="single" w:color="CCCCCC" w:sz="2"/>
          <w:bottom w:val="single" w:color="CCCCCC" w:sz="2"/>
          <w:right w:val="single" w:color="CCCCCC" w:sz="2"/>
          <w:insideH w:val="single" w:color="DDDDDD" w:sz="2"/>
          <w:insideV w:val="single" w:color="DDDDDD" w:sz="2"/>
        </w:tblBorders>
      </w:tblPr>
      <w:tblGrid>
        <w:gridCol w:w="620"/>
        <w:gridCol w:w="1950"/>
        <w:gridCol w:w="1400"/>
        <w:gridCol w:w="700"/>
        <w:gridCol w:w="1000"/>
        <w:gridCol w:w="2780"/>
      </w:tblGrid>
      <w:tr>
        <w:trPr>
          <w:tblHeader/>
        </w:trPr>
        <w:tc>
          <w:tcPr>
            <w:tcW w:type="dxa" w:w="620"/>
            <w:shd w:fill="0B1440" w:val="clear"/>
            <w:tcMar>
              <w:top w:type="dxa" w:w="55"/>
              <w:left w:type="dxa" w:w="85"/>
              <w:bottom w:type="dxa" w:w="55"/>
              <w:right w:type="dxa" w:w="85"/>
            </w:tcMar>
          </w:tcPr>
          <w:p>
            <w:pPr>
              <w:spacing w:after="0" w:line="245"/>
            </w:pPr>
            <w:r>
              <w:rPr>
                <w:b/>
                <w:bCs/>
                <w:color w:val="FFFFFF"/>
                <w:sz w:val="18"/>
                <w:szCs w:val="18"/>
              </w:rPr>
              <w:t xml:space="preserve">Pin</w:t>
            </w:r>
          </w:p>
        </w:tc>
        <w:tc>
          <w:tcPr>
            <w:tcW w:type="dxa" w:w="1950"/>
            <w:shd w:fill="0B1440" w:val="clear"/>
            <w:tcMar>
              <w:top w:type="dxa" w:w="55"/>
              <w:left w:type="dxa" w:w="85"/>
              <w:bottom w:type="dxa" w:w="55"/>
              <w:right w:type="dxa" w:w="85"/>
            </w:tcMar>
          </w:tcPr>
          <w:p>
            <w:pPr>
              <w:spacing w:after="0" w:line="245"/>
            </w:pPr>
            <w:r>
              <w:rPr>
                <w:b/>
                <w:bCs/>
                <w:color w:val="FFFFFF"/>
                <w:sz w:val="18"/>
                <w:szCs w:val="18"/>
              </w:rPr>
              <w:t xml:space="preserve">Centro / referencia</w:t>
            </w:r>
          </w:p>
        </w:tc>
        <w:tc>
          <w:tcPr>
            <w:tcW w:type="dxa" w:w="1400"/>
            <w:shd w:fill="0B1440" w:val="clear"/>
            <w:tcMar>
              <w:top w:type="dxa" w:w="55"/>
              <w:left w:type="dxa" w:w="85"/>
              <w:bottom w:type="dxa" w:w="55"/>
              <w:right w:type="dxa" w:w="85"/>
            </w:tcMar>
          </w:tcPr>
          <w:p>
            <w:pPr>
              <w:spacing w:after="0" w:line="245"/>
            </w:pPr>
            <w:r>
              <w:rPr>
                <w:b/>
                <w:bCs/>
                <w:color w:val="FFFFFF"/>
                <w:sz w:val="18"/>
                <w:szCs w:val="18"/>
              </w:rPr>
              <w:t xml:space="preserve">Coordenadas</w:t>
            </w:r>
          </w:p>
        </w:tc>
        <w:tc>
          <w:tcPr>
            <w:tcW w:type="dxa" w:w="700"/>
            <w:shd w:fill="0B1440" w:val="clear"/>
            <w:tcMar>
              <w:top w:type="dxa" w:w="55"/>
              <w:left w:type="dxa" w:w="85"/>
              <w:bottom w:type="dxa" w:w="55"/>
              <w:right w:type="dxa" w:w="85"/>
            </w:tcMar>
          </w:tcPr>
          <w:p>
            <w:pPr>
              <w:spacing w:after="0" w:line="245"/>
            </w:pPr>
            <w:r>
              <w:rPr>
                <w:b/>
                <w:bCs/>
                <w:color w:val="FFFFFF"/>
                <w:sz w:val="18"/>
                <w:szCs w:val="18"/>
              </w:rPr>
              <w:t xml:space="preserve">Radio</w:t>
            </w:r>
          </w:p>
        </w:tc>
        <w:tc>
          <w:tcPr>
            <w:tcW w:type="dxa" w:w="1000"/>
            <w:shd w:fill="0B1440" w:val="clear"/>
            <w:tcMar>
              <w:top w:type="dxa" w:w="55"/>
              <w:left w:type="dxa" w:w="85"/>
              <w:bottom w:type="dxa" w:w="55"/>
              <w:right w:type="dxa" w:w="85"/>
            </w:tcMar>
          </w:tcPr>
          <w:p>
            <w:pPr>
              <w:spacing w:after="0" w:line="245"/>
            </w:pPr>
            <w:r>
              <w:rPr>
                <w:b/>
                <w:bCs/>
                <w:color w:val="FFFFFF"/>
                <w:sz w:val="18"/>
                <w:szCs w:val="18"/>
              </w:rPr>
              <w:t xml:space="preserve">Dist. sede</w:t>
            </w:r>
          </w:p>
        </w:tc>
        <w:tc>
          <w:tcPr>
            <w:tcW w:type="dxa" w:w="2780"/>
            <w:shd w:fill="0B1440" w:val="clear"/>
            <w:tcMar>
              <w:top w:type="dxa" w:w="55"/>
              <w:left w:type="dxa" w:w="85"/>
              <w:bottom w:type="dxa" w:w="55"/>
              <w:right w:type="dxa" w:w="85"/>
            </w:tcMar>
          </w:tcPr>
          <w:p>
            <w:pPr>
              <w:spacing w:after="0" w:line="245"/>
            </w:pPr>
            <w:r>
              <w:rPr>
                <w:b/>
                <w:bCs/>
                <w:color w:val="FFFFFF"/>
                <w:sz w:val="18"/>
                <w:szCs w:val="18"/>
              </w:rPr>
              <w:t xml:space="preserve">Qué cubre</w:t>
            </w:r>
          </w:p>
        </w:tc>
      </w:tr>
      <w:tr>
        <w:tc>
          <w:tcPr>
            <w:tcW w:type="dxa" w:w="620"/>
            <w:tcMar>
              <w:top w:type="dxa" w:w="55"/>
              <w:left w:type="dxa" w:w="85"/>
              <w:bottom w:type="dxa" w:w="55"/>
              <w:right w:type="dxa" w:w="85"/>
            </w:tcMar>
          </w:tcPr>
          <w:p>
            <w:pPr>
              <w:spacing w:after="0" w:line="245"/>
            </w:pPr>
            <w:r>
              <w:rPr>
                <w:color w:val="444444"/>
                <w:sz w:val="18"/>
                <w:szCs w:val="18"/>
              </w:rPr>
              <w:t xml:space="preserve">A1</w:t>
            </w:r>
          </w:p>
        </w:tc>
        <w:tc>
          <w:tcPr>
            <w:tcW w:type="dxa" w:w="1950"/>
            <w:tcMar>
              <w:top w:type="dxa" w:w="55"/>
              <w:left w:type="dxa" w:w="85"/>
              <w:bottom w:type="dxa" w:w="55"/>
              <w:right w:type="dxa" w:w="85"/>
            </w:tcMar>
          </w:tcPr>
          <w:p>
            <w:pPr>
              <w:spacing w:after="0" w:line="245"/>
            </w:pPr>
            <w:r>
              <w:rPr>
                <w:color w:val="444444"/>
                <w:sz w:val="18"/>
                <w:szCs w:val="18"/>
              </w:rPr>
              <w:t xml:space="preserve">Sede del colegio / eje Galicia</w:t>
            </w:r>
          </w:p>
        </w:tc>
        <w:tc>
          <w:tcPr>
            <w:tcW w:type="dxa" w:w="1400"/>
            <w:tcMar>
              <w:top w:type="dxa" w:w="55"/>
              <w:left w:type="dxa" w:w="85"/>
              <w:bottom w:type="dxa" w:w="55"/>
              <w:right w:type="dxa" w:w="85"/>
            </w:tcMar>
          </w:tcPr>
          <w:p>
            <w:pPr>
              <w:spacing w:after="0" w:line="245"/>
            </w:pPr>
            <w:r>
              <w:rPr>
                <w:color w:val="444444"/>
                <w:sz w:val="18"/>
                <w:szCs w:val="18"/>
              </w:rPr>
              <w:t xml:space="preserve">4.82613, -75.79421</w:t>
            </w:r>
          </w:p>
        </w:tc>
        <w:tc>
          <w:tcPr>
            <w:tcW w:type="dxa" w:w="700"/>
            <w:tcMar>
              <w:top w:type="dxa" w:w="55"/>
              <w:left w:type="dxa" w:w="85"/>
              <w:bottom w:type="dxa" w:w="55"/>
              <w:right w:type="dxa" w:w="85"/>
            </w:tcMar>
          </w:tcPr>
          <w:p>
            <w:pPr>
              <w:spacing w:after="0" w:line="245"/>
            </w:pPr>
            <w:r>
              <w:rPr>
                <w:color w:val="444444"/>
                <w:sz w:val="18"/>
                <w:szCs w:val="18"/>
              </w:rPr>
              <w:t xml:space="preserve">3 km</w:t>
            </w:r>
          </w:p>
        </w:tc>
        <w:tc>
          <w:tcPr>
            <w:tcW w:type="dxa" w:w="1000"/>
            <w:tcMar>
              <w:top w:type="dxa" w:w="55"/>
              <w:left w:type="dxa" w:w="85"/>
              <w:bottom w:type="dxa" w:w="55"/>
              <w:right w:type="dxa" w:w="85"/>
            </w:tcMar>
          </w:tcPr>
          <w:p>
            <w:pPr>
              <w:spacing w:after="0" w:line="245"/>
            </w:pPr>
            <w:r>
              <w:rPr>
                <w:color w:val="444444"/>
                <w:sz w:val="18"/>
                <w:szCs w:val="18"/>
              </w:rPr>
              <w:t xml:space="preserve">0 km</w:t>
            </w:r>
          </w:p>
        </w:tc>
        <w:tc>
          <w:tcPr>
            <w:tcW w:type="dxa" w:w="2780"/>
            <w:tcMar>
              <w:top w:type="dxa" w:w="55"/>
              <w:left w:type="dxa" w:w="85"/>
              <w:bottom w:type="dxa" w:w="55"/>
              <w:right w:type="dxa" w:w="85"/>
            </w:tcMar>
          </w:tcPr>
          <w:p>
            <w:pPr>
              <w:spacing w:after="0" w:line="245"/>
            </w:pPr>
            <w:r>
              <w:rPr>
                <w:color w:val="444444"/>
                <w:sz w:val="18"/>
                <w:szCs w:val="18"/>
              </w:rPr>
              <w:t xml:space="preserve">Núcleo. Cerritos Mall, Senderos de Cerritos, Montevedra, Ciudadela Asturias, Cerritos Campestre, Cerritos Reservado, Malabar y Vereda Galicia.</w:t>
            </w:r>
          </w:p>
        </w:tc>
      </w:tr>
      <w:tr>
        <w:tc>
          <w:tcPr>
            <w:tcW w:type="dxa" w:w="620"/>
            <w:shd w:fill="EEEBFA" w:val="clear"/>
            <w:tcMar>
              <w:top w:type="dxa" w:w="55"/>
              <w:left w:type="dxa" w:w="85"/>
              <w:bottom w:type="dxa" w:w="55"/>
              <w:right w:type="dxa" w:w="85"/>
            </w:tcMar>
          </w:tcPr>
          <w:p>
            <w:pPr>
              <w:spacing w:after="0" w:line="245"/>
            </w:pPr>
            <w:r>
              <w:rPr>
                <w:color w:val="444444"/>
                <w:sz w:val="18"/>
                <w:szCs w:val="18"/>
              </w:rPr>
              <w:t xml:space="preserve">A2</w:t>
            </w:r>
          </w:p>
        </w:tc>
        <w:tc>
          <w:tcPr>
            <w:tcW w:type="dxa" w:w="1950"/>
            <w:shd w:fill="EEEBFA" w:val="clear"/>
            <w:tcMar>
              <w:top w:type="dxa" w:w="55"/>
              <w:left w:type="dxa" w:w="85"/>
              <w:bottom w:type="dxa" w:w="55"/>
              <w:right w:type="dxa" w:w="85"/>
            </w:tcMar>
          </w:tcPr>
          <w:p>
            <w:pPr>
              <w:spacing w:after="0" w:line="245"/>
            </w:pPr>
            <w:r>
              <w:rPr>
                <w:color w:val="444444"/>
                <w:sz w:val="18"/>
                <w:szCs w:val="18"/>
              </w:rPr>
              <w:t xml:space="preserve">Cerritos del Mar / entrada 7</w:t>
            </w:r>
          </w:p>
        </w:tc>
        <w:tc>
          <w:tcPr>
            <w:tcW w:type="dxa" w:w="1400"/>
            <w:shd w:fill="EEEBFA" w:val="clear"/>
            <w:tcMar>
              <w:top w:type="dxa" w:w="55"/>
              <w:left w:type="dxa" w:w="85"/>
              <w:bottom w:type="dxa" w:w="55"/>
              <w:right w:type="dxa" w:w="85"/>
            </w:tcMar>
          </w:tcPr>
          <w:p>
            <w:pPr>
              <w:spacing w:after="0" w:line="245"/>
            </w:pPr>
            <w:r>
              <w:rPr>
                <w:color w:val="444444"/>
                <w:sz w:val="18"/>
                <w:szCs w:val="18"/>
              </w:rPr>
              <w:t xml:space="preserve">4.80692, -75.81774</w:t>
            </w:r>
          </w:p>
        </w:tc>
        <w:tc>
          <w:tcPr>
            <w:tcW w:type="dxa" w:w="700"/>
            <w:shd w:fill="EEEBFA" w:val="clear"/>
            <w:tcMar>
              <w:top w:type="dxa" w:w="55"/>
              <w:left w:type="dxa" w:w="85"/>
              <w:bottom w:type="dxa" w:w="55"/>
              <w:right w:type="dxa" w:w="85"/>
            </w:tcMar>
          </w:tcPr>
          <w:p>
            <w:pPr>
              <w:spacing w:after="0" w:line="245"/>
            </w:pPr>
            <w:r>
              <w:rPr>
                <w:color w:val="444444"/>
                <w:sz w:val="18"/>
                <w:szCs w:val="18"/>
              </w:rPr>
              <w:t xml:space="preserve">2 km</w:t>
            </w:r>
          </w:p>
        </w:tc>
        <w:tc>
          <w:tcPr>
            <w:tcW w:type="dxa" w:w="1000"/>
            <w:shd w:fill="EEEBFA" w:val="clear"/>
            <w:tcMar>
              <w:top w:type="dxa" w:w="55"/>
              <w:left w:type="dxa" w:w="85"/>
              <w:bottom w:type="dxa" w:w="55"/>
              <w:right w:type="dxa" w:w="85"/>
            </w:tcMar>
          </w:tcPr>
          <w:p>
            <w:pPr>
              <w:spacing w:after="0" w:line="245"/>
            </w:pPr>
            <w:r>
              <w:rPr>
                <w:color w:val="444444"/>
                <w:sz w:val="18"/>
                <w:szCs w:val="18"/>
              </w:rPr>
              <w:t xml:space="preserve">3.4 km</w:t>
            </w:r>
          </w:p>
        </w:tc>
        <w:tc>
          <w:tcPr>
            <w:tcW w:type="dxa" w:w="2780"/>
            <w:shd w:fill="EEEBFA" w:val="clear"/>
            <w:tcMar>
              <w:top w:type="dxa" w:w="55"/>
              <w:left w:type="dxa" w:w="85"/>
              <w:bottom w:type="dxa" w:w="55"/>
              <w:right w:type="dxa" w:w="85"/>
            </w:tcMar>
          </w:tcPr>
          <w:p>
            <w:pPr>
              <w:spacing w:after="0" w:line="245"/>
            </w:pPr>
            <w:r>
              <w:rPr>
                <w:color w:val="444444"/>
                <w:sz w:val="18"/>
                <w:szCs w:val="18"/>
              </w:rPr>
              <w:t xml:space="preserve">Extensión occidental del corredor; clúster campestre más alejado de la ciudad.</w:t>
            </w:r>
          </w:p>
        </w:tc>
      </w:tr>
      <w:tr>
        <w:tc>
          <w:tcPr>
            <w:tcW w:type="dxa" w:w="620"/>
            <w:tcMar>
              <w:top w:type="dxa" w:w="55"/>
              <w:left w:type="dxa" w:w="85"/>
              <w:bottom w:type="dxa" w:w="55"/>
              <w:right w:type="dxa" w:w="85"/>
            </w:tcMar>
          </w:tcPr>
          <w:p>
            <w:pPr>
              <w:spacing w:after="0" w:line="245"/>
            </w:pPr>
            <w:r>
              <w:rPr>
                <w:color w:val="444444"/>
                <w:sz w:val="18"/>
                <w:szCs w:val="18"/>
              </w:rPr>
              <w:t xml:space="preserve">A3</w:t>
            </w:r>
          </w:p>
        </w:tc>
        <w:tc>
          <w:tcPr>
            <w:tcW w:type="dxa" w:w="1950"/>
            <w:tcMar>
              <w:top w:type="dxa" w:w="55"/>
              <w:left w:type="dxa" w:w="85"/>
              <w:bottom w:type="dxa" w:w="55"/>
              <w:right w:type="dxa" w:w="85"/>
            </w:tcMar>
          </w:tcPr>
          <w:p>
            <w:pPr>
              <w:spacing w:after="0" w:line="245"/>
            </w:pPr>
            <w:r>
              <w:rPr>
                <w:color w:val="444444"/>
                <w:sz w:val="18"/>
                <w:szCs w:val="18"/>
              </w:rPr>
              <w:t xml:space="preserve">Cerritos Portal / km 5</w:t>
            </w:r>
          </w:p>
        </w:tc>
        <w:tc>
          <w:tcPr>
            <w:tcW w:type="dxa" w:w="1400"/>
            <w:tcMar>
              <w:top w:type="dxa" w:w="55"/>
              <w:left w:type="dxa" w:w="85"/>
              <w:bottom w:type="dxa" w:w="55"/>
              <w:right w:type="dxa" w:w="85"/>
            </w:tcMar>
          </w:tcPr>
          <w:p>
            <w:pPr>
              <w:spacing w:after="0" w:line="245"/>
            </w:pPr>
            <w:r>
              <w:rPr>
                <w:color w:val="444444"/>
                <w:sz w:val="18"/>
                <w:szCs w:val="18"/>
              </w:rPr>
              <w:t xml:space="preserve">4.81250, -75.77322</w:t>
            </w:r>
          </w:p>
        </w:tc>
        <w:tc>
          <w:tcPr>
            <w:tcW w:type="dxa" w:w="700"/>
            <w:tcMar>
              <w:top w:type="dxa" w:w="55"/>
              <w:left w:type="dxa" w:w="85"/>
              <w:bottom w:type="dxa" w:w="55"/>
              <w:right w:type="dxa" w:w="85"/>
            </w:tcMar>
          </w:tcPr>
          <w:p>
            <w:pPr>
              <w:spacing w:after="0" w:line="245"/>
            </w:pPr>
            <w:r>
              <w:rPr>
                <w:color w:val="444444"/>
                <w:sz w:val="18"/>
                <w:szCs w:val="18"/>
              </w:rPr>
              <w:t xml:space="preserve">2 km</w:t>
            </w:r>
          </w:p>
        </w:tc>
        <w:tc>
          <w:tcPr>
            <w:tcW w:type="dxa" w:w="1000"/>
            <w:tcMar>
              <w:top w:type="dxa" w:w="55"/>
              <w:left w:type="dxa" w:w="85"/>
              <w:bottom w:type="dxa" w:w="55"/>
              <w:right w:type="dxa" w:w="85"/>
            </w:tcMar>
          </w:tcPr>
          <w:p>
            <w:pPr>
              <w:spacing w:after="0" w:line="245"/>
            </w:pPr>
            <w:r>
              <w:rPr>
                <w:color w:val="444444"/>
                <w:sz w:val="18"/>
                <w:szCs w:val="18"/>
              </w:rPr>
              <w:t xml:space="preserve">2.8 km</w:t>
            </w:r>
          </w:p>
        </w:tc>
        <w:tc>
          <w:tcPr>
            <w:tcW w:type="dxa" w:w="2780"/>
            <w:tcMar>
              <w:top w:type="dxa" w:w="55"/>
              <w:left w:type="dxa" w:w="85"/>
              <w:bottom w:type="dxa" w:w="55"/>
              <w:right w:type="dxa" w:w="85"/>
            </w:tcMar>
          </w:tcPr>
          <w:p>
            <w:pPr>
              <w:spacing w:after="0" w:line="245"/>
            </w:pPr>
            <w:r>
              <w:rPr>
                <w:color w:val="444444"/>
                <w:sz w:val="18"/>
                <w:szCs w:val="18"/>
              </w:rPr>
              <w:t xml:space="preserve">Extensión oriental hacia la ciudad. Incorpora Belmonte Bajo (2.6 km), más cercano que cualquier barrio del oriente.</w:t>
            </w:r>
          </w:p>
        </w:tc>
      </w:tr>
      <w:tr>
        <w:tc>
          <w:tcPr>
            <w:tcW w:type="dxa" w:w="620"/>
            <w:shd w:fill="EEEBFA" w:val="clear"/>
            <w:tcMar>
              <w:top w:type="dxa" w:w="55"/>
              <w:left w:type="dxa" w:w="85"/>
              <w:bottom w:type="dxa" w:w="55"/>
              <w:right w:type="dxa" w:w="85"/>
            </w:tcMar>
          </w:tcPr>
          <w:p>
            <w:pPr>
              <w:spacing w:after="0" w:line="245"/>
            </w:pPr>
            <w:r>
              <w:rPr>
                <w:color w:val="444444"/>
                <w:sz w:val="18"/>
                <w:szCs w:val="18"/>
              </w:rPr>
              <w:t xml:space="preserve">B1</w:t>
            </w:r>
          </w:p>
        </w:tc>
        <w:tc>
          <w:tcPr>
            <w:tcW w:type="dxa" w:w="1950"/>
            <w:shd w:fill="EEEBFA" w:val="clear"/>
            <w:tcMar>
              <w:top w:type="dxa" w:w="55"/>
              <w:left w:type="dxa" w:w="85"/>
              <w:bottom w:type="dxa" w:w="55"/>
              <w:right w:type="dxa" w:w="85"/>
            </w:tcMar>
          </w:tcPr>
          <w:p>
            <w:pPr>
              <w:spacing w:after="0" w:line="245"/>
            </w:pPr>
            <w:r>
              <w:rPr>
                <w:color w:val="444444"/>
                <w:sz w:val="18"/>
                <w:szCs w:val="18"/>
              </w:rPr>
              <w:t xml:space="preserve">Pinares</w:t>
            </w:r>
          </w:p>
        </w:tc>
        <w:tc>
          <w:tcPr>
            <w:tcW w:type="dxa" w:w="1400"/>
            <w:shd w:fill="EEEBFA" w:val="clear"/>
            <w:tcMar>
              <w:top w:type="dxa" w:w="55"/>
              <w:left w:type="dxa" w:w="85"/>
              <w:bottom w:type="dxa" w:w="55"/>
              <w:right w:type="dxa" w:w="85"/>
            </w:tcMar>
          </w:tcPr>
          <w:p>
            <w:pPr>
              <w:spacing w:after="0" w:line="245"/>
            </w:pPr>
            <w:r>
              <w:rPr>
                <w:color w:val="444444"/>
                <w:sz w:val="18"/>
                <w:szCs w:val="18"/>
              </w:rPr>
              <w:t xml:space="preserve">4.80463, -75.68553</w:t>
            </w:r>
          </w:p>
        </w:tc>
        <w:tc>
          <w:tcPr>
            <w:tcW w:type="dxa" w:w="700"/>
            <w:shd w:fill="EEEBFA" w:val="clear"/>
            <w:tcMar>
              <w:top w:type="dxa" w:w="55"/>
              <w:left w:type="dxa" w:w="85"/>
              <w:bottom w:type="dxa" w:w="55"/>
              <w:right w:type="dxa" w:w="85"/>
            </w:tcMar>
          </w:tcPr>
          <w:p>
            <w:pPr>
              <w:spacing w:after="0" w:line="245"/>
            </w:pPr>
            <w:r>
              <w:rPr>
                <w:color w:val="444444"/>
                <w:sz w:val="18"/>
                <w:szCs w:val="18"/>
              </w:rPr>
              <w:t xml:space="preserve">1 km</w:t>
            </w:r>
          </w:p>
        </w:tc>
        <w:tc>
          <w:tcPr>
            <w:tcW w:type="dxa" w:w="1000"/>
            <w:shd w:fill="EEEBFA" w:val="clear"/>
            <w:tcMar>
              <w:top w:type="dxa" w:w="55"/>
              <w:left w:type="dxa" w:w="85"/>
              <w:bottom w:type="dxa" w:w="55"/>
              <w:right w:type="dxa" w:w="85"/>
            </w:tcMar>
          </w:tcPr>
          <w:p>
            <w:pPr>
              <w:spacing w:after="0" w:line="245"/>
            </w:pPr>
            <w:r>
              <w:rPr>
                <w:color w:val="444444"/>
                <w:sz w:val="18"/>
                <w:szCs w:val="18"/>
              </w:rPr>
              <w:t xml:space="preserve">12.3 km</w:t>
            </w:r>
          </w:p>
        </w:tc>
        <w:tc>
          <w:tcPr>
            <w:tcW w:type="dxa" w:w="2780"/>
            <w:shd w:fill="EEEBFA" w:val="clear"/>
            <w:tcMar>
              <w:top w:type="dxa" w:w="55"/>
              <w:left w:type="dxa" w:w="85"/>
              <w:bottom w:type="dxa" w:w="55"/>
              <w:right w:type="dxa" w:w="85"/>
            </w:tcMar>
          </w:tcPr>
          <w:p>
            <w:pPr>
              <w:spacing w:after="0" w:line="245"/>
            </w:pPr>
            <w:r>
              <w:rPr>
                <w:color w:val="444444"/>
                <w:sz w:val="18"/>
                <w:szCs w:val="18"/>
              </w:rPr>
              <w:t xml:space="preserve">Pinares y Los Alpes (a ~300 m entre sí). Radio reducido al mínimo que permite Meta.</w:t>
            </w:r>
          </w:p>
        </w:tc>
      </w:tr>
      <w:tr>
        <w:tc>
          <w:tcPr>
            <w:tcW w:type="dxa" w:w="620"/>
            <w:tcMar>
              <w:top w:type="dxa" w:w="55"/>
              <w:left w:type="dxa" w:w="85"/>
              <w:bottom w:type="dxa" w:w="55"/>
              <w:right w:type="dxa" w:w="85"/>
            </w:tcMar>
          </w:tcPr>
          <w:p>
            <w:pPr>
              <w:spacing w:after="0" w:line="245"/>
            </w:pPr>
            <w:r>
              <w:rPr>
                <w:color w:val="444444"/>
                <w:sz w:val="18"/>
                <w:szCs w:val="18"/>
              </w:rPr>
              <w:t xml:space="preserve">B2</w:t>
            </w:r>
          </w:p>
        </w:tc>
        <w:tc>
          <w:tcPr>
            <w:tcW w:type="dxa" w:w="1950"/>
            <w:tcMar>
              <w:top w:type="dxa" w:w="55"/>
              <w:left w:type="dxa" w:w="85"/>
              <w:bottom w:type="dxa" w:w="55"/>
              <w:right w:type="dxa" w:w="85"/>
            </w:tcMar>
          </w:tcPr>
          <w:p>
            <w:pPr>
              <w:spacing w:after="0" w:line="245"/>
            </w:pPr>
            <w:r>
              <w:rPr>
                <w:color w:val="444444"/>
                <w:sz w:val="18"/>
                <w:szCs w:val="18"/>
              </w:rPr>
              <w:t xml:space="preserve">Álamos / Ciudad Jardín</w:t>
            </w:r>
          </w:p>
        </w:tc>
        <w:tc>
          <w:tcPr>
            <w:tcW w:type="dxa" w:w="1400"/>
            <w:tcMar>
              <w:top w:type="dxa" w:w="55"/>
              <w:left w:type="dxa" w:w="85"/>
              <w:bottom w:type="dxa" w:w="55"/>
              <w:right w:type="dxa" w:w="85"/>
            </w:tcMar>
          </w:tcPr>
          <w:p>
            <w:pPr>
              <w:spacing w:after="0" w:line="245"/>
            </w:pPr>
            <w:r>
              <w:rPr>
                <w:color w:val="444444"/>
                <w:sz w:val="18"/>
                <w:szCs w:val="18"/>
              </w:rPr>
              <w:t xml:space="preserve">4.79640, -75.69227</w:t>
            </w:r>
          </w:p>
        </w:tc>
        <w:tc>
          <w:tcPr>
            <w:tcW w:type="dxa" w:w="700"/>
            <w:tcMar>
              <w:top w:type="dxa" w:w="55"/>
              <w:left w:type="dxa" w:w="85"/>
              <w:bottom w:type="dxa" w:w="55"/>
              <w:right w:type="dxa" w:w="85"/>
            </w:tcMar>
          </w:tcPr>
          <w:p>
            <w:pPr>
              <w:spacing w:after="0" w:line="245"/>
            </w:pPr>
            <w:r>
              <w:rPr>
                <w:color w:val="444444"/>
                <w:sz w:val="18"/>
                <w:szCs w:val="18"/>
              </w:rPr>
              <w:t xml:space="preserve">1 km</w:t>
            </w:r>
          </w:p>
        </w:tc>
        <w:tc>
          <w:tcPr>
            <w:tcW w:type="dxa" w:w="1000"/>
            <w:tcMar>
              <w:top w:type="dxa" w:w="55"/>
              <w:left w:type="dxa" w:w="85"/>
              <w:bottom w:type="dxa" w:w="55"/>
              <w:right w:type="dxa" w:w="85"/>
            </w:tcMar>
          </w:tcPr>
          <w:p>
            <w:pPr>
              <w:spacing w:after="0" w:line="245"/>
            </w:pPr>
            <w:r>
              <w:rPr>
                <w:color w:val="444444"/>
                <w:sz w:val="18"/>
                <w:szCs w:val="18"/>
              </w:rPr>
              <w:t xml:space="preserve">11.6 km</w:t>
            </w:r>
          </w:p>
        </w:tc>
        <w:tc>
          <w:tcPr>
            <w:tcW w:type="dxa" w:w="2780"/>
            <w:tcMar>
              <w:top w:type="dxa" w:w="55"/>
              <w:left w:type="dxa" w:w="85"/>
              <w:bottom w:type="dxa" w:w="55"/>
              <w:right w:type="dxa" w:w="85"/>
            </w:tcMar>
          </w:tcPr>
          <w:p>
            <w:pPr>
              <w:spacing w:after="0" w:line="245"/>
            </w:pPr>
            <w:r>
              <w:rPr>
                <w:color w:val="444444"/>
                <w:sz w:val="18"/>
                <w:szCs w:val="18"/>
              </w:rPr>
              <w:t xml:space="preserve">Álamos y Ciudad Jardín en un solo pin (separados por ~400 m). Radio reducido al mínimo.</w:t>
            </w:r>
          </w:p>
        </w:tc>
      </w:tr>
      <w:tr>
        <w:tc>
          <w:tcPr>
            <w:tcW w:type="dxa" w:w="620"/>
            <w:shd w:fill="EEEBFA" w:val="clear"/>
            <w:tcMar>
              <w:top w:type="dxa" w:w="55"/>
              <w:left w:type="dxa" w:w="85"/>
              <w:bottom w:type="dxa" w:w="55"/>
              <w:right w:type="dxa" w:w="85"/>
            </w:tcMar>
          </w:tcPr>
          <w:p>
            <w:pPr>
              <w:spacing w:after="0" w:line="245"/>
            </w:pPr>
            <w:r>
              <w:rPr>
                <w:color w:val="444444"/>
                <w:sz w:val="18"/>
                <w:szCs w:val="18"/>
              </w:rPr>
              <w:t xml:space="preserve">C1</w:t>
            </w:r>
          </w:p>
        </w:tc>
        <w:tc>
          <w:tcPr>
            <w:tcW w:type="dxa" w:w="1950"/>
            <w:shd w:fill="EEEBFA" w:val="clear"/>
            <w:tcMar>
              <w:top w:type="dxa" w:w="55"/>
              <w:left w:type="dxa" w:w="85"/>
              <w:bottom w:type="dxa" w:w="55"/>
              <w:right w:type="dxa" w:w="85"/>
            </w:tcMar>
          </w:tcPr>
          <w:p>
            <w:pPr>
              <w:spacing w:after="0" w:line="245"/>
            </w:pPr>
            <w:r>
              <w:rPr>
                <w:color w:val="444444"/>
                <w:sz w:val="18"/>
                <w:szCs w:val="18"/>
              </w:rPr>
              <w:t xml:space="preserve">Belmonte – Villa Olímpica</w:t>
            </w:r>
          </w:p>
        </w:tc>
        <w:tc>
          <w:tcPr>
            <w:tcW w:type="dxa" w:w="1400"/>
            <w:shd w:fill="EEEBFA" w:val="clear"/>
            <w:tcMar>
              <w:top w:type="dxa" w:w="55"/>
              <w:left w:type="dxa" w:w="85"/>
              <w:bottom w:type="dxa" w:w="55"/>
              <w:right w:type="dxa" w:w="85"/>
            </w:tcMar>
          </w:tcPr>
          <w:p>
            <w:pPr>
              <w:spacing w:after="0" w:line="245"/>
            </w:pPr>
            <w:r>
              <w:rPr>
                <w:color w:val="444444"/>
                <w:sz w:val="18"/>
                <w:szCs w:val="18"/>
              </w:rPr>
              <w:t xml:space="preserve">4.80800, -75.75550</w:t>
            </w:r>
          </w:p>
        </w:tc>
        <w:tc>
          <w:tcPr>
            <w:tcW w:type="dxa" w:w="700"/>
            <w:shd w:fill="EEEBFA" w:val="clear"/>
            <w:tcMar>
              <w:top w:type="dxa" w:w="55"/>
              <w:left w:type="dxa" w:w="85"/>
              <w:bottom w:type="dxa" w:w="55"/>
              <w:right w:type="dxa" w:w="85"/>
            </w:tcMar>
          </w:tcPr>
          <w:p>
            <w:pPr>
              <w:spacing w:after="0" w:line="245"/>
            </w:pPr>
            <w:r>
              <w:rPr>
                <w:color w:val="444444"/>
                <w:sz w:val="18"/>
                <w:szCs w:val="18"/>
              </w:rPr>
              <w:t xml:space="preserve">2 km</w:t>
            </w:r>
          </w:p>
        </w:tc>
        <w:tc>
          <w:tcPr>
            <w:tcW w:type="dxa" w:w="1000"/>
            <w:shd w:fill="EEEBFA" w:val="clear"/>
            <w:tcMar>
              <w:top w:type="dxa" w:w="55"/>
              <w:left w:type="dxa" w:w="85"/>
              <w:bottom w:type="dxa" w:w="55"/>
              <w:right w:type="dxa" w:w="85"/>
            </w:tcMar>
          </w:tcPr>
          <w:p>
            <w:pPr>
              <w:spacing w:after="0" w:line="245"/>
            </w:pPr>
            <w:r>
              <w:rPr>
                <w:color w:val="444444"/>
                <w:sz w:val="18"/>
                <w:szCs w:val="18"/>
              </w:rPr>
              <w:t xml:space="preserve">4.5 km</w:t>
            </w:r>
          </w:p>
        </w:tc>
        <w:tc>
          <w:tcPr>
            <w:tcW w:type="dxa" w:w="2780"/>
            <w:shd w:fill="EEEBFA" w:val="clear"/>
            <w:tcMar>
              <w:top w:type="dxa" w:w="55"/>
              <w:left w:type="dxa" w:w="85"/>
              <w:bottom w:type="dxa" w:w="55"/>
              <w:right w:type="dxa" w:w="85"/>
            </w:tcMar>
          </w:tcPr>
          <w:p>
            <w:pPr>
              <w:spacing w:after="0" w:line="245"/>
            </w:pPr>
            <w:r>
              <w:rPr>
                <w:color w:val="444444"/>
                <w:sz w:val="18"/>
                <w:szCs w:val="18"/>
              </w:rPr>
              <w:t xml:space="preserve">Parque Belmonte, Expofuturo y La Villa. Enlaza con el pin A3.</w:t>
            </w:r>
          </w:p>
        </w:tc>
      </w:tr>
      <w:tr>
        <w:tc>
          <w:tcPr>
            <w:tcW w:type="dxa" w:w="620"/>
            <w:tcMar>
              <w:top w:type="dxa" w:w="55"/>
              <w:left w:type="dxa" w:w="85"/>
              <w:bottom w:type="dxa" w:w="55"/>
              <w:right w:type="dxa" w:w="85"/>
            </w:tcMar>
          </w:tcPr>
          <w:p>
            <w:pPr>
              <w:spacing w:after="0" w:line="245"/>
            </w:pPr>
            <w:r>
              <w:rPr>
                <w:color w:val="444444"/>
                <w:sz w:val="18"/>
                <w:szCs w:val="18"/>
              </w:rPr>
              <w:t xml:space="preserve">C2</w:t>
            </w:r>
          </w:p>
        </w:tc>
        <w:tc>
          <w:tcPr>
            <w:tcW w:type="dxa" w:w="1950"/>
            <w:tcMar>
              <w:top w:type="dxa" w:w="55"/>
              <w:left w:type="dxa" w:w="85"/>
              <w:bottom w:type="dxa" w:w="55"/>
              <w:right w:type="dxa" w:w="85"/>
            </w:tcMar>
          </w:tcPr>
          <w:p>
            <w:pPr>
              <w:spacing w:after="0" w:line="245"/>
            </w:pPr>
            <w:r>
              <w:rPr>
                <w:color w:val="444444"/>
                <w:sz w:val="18"/>
                <w:szCs w:val="18"/>
              </w:rPr>
              <w:t xml:space="preserve">Glorieta Corales</w:t>
            </w:r>
          </w:p>
        </w:tc>
        <w:tc>
          <w:tcPr>
            <w:tcW w:type="dxa" w:w="1400"/>
            <w:tcMar>
              <w:top w:type="dxa" w:w="55"/>
              <w:left w:type="dxa" w:w="85"/>
              <w:bottom w:type="dxa" w:w="55"/>
              <w:right w:type="dxa" w:w="85"/>
            </w:tcMar>
          </w:tcPr>
          <w:p>
            <w:pPr>
              <w:spacing w:after="0" w:line="245"/>
            </w:pPr>
            <w:r>
              <w:rPr>
                <w:color w:val="444444"/>
                <w:sz w:val="18"/>
                <w:szCs w:val="18"/>
              </w:rPr>
              <w:t xml:space="preserve">4.79980, -75.74289</w:t>
            </w:r>
          </w:p>
        </w:tc>
        <w:tc>
          <w:tcPr>
            <w:tcW w:type="dxa" w:w="700"/>
            <w:tcMar>
              <w:top w:type="dxa" w:w="55"/>
              <w:left w:type="dxa" w:w="85"/>
              <w:bottom w:type="dxa" w:w="55"/>
              <w:right w:type="dxa" w:w="85"/>
            </w:tcMar>
          </w:tcPr>
          <w:p>
            <w:pPr>
              <w:spacing w:after="0" w:line="245"/>
            </w:pPr>
            <w:r>
              <w:rPr>
                <w:color w:val="444444"/>
                <w:sz w:val="18"/>
                <w:szCs w:val="18"/>
              </w:rPr>
              <w:t xml:space="preserve">2 km</w:t>
            </w:r>
          </w:p>
        </w:tc>
        <w:tc>
          <w:tcPr>
            <w:tcW w:type="dxa" w:w="1000"/>
            <w:tcMar>
              <w:top w:type="dxa" w:w="55"/>
              <w:left w:type="dxa" w:w="85"/>
              <w:bottom w:type="dxa" w:w="55"/>
              <w:right w:type="dxa" w:w="85"/>
            </w:tcMar>
          </w:tcPr>
          <w:p>
            <w:pPr>
              <w:spacing w:after="0" w:line="245"/>
            </w:pPr>
            <w:r>
              <w:rPr>
                <w:color w:val="444444"/>
                <w:sz w:val="18"/>
                <w:szCs w:val="18"/>
              </w:rPr>
              <w:t xml:space="preserve">6.4 km</w:t>
            </w:r>
          </w:p>
        </w:tc>
        <w:tc>
          <w:tcPr>
            <w:tcW w:type="dxa" w:w="2780"/>
            <w:tcMar>
              <w:top w:type="dxa" w:w="55"/>
              <w:left w:type="dxa" w:w="85"/>
              <w:bottom w:type="dxa" w:w="55"/>
              <w:right w:type="dxa" w:w="85"/>
            </w:tcMar>
          </w:tcPr>
          <w:p>
            <w:pPr>
              <w:spacing w:after="0" w:line="245"/>
            </w:pPr>
            <w:r>
              <w:rPr>
                <w:color w:val="444444"/>
                <w:sz w:val="18"/>
                <w:szCs w:val="18"/>
              </w:rPr>
              <w:t xml:space="preserve">Corales y su entorno residencial. Punto medio natural del corredor.</w:t>
            </w:r>
          </w:p>
        </w:tc>
      </w:tr>
    </w:tbl>
    <w:p>
      <w:pPr>
        <w:spacing w:after="120" w:line="276"/>
      </w:pPr>
      <w:r>
        <w:rPr>
          <w:b/>
          <w:bCs/>
          <w:color w:val="444444"/>
          <w:sz w:val="21"/>
          <w:szCs w:val="21"/>
        </w:rPr>
        <w:t xml:space="preserve">Cambios frente a la v2: </w:t>
      </w:r>
      <w:r>
        <w:rPr>
          <w:color w:val="444444"/>
          <w:sz w:val="21"/>
          <w:szCs w:val="21"/>
        </w:rPr>
        <w:t xml:space="preserve">B1 y B2 bajan de 1.5 km a 1 km (mínimo permitido por Meta); C1 baja de 2.5 km a 2 km; y </w:t>
      </w:r>
      <w:r>
        <w:rPr>
          <w:b/>
          <w:bCs/>
          <w:color w:val="444444"/>
          <w:sz w:val="21"/>
          <w:szCs w:val="21"/>
        </w:rPr>
        <w:t xml:space="preserve">se retira el pin C3 – Maraya</w:t>
      </w:r>
      <w:r>
        <w:rPr>
          <w:color w:val="444444"/>
          <w:sz w:val="21"/>
          <w:szCs w:val="21"/>
        </w:rPr>
        <w:t xml:space="preserve"> por ser el más lejano (8.7 km) y el más débil en perfil: su aporte no compensa el ruido que introduce en un conjunto único.</w:t>
      </w:r>
    </w:p>
    <w:p>
      <w:pPr>
        <w:spacing w:after="120" w:line="276"/>
      </w:pPr>
      <w:r>
        <w:rPr>
          <w:b/>
          <w:bCs/>
          <w:color w:val="444444"/>
          <w:sz w:val="21"/>
          <w:szCs w:val="21"/>
        </w:rPr>
        <w:t xml:space="preserve">Calibración obligatoria antes de publicar: </w:t>
      </w:r>
      <w:r>
        <w:rPr>
          <w:color w:val="444444"/>
          <w:sz w:val="21"/>
          <w:szCs w:val="21"/>
        </w:rPr>
        <w:t xml:space="preserve">revisar en Meta el tamaño estimado de audiencia pin por pin y ajustar los radios hasta que la proporción se acerque a </w:t>
      </w:r>
      <w:r>
        <w:rPr>
          <w:b/>
          <w:bCs/>
          <w:color w:val="444444"/>
          <w:sz w:val="21"/>
          <w:szCs w:val="21"/>
        </w:rPr>
        <w:t xml:space="preserve">~60 % núcleo (A1-A3) / ~40 % resto</w:t>
      </w:r>
      <w:r>
        <w:rPr>
          <w:color w:val="444444"/>
          <w:sz w:val="21"/>
          <w:szCs w:val="21"/>
        </w:rPr>
        <w:t xml:space="preserve">. Ese es el momento de fijar el peso real de cada zona.</w:t>
      </w:r>
    </w:p>
    <w:p>
      <w:pPr>
        <w:spacing w:after="120" w:line="276"/>
      </w:pPr>
      <w:r>
        <w:rPr>
          <w:color w:val="444444"/>
          <w:sz w:val="21"/>
          <w:szCs w:val="21"/>
        </w:rPr>
        <w:t xml:space="preserve">Configuración: «Personas que viven en este lugar» en todos los pines. Exclusiones: zonas rurales dispersas fuera del corredor y núcleo de La Virginia.</w:t>
      </w:r>
    </w:p>
    <w:p>
      <w:pPr>
        <w:pStyle w:val="Heading1"/>
        <w:spacing w:after="120" w:before="320"/>
      </w:pPr>
      <w:r>
        <w:rPr>
          <w:b/>
          <w:bCs/>
          <w:color w:val="0B1440"/>
          <w:sz w:val="30"/>
          <w:szCs w:val="30"/>
        </w:rPr>
        <w:t xml:space="preserve">5. Audiencia y compensaciones de precisión</w:t>
      </w:r>
    </w:p>
    <w:p>
      <w:pPr>
        <w:pStyle w:val="Heading2"/>
        <w:spacing w:after="90" w:before="240"/>
      </w:pPr>
      <w:r>
        <w:rPr>
          <w:b/>
          <w:bCs/>
          <w:color w:val="5B3FD1"/>
          <w:sz w:val="25"/>
          <w:szCs w:val="25"/>
        </w:rPr>
        <w:t xml:space="preserve">Audiencia A — Prioritaria: Primera infancia + primaria</w:t>
      </w:r>
    </w:p>
    <w:p>
      <w:pPr>
        <w:pStyle w:val="ListParagraph"/>
        <w:numPr>
          <w:ilvl w:val="0"/>
          <w:numId w:val="1"/>
        </w:numPr>
        <w:spacing w:after="70" w:line="268"/>
      </w:pPr>
      <w:r>
        <w:rPr>
          <w:b/>
          <w:bCs/>
          <w:color w:val="0B1440"/>
          <w:sz w:val="21"/>
          <w:szCs w:val="21"/>
        </w:rPr>
        <w:t xml:space="preserve">Definición:</w:t>
      </w:r>
      <w:r>
        <w:rPr>
          <w:color w:val="444444"/>
          <w:sz w:val="21"/>
          <w:szCs w:val="21"/>
        </w:rPr>
        <w:t xml:space="preserve"> Variable Padres → hijos en edad preescolar (03-05) y escolar temprana (06-08). Edad de los padres 28-45, con test de skew a mujeres 30-42 como decisora principal.</w:t>
      </w:r>
    </w:p>
    <w:p>
      <w:pPr>
        <w:spacing w:after="120" w:line="276"/>
      </w:pPr>
      <w:r>
        <w:rPr>
          <w:b/>
          <w:bCs/>
          <w:color w:val="444444"/>
          <w:sz w:val="21"/>
          <w:szCs w:val="21"/>
        </w:rPr>
        <w:t xml:space="preserve">Justificación: </w:t>
      </w:r>
      <w:r>
        <w:rPr>
          <w:color w:val="444444"/>
          <w:sz w:val="21"/>
          <w:szCs w:val="21"/>
        </w:rPr>
        <w:t xml:space="preserve">es la prioritaria por valor y por encaje de mensaje. El colegio recibe estudiantes en los primeros años, y un ingreso temprano define la permanencia: un niño que entra en transición puede quedarse 12+ años, lo que multiplica el valor de vida del alumno frente a un ingreso tardío. Además, los padres de niños de 3-8 están en la fase activa de elección de colegio y son mucho más receptivos al mensaje de bienestar y felicidad, que es el diferenciador central de La Salle. Por último, la franja 28-45 concentra a los padres de esa cohorte y coincide con el perfil de compradores de los condominios nuevos del corredor Cerritos.</w:t>
      </w:r>
    </w:p>
    <w:p>
      <w:pPr>
        <w:pStyle w:val="Heading2"/>
        <w:spacing w:after="90" w:before="240"/>
      </w:pPr>
      <w:r>
        <w:rPr>
          <w:b/>
          <w:bCs/>
          <w:color w:val="5B3FD1"/>
          <w:sz w:val="25"/>
          <w:szCs w:val="25"/>
        </w:rPr>
        <w:t xml:space="preserve">Las tres compensaciones que sustituyen a la división por capas</w:t>
      </w:r>
    </w:p>
    <w:p>
      <w:pPr>
        <w:spacing w:after="120" w:line="276"/>
      </w:pPr>
      <w:r>
        <w:rPr>
          <w:color w:val="444444"/>
          <w:sz w:val="21"/>
          <w:szCs w:val="21"/>
        </w:rPr>
        <w:t xml:space="preserve">Al fusionar se pierden tres controles. Cada uno se reemplaza por otro mecanismo:</w:t>
      </w:r>
    </w:p>
    <w:p>
      <w:pPr>
        <w:pStyle w:val="ListParagraph"/>
        <w:numPr>
          <w:ilvl w:val="0"/>
          <w:numId w:val="1"/>
        </w:numPr>
        <w:spacing w:after="70" w:line="268"/>
      </w:pPr>
      <w:r>
        <w:rPr>
          <w:b/>
          <w:bCs/>
          <w:color w:val="0B1440"/>
          <w:sz w:val="21"/>
          <w:szCs w:val="21"/>
        </w:rPr>
        <w:t xml:space="preserve">1. El creativo hace la segmentación que ya no hace la geografía.</w:t>
      </w:r>
      <w:r>
        <w:rPr>
          <w:color w:val="444444"/>
          <w:sz w:val="21"/>
          <w:szCs w:val="21"/>
        </w:rPr>
        <w:t xml:space="preserve"> Cargar 2-3 anuncios en el mismo conjunto: uno apoyado en la cercanía y el ambiente campestre, otro que resuelva de frente la objeción de distancia (el estudio interno reporta que un 27 % de las familias percibe la ubicación como retirada). Meta sirve el más relevante a cada persona, y el de distancia tenderá a ganar naturalmente en el oriente.</w:t>
      </w:r>
    </w:p>
    <w:p>
      <w:pPr>
        <w:pStyle w:val="ListParagraph"/>
        <w:numPr>
          <w:ilvl w:val="0"/>
          <w:numId w:val="1"/>
        </w:numPr>
        <w:spacing w:after="70" w:line="268"/>
      </w:pPr>
      <w:r>
        <w:rPr>
          <w:b/>
          <w:bCs/>
          <w:color w:val="0B1440"/>
          <w:sz w:val="21"/>
          <w:szCs w:val="21"/>
        </w:rPr>
        <w:t xml:space="preserve">2. El evento de conversión filtra la calidad.</w:t>
      </w:r>
      <w:r>
        <w:rPr>
          <w:color w:val="444444"/>
          <w:sz w:val="21"/>
          <w:szCs w:val="21"/>
        </w:rPr>
        <w:t xml:space="preserve"> No optimizar hacia «abrió el formulario». Marcar como Lead la rama de interés real de matrícula del formulario condicional ya construido. Así Meta aprende a buscar padres con intención de ingreso, no coleccionistas de clics. Es lo que protege la calidad cuando ya no hay conjuntos separados vigilando.</w:t>
      </w:r>
    </w:p>
    <w:p>
      <w:pPr>
        <w:pStyle w:val="ListParagraph"/>
        <w:numPr>
          <w:ilvl w:val="0"/>
          <w:numId w:val="1"/>
        </w:numPr>
        <w:spacing w:after="70" w:line="268"/>
      </w:pPr>
      <w:r>
        <w:rPr>
          <w:b/>
          <w:bCs/>
          <w:color w:val="0B1440"/>
          <w:sz w:val="21"/>
          <w:szCs w:val="21"/>
        </w:rPr>
        <w:t xml:space="preserve">3. El formulario devuelve la visibilidad por zona.</w:t>
      </w:r>
      <w:r>
        <w:rPr>
          <w:color w:val="444444"/>
          <w:sz w:val="21"/>
          <w:szCs w:val="21"/>
        </w:rPr>
        <w:t xml:space="preserve"> Meta ya no reportará CPL por pin. Se compensa agregando un campo de barrio/sector de residencia en el formulario: la lectura de qué zona rinde la da la base propia del colegio, y con mejor información que Ads Manager (calidad del lead, no solo costo).</w:t>
      </w:r>
    </w:p>
    <w:p>
      <w:pPr>
        <w:pStyle w:val="Heading1"/>
        <w:spacing w:after="120" w:before="320"/>
      </w:pPr>
      <w:r>
        <w:rPr>
          <w:b/>
          <w:bCs/>
          <w:color w:val="0B1440"/>
          <w:sz w:val="30"/>
          <w:szCs w:val="30"/>
        </w:rPr>
        <w:t xml:space="preserve">6. Qué se pospone y por qué</w:t>
      </w:r>
    </w:p>
    <w:p>
      <w:pPr>
        <w:spacing w:after="120" w:line="276"/>
      </w:pPr>
      <w:r>
        <w:rPr>
          <w:color w:val="444444"/>
          <w:sz w:val="21"/>
          <w:szCs w:val="21"/>
        </w:rPr>
        <w:t xml:space="preserve">Aplicar la lógica de consolidación de forma consistente obliga a aplazar tres elementos que estaban en la v2. No se descartan: se activan cuando haya volumen.</w:t>
      </w:r>
    </w:p>
    <w:p>
      <w:pPr>
        <w:pStyle w:val="ListParagraph"/>
        <w:numPr>
          <w:ilvl w:val="0"/>
          <w:numId w:val="1"/>
        </w:numPr>
        <w:spacing w:after="70" w:line="268"/>
      </w:pPr>
      <w:r>
        <w:rPr>
          <w:b/>
          <w:bCs/>
          <w:color w:val="0B1440"/>
          <w:sz w:val="21"/>
          <w:szCs w:val="21"/>
        </w:rPr>
        <w:t xml:space="preserve">Audiencia B (todos los grados de ingreso):</w:t>
      </w:r>
      <w:r>
        <w:rPr>
          <w:color w:val="444444"/>
          <w:sz w:val="21"/>
          <w:szCs w:val="21"/>
        </w:rPr>
        <w:t xml:space="preserve"> correrla como conjunto aparte recrearía exactamente el problema que estamos resolviendo. Ampliar el rango de Padres dentro del conjunto único tampoco sirve: diluye la precisión que hace eficiente a la Audiencia A. Se pospone hasta estabilizar A.</w:t>
      </w:r>
    </w:p>
    <w:p>
      <w:pPr>
        <w:pStyle w:val="ListParagraph"/>
        <w:numPr>
          <w:ilvl w:val="0"/>
          <w:numId w:val="1"/>
        </w:numPr>
        <w:spacing w:after="70" w:line="268"/>
      </w:pPr>
      <w:r>
        <w:rPr>
          <w:b/>
          <w:bCs/>
          <w:color w:val="0B1440"/>
          <w:sz w:val="21"/>
          <w:szCs w:val="21"/>
        </w:rPr>
        <w:t xml:space="preserve">A/B de destino (formulario instantáneo vs. blog):</w:t>
      </w:r>
      <w:r>
        <w:rPr>
          <w:color w:val="444444"/>
          <w:sz w:val="21"/>
          <w:szCs w:val="21"/>
        </w:rPr>
        <w:t xml:space="preserve"> probar dos destinos parte la señal de conversión en dos. Arrancar con un solo destino —el funnel del blog, coherente con el enfoque no invasivo del programa— y dejar la prueba del formulario instantáneo para cuando el conjunto ya esté fuera de aprendizaje.</w:t>
      </w:r>
    </w:p>
    <w:p>
      <w:pPr>
        <w:pStyle w:val="ListParagraph"/>
        <w:numPr>
          <w:ilvl w:val="0"/>
          <w:numId w:val="1"/>
        </w:numPr>
        <w:spacing w:after="70" w:line="268"/>
      </w:pPr>
      <w:r>
        <w:rPr>
          <w:b/>
          <w:bCs/>
          <w:color w:val="0B1440"/>
          <w:sz w:val="21"/>
          <w:szCs w:val="21"/>
        </w:rPr>
        <w:t xml:space="preserve">Capa 3 – Test Cartago:</w:t>
      </w:r>
      <w:r>
        <w:rPr>
          <w:color w:val="444444"/>
          <w:sz w:val="21"/>
          <w:szCs w:val="21"/>
        </w:rPr>
        <w:t xml:space="preserve"> como test de bajo presupuesto dentro de un conjunto único solo aportaría ruido. Se evalúa más adelante.</w:t>
      </w:r>
    </w:p>
    <w:p>
      <w:pPr>
        <w:pStyle w:val="Heading1"/>
        <w:spacing w:after="120" w:before="320"/>
      </w:pPr>
      <w:r>
        <w:rPr>
          <w:b/>
          <w:bCs/>
          <w:color w:val="0B1440"/>
          <w:sz w:val="30"/>
          <w:szCs w:val="30"/>
        </w:rPr>
        <w:t xml:space="preserve">7. Criterio de reapertura</w:t>
      </w:r>
    </w:p>
    <w:p>
      <w:pPr>
        <w:spacing w:after="120" w:line="276"/>
      </w:pPr>
      <w:r>
        <w:rPr>
          <w:color w:val="444444"/>
          <w:sz w:val="21"/>
          <w:szCs w:val="21"/>
        </w:rPr>
        <w:t xml:space="preserve">La consolidación es una etapa, no un estado permanente. </w:t>
      </w:r>
      <w:r>
        <w:rPr>
          <w:b/>
          <w:bCs/>
          <w:color w:val="444444"/>
          <w:sz w:val="21"/>
          <w:szCs w:val="21"/>
        </w:rPr>
        <w:t xml:space="preserve">Cuando el conjunto de prospección supere de forma sostenida los ~50 leads semanales</w:t>
      </w:r>
      <w:r>
        <w:rPr>
          <w:color w:val="444444"/>
          <w:sz w:val="21"/>
          <w:szCs w:val="21"/>
        </w:rPr>
        <w:t xml:space="preserve">, ya hay volumen para volver a dividir. El primer corte recomendado es separar la Capa 1A para blindar el núcleo de proximidad; el segundo, activar la Audiencia B. Antes de ese umbral, dividir cuesta más de lo que aporta.</w:t>
      </w:r>
    </w:p>
    <w:p>
      <w:pPr>
        <w:pStyle w:val="Heading1"/>
        <w:spacing w:after="120" w:before="320"/>
      </w:pPr>
      <w:r>
        <w:rPr>
          <w:b/>
          <w:bCs/>
          <w:color w:val="0B1440"/>
          <w:sz w:val="30"/>
          <w:szCs w:val="30"/>
        </w:rPr>
        <w:t xml:space="preserve">8. Proyección de leads — $500.000 COP / semana</w:t>
      </w:r>
    </w:p>
    <w:p>
      <w:pPr>
        <w:spacing w:after="120" w:line="276"/>
      </w:pPr>
      <w:r>
        <w:rPr>
          <w:color w:val="444444"/>
          <w:sz w:val="21"/>
          <w:szCs w:val="21"/>
        </w:rPr>
        <w:t xml:space="preserve">Estimación construida triangulando benchmarks de CPM/CPC del mercado colombiano (CPM de $5.000–$12.000 COP; CPC de $250–$1.200 COP), benchmarks de CPL del sector educación (que corre ~45 % del promedio global, con mediana de ~USD $21, y Colombia por debajo de eso), y una simulación Monte Carlo de 200.000 escenarios del funnel completo: presupuesto → CPM → CTR → conversión de visita a lead.</w:t>
      </w:r>
    </w:p>
    <w:p>
      <w:pPr>
        <w:spacing w:after="120" w:line="276"/>
      </w:pPr>
      <w:r>
        <w:rPr>
          <w:b/>
          <w:bCs/>
          <w:color w:val="444444"/>
          <w:sz w:val="21"/>
          <w:szCs w:val="21"/>
        </w:rPr>
        <w:t xml:space="preserve">Dos ajustes propios del caso: </w:t>
      </w:r>
      <w:r>
        <w:rPr>
          <w:color w:val="444444"/>
          <w:sz w:val="21"/>
          <w:szCs w:val="21"/>
        </w:rPr>
        <w:t xml:space="preserve">la audiencia estrecha (Padres + pines de alto estrato) encarece el CPM frente al promedio nacional, y el formulario soft y opcional del funnel convierte menos que una landing dura. Este último es el parámetro que más pesa en el resultado.</w:t>
      </w:r>
    </w:p>
    <w:tbl>
      <w:tblPr>
        <w:tblW w:type="dxa" w:w="7450"/>
        <w:tblBorders>
          <w:top w:val="single" w:color="CCCCCC" w:sz="2"/>
          <w:left w:val="single" w:color="CCCCCC" w:sz="2"/>
          <w:bottom w:val="single" w:color="CCCCCC" w:sz="2"/>
          <w:right w:val="single" w:color="CCCCCC" w:sz="2"/>
          <w:insideH w:val="single" w:color="DDDDDD" w:sz="2"/>
          <w:insideV w:val="single" w:color="DDDDDD" w:sz="2"/>
        </w:tblBorders>
      </w:tblPr>
      <w:tblGrid>
        <w:gridCol w:w="2350"/>
        <w:gridCol w:w="2500"/>
        <w:gridCol w:w="2600"/>
      </w:tblGrid>
      <w:tr>
        <w:trPr>
          <w:tblHeader/>
        </w:trPr>
        <w:tc>
          <w:tcPr>
            <w:tcW w:type="dxa" w:w="2350"/>
            <w:shd w:fill="0B1440" w:val="clear"/>
            <w:tcMar>
              <w:top w:type="dxa" w:w="55"/>
              <w:left w:type="dxa" w:w="85"/>
              <w:bottom w:type="dxa" w:w="55"/>
              <w:right w:type="dxa" w:w="85"/>
            </w:tcMar>
          </w:tcPr>
          <w:p>
            <w:pPr>
              <w:spacing w:after="0" w:line="245"/>
            </w:pPr>
            <w:r>
              <w:rPr>
                <w:b/>
                <w:bCs/>
                <w:color w:val="FFFFFF"/>
                <w:sz w:val="18"/>
                <w:szCs w:val="18"/>
              </w:rPr>
              <w:t xml:space="preserve">Escenario</w:t>
            </w:r>
          </w:p>
        </w:tc>
        <w:tc>
          <w:tcPr>
            <w:tcW w:type="dxa" w:w="2500"/>
            <w:shd w:fill="0B1440" w:val="clear"/>
            <w:tcMar>
              <w:top w:type="dxa" w:w="55"/>
              <w:left w:type="dxa" w:w="85"/>
              <w:bottom w:type="dxa" w:w="55"/>
              <w:right w:type="dxa" w:w="85"/>
            </w:tcMar>
          </w:tcPr>
          <w:p>
            <w:pPr>
              <w:spacing w:after="0" w:line="245"/>
            </w:pPr>
            <w:r>
              <w:rPr>
                <w:b/>
                <w:bCs/>
                <w:color w:val="FFFFFF"/>
                <w:sz w:val="18"/>
                <w:szCs w:val="18"/>
              </w:rPr>
              <w:t xml:space="preserve">Leads / semana</w:t>
            </w:r>
          </w:p>
        </w:tc>
        <w:tc>
          <w:tcPr>
            <w:tcW w:type="dxa" w:w="2600"/>
            <w:shd w:fill="0B1440" w:val="clear"/>
            <w:tcMar>
              <w:top w:type="dxa" w:w="55"/>
              <w:left w:type="dxa" w:w="85"/>
              <w:bottom w:type="dxa" w:w="55"/>
              <w:right w:type="dxa" w:w="85"/>
            </w:tcMar>
          </w:tcPr>
          <w:p>
            <w:pPr>
              <w:spacing w:after="0" w:line="245"/>
            </w:pPr>
            <w:r>
              <w:rPr>
                <w:b/>
                <w:bCs/>
                <w:color w:val="FFFFFF"/>
                <w:sz w:val="18"/>
                <w:szCs w:val="18"/>
              </w:rPr>
              <w:t xml:space="preserve">CPL (COP)</w:t>
            </w:r>
          </w:p>
        </w:tc>
      </w:tr>
      <w:tr>
        <w:tc>
          <w:tcPr>
            <w:tcW w:type="dxa" w:w="2350"/>
            <w:tcMar>
              <w:top w:type="dxa" w:w="55"/>
              <w:left w:type="dxa" w:w="85"/>
              <w:bottom w:type="dxa" w:w="55"/>
              <w:right w:type="dxa" w:w="85"/>
            </w:tcMar>
          </w:tcPr>
          <w:p>
            <w:pPr>
              <w:spacing w:after="0" w:line="245"/>
            </w:pPr>
            <w:r>
              <w:rPr>
                <w:color w:val="444444"/>
                <w:sz w:val="18"/>
                <w:szCs w:val="18"/>
              </w:rPr>
              <w:t xml:space="preserve">Fase de aprendizaje (sem. 1–3)</w:t>
            </w:r>
          </w:p>
        </w:tc>
        <w:tc>
          <w:tcPr>
            <w:tcW w:type="dxa" w:w="2500"/>
            <w:tcMar>
              <w:top w:type="dxa" w:w="55"/>
              <w:left w:type="dxa" w:w="85"/>
              <w:bottom w:type="dxa" w:w="55"/>
              <w:right w:type="dxa" w:w="85"/>
            </w:tcMar>
          </w:tcPr>
          <w:p>
            <w:pPr>
              <w:spacing w:after="0" w:line="245"/>
            </w:pPr>
            <w:r>
              <w:rPr>
                <w:color w:val="444444"/>
                <w:sz w:val="18"/>
                <w:szCs w:val="18"/>
              </w:rPr>
              <w:t xml:space="preserve">4 – 12 (mediana ~7)</w:t>
            </w:r>
          </w:p>
        </w:tc>
        <w:tc>
          <w:tcPr>
            <w:tcW w:type="dxa" w:w="2600"/>
            <w:tcMar>
              <w:top w:type="dxa" w:w="55"/>
              <w:left w:type="dxa" w:w="85"/>
              <w:bottom w:type="dxa" w:w="55"/>
              <w:right w:type="dxa" w:w="85"/>
            </w:tcMar>
          </w:tcPr>
          <w:p>
            <w:pPr>
              <w:spacing w:after="0" w:line="245"/>
            </w:pPr>
            <w:r>
              <w:rPr>
                <w:color w:val="444444"/>
                <w:sz w:val="18"/>
                <w:szCs w:val="18"/>
              </w:rPr>
              <w:t xml:space="preserve">Alto, no representativo</w:t>
            </w:r>
          </w:p>
        </w:tc>
      </w:tr>
      <w:tr>
        <w:tc>
          <w:tcPr>
            <w:tcW w:type="dxa" w:w="2350"/>
            <w:shd w:fill="EEEBFA" w:val="clear"/>
            <w:tcMar>
              <w:top w:type="dxa" w:w="55"/>
              <w:left w:type="dxa" w:w="85"/>
              <w:bottom w:type="dxa" w:w="55"/>
              <w:right w:type="dxa" w:w="85"/>
            </w:tcMar>
          </w:tcPr>
          <w:p>
            <w:pPr>
              <w:spacing w:after="0" w:line="245"/>
            </w:pPr>
            <w:r>
              <w:rPr>
                <w:color w:val="444444"/>
                <w:sz w:val="18"/>
                <w:szCs w:val="18"/>
              </w:rPr>
              <w:t xml:space="preserve">Régimen — rango central (P25–P75)</w:t>
            </w:r>
          </w:p>
        </w:tc>
        <w:tc>
          <w:tcPr>
            <w:tcW w:type="dxa" w:w="2500"/>
            <w:shd w:fill="EEEBFA" w:val="clear"/>
            <w:tcMar>
              <w:top w:type="dxa" w:w="55"/>
              <w:left w:type="dxa" w:w="85"/>
              <w:bottom w:type="dxa" w:w="55"/>
              <w:right w:type="dxa" w:w="85"/>
            </w:tcMar>
          </w:tcPr>
          <w:p>
            <w:pPr>
              <w:spacing w:after="0" w:line="245"/>
            </w:pPr>
            <w:r>
              <w:rPr>
                <w:color w:val="444444"/>
                <w:sz w:val="18"/>
                <w:szCs w:val="18"/>
              </w:rPr>
              <w:t xml:space="preserve">8 – 24 (mediana ~14)</w:t>
            </w:r>
          </w:p>
        </w:tc>
        <w:tc>
          <w:tcPr>
            <w:tcW w:type="dxa" w:w="2600"/>
            <w:shd w:fill="EEEBFA" w:val="clear"/>
            <w:tcMar>
              <w:top w:type="dxa" w:w="55"/>
              <w:left w:type="dxa" w:w="85"/>
              <w:bottom w:type="dxa" w:w="55"/>
              <w:right w:type="dxa" w:w="85"/>
            </w:tcMar>
          </w:tcPr>
          <w:p>
            <w:pPr>
              <w:spacing w:after="0" w:line="245"/>
            </w:pPr>
            <w:r>
              <w:rPr>
                <w:color w:val="444444"/>
                <w:sz w:val="18"/>
                <w:szCs w:val="18"/>
              </w:rPr>
              <w:t xml:space="preserve">$21.000 – $61.000 (mediana ~$36.000)</w:t>
            </w:r>
          </w:p>
        </w:tc>
      </w:tr>
      <w:tr>
        <w:tc>
          <w:tcPr>
            <w:tcW w:type="dxa" w:w="2350"/>
            <w:tcMar>
              <w:top w:type="dxa" w:w="55"/>
              <w:left w:type="dxa" w:w="85"/>
              <w:bottom w:type="dxa" w:w="55"/>
              <w:right w:type="dxa" w:w="85"/>
            </w:tcMar>
          </w:tcPr>
          <w:p>
            <w:pPr>
              <w:spacing w:after="0" w:line="245"/>
            </w:pPr>
            <w:r>
              <w:rPr>
                <w:color w:val="444444"/>
                <w:sz w:val="18"/>
                <w:szCs w:val="18"/>
              </w:rPr>
              <w:t xml:space="preserve">Pesimista (P10)</w:t>
            </w:r>
          </w:p>
        </w:tc>
        <w:tc>
          <w:tcPr>
            <w:tcW w:type="dxa" w:w="2500"/>
            <w:tcMar>
              <w:top w:type="dxa" w:w="55"/>
              <w:left w:type="dxa" w:w="85"/>
              <w:bottom w:type="dxa" w:w="55"/>
              <w:right w:type="dxa" w:w="85"/>
            </w:tcMar>
          </w:tcPr>
          <w:p>
            <w:pPr>
              <w:spacing w:after="0" w:line="245"/>
            </w:pPr>
            <w:r>
              <w:rPr>
                <w:color w:val="444444"/>
                <w:sz w:val="18"/>
                <w:szCs w:val="18"/>
              </w:rPr>
              <w:t xml:space="preserve">~5</w:t>
            </w:r>
          </w:p>
        </w:tc>
        <w:tc>
          <w:tcPr>
            <w:tcW w:type="dxa" w:w="2600"/>
            <w:tcMar>
              <w:top w:type="dxa" w:w="55"/>
              <w:left w:type="dxa" w:w="85"/>
              <w:bottom w:type="dxa" w:w="55"/>
              <w:right w:type="dxa" w:w="85"/>
            </w:tcMar>
          </w:tcPr>
          <w:p>
            <w:pPr>
              <w:spacing w:after="0" w:line="245"/>
            </w:pPr>
            <w:r>
              <w:rPr>
                <w:color w:val="444444"/>
                <w:sz w:val="18"/>
                <w:szCs w:val="18"/>
              </w:rPr>
              <w:t xml:space="preserve">~$95.000</w:t>
            </w:r>
          </w:p>
        </w:tc>
      </w:tr>
      <w:tr>
        <w:tc>
          <w:tcPr>
            <w:tcW w:type="dxa" w:w="2350"/>
            <w:shd w:fill="EEEBFA" w:val="clear"/>
            <w:tcMar>
              <w:top w:type="dxa" w:w="55"/>
              <w:left w:type="dxa" w:w="85"/>
              <w:bottom w:type="dxa" w:w="55"/>
              <w:right w:type="dxa" w:w="85"/>
            </w:tcMar>
          </w:tcPr>
          <w:p>
            <w:pPr>
              <w:spacing w:after="0" w:line="245"/>
            </w:pPr>
            <w:r>
              <w:rPr>
                <w:color w:val="444444"/>
                <w:sz w:val="18"/>
                <w:szCs w:val="18"/>
              </w:rPr>
              <w:t xml:space="preserve">Optimista (P90)</w:t>
            </w:r>
          </w:p>
        </w:tc>
        <w:tc>
          <w:tcPr>
            <w:tcW w:type="dxa" w:w="2500"/>
            <w:shd w:fill="EEEBFA" w:val="clear"/>
            <w:tcMar>
              <w:top w:type="dxa" w:w="55"/>
              <w:left w:type="dxa" w:w="85"/>
              <w:bottom w:type="dxa" w:w="55"/>
              <w:right w:type="dxa" w:w="85"/>
            </w:tcMar>
          </w:tcPr>
          <w:p>
            <w:pPr>
              <w:spacing w:after="0" w:line="245"/>
            </w:pPr>
            <w:r>
              <w:rPr>
                <w:color w:val="444444"/>
                <w:sz w:val="18"/>
                <w:szCs w:val="18"/>
              </w:rPr>
              <w:t xml:space="preserve">~38</w:t>
            </w:r>
          </w:p>
        </w:tc>
        <w:tc>
          <w:tcPr>
            <w:tcW w:type="dxa" w:w="2600"/>
            <w:shd w:fill="EEEBFA" w:val="clear"/>
            <w:tcMar>
              <w:top w:type="dxa" w:w="55"/>
              <w:left w:type="dxa" w:w="85"/>
              <w:bottom w:type="dxa" w:w="55"/>
              <w:right w:type="dxa" w:w="85"/>
            </w:tcMar>
          </w:tcPr>
          <w:p>
            <w:pPr>
              <w:spacing w:after="0" w:line="245"/>
            </w:pPr>
            <w:r>
              <w:rPr>
                <w:color w:val="444444"/>
                <w:sz w:val="18"/>
                <w:szCs w:val="18"/>
              </w:rPr>
              <w:t xml:space="preserve">~$13.000</w:t>
            </w:r>
          </w:p>
        </w:tc>
      </w:tr>
    </w:tbl>
    <w:p>
      <w:pPr>
        <w:spacing w:after="160" w:before="60"/>
      </w:pPr>
      <w:r>
        <w:rPr>
          <w:i/>
          <w:iCs/>
          <w:color w:val="666666"/>
          <w:sz w:val="17"/>
          <w:szCs w:val="17"/>
        </w:rPr>
        <w:t xml:space="preserve">Probabilidades para fijar expectativas: 91 % de lograr ≥5 leads/semana, 66 % de lograr ≥10, 32 % de superar 20.</w:t>
      </w:r>
    </w:p>
    <w:p>
      <w:pPr>
        <w:spacing w:after="120" w:line="276"/>
      </w:pPr>
      <w:r>
        <w:rPr>
          <w:b/>
          <w:bCs/>
          <w:color w:val="444444"/>
          <w:sz w:val="21"/>
          <w:szCs w:val="21"/>
        </w:rPr>
        <w:t xml:space="preserve">Leads calificados: </w:t>
      </w:r>
      <w:r>
        <w:rPr>
          <w:color w:val="444444"/>
          <w:sz w:val="21"/>
          <w:szCs w:val="21"/>
        </w:rPr>
        <w:t xml:space="preserve">la rama de interés real de matrícula del formulario condicional debería capturar aproximadamente la mitad del total: </w:t>
      </w:r>
      <w:r>
        <w:rPr>
          <w:b/>
          <w:bCs/>
          <w:color w:val="444444"/>
          <w:sz w:val="21"/>
          <w:szCs w:val="21"/>
        </w:rPr>
        <w:t xml:space="preserve">~7 calificados/semana en la mediana (~28 al mes).</w:t>
      </w:r>
    </w:p>
    <w:p>
      <w:pPr>
        <w:pStyle w:val="Heading2"/>
        <w:spacing w:after="90" w:before="240"/>
      </w:pPr>
      <w:r>
        <w:rPr>
          <w:b/>
          <w:bCs/>
          <w:color w:val="5B3FD1"/>
          <w:sz w:val="25"/>
          <w:szCs w:val="25"/>
        </w:rPr>
        <w:t xml:space="preserve">Lecturas prácticas</w:t>
      </w:r>
    </w:p>
    <w:p>
      <w:pPr>
        <w:pStyle w:val="ListParagraph"/>
        <w:numPr>
          <w:ilvl w:val="0"/>
          <w:numId w:val="1"/>
        </w:numPr>
        <w:spacing w:after="70" w:line="268"/>
      </w:pPr>
      <w:r>
        <w:rPr>
          <w:color w:val="444444"/>
          <w:sz w:val="21"/>
          <w:szCs w:val="21"/>
        </w:rPr>
        <w:t xml:space="preserve">El volumen confirma la consolidación: con ~14 leads/semana, cuatro conjuntos separados jamás saldrían de la fase de aprendizaje.</w:t>
      </w:r>
    </w:p>
    <w:p>
      <w:pPr>
        <w:pStyle w:val="ListParagraph"/>
        <w:numPr>
          <w:ilvl w:val="0"/>
          <w:numId w:val="1"/>
        </w:numPr>
        <w:spacing w:after="70" w:line="268"/>
      </w:pPr>
      <w:r>
        <w:rPr>
          <w:color w:val="444444"/>
          <w:sz w:val="21"/>
          <w:szCs w:val="21"/>
        </w:rPr>
        <w:t xml:space="preserve">El umbral de reapertura (~50 leads/semana, sección 7) queda lejos con este presupuesto: alcanzarlo requeriría ~3-4x la inversión o un CPL excepcional.</w:t>
      </w:r>
    </w:p>
    <w:p>
      <w:pPr>
        <w:pStyle w:val="ListParagraph"/>
        <w:numPr>
          <w:ilvl w:val="0"/>
          <w:numId w:val="1"/>
        </w:numPr>
        <w:spacing w:after="70" w:line="268"/>
      </w:pPr>
      <w:r>
        <w:rPr>
          <w:color w:val="444444"/>
          <w:sz w:val="21"/>
          <w:szCs w:val="21"/>
        </w:rPr>
        <w:t xml:space="preserve">La palanca que más mueve el resultado no es el presupuesto sino la conversión del blog: pasar de ~3,5 % a ~6 % de visita→lead (mejor colocación del formulario, CTA más visible tras el video) casi duplica los leads sin gastar un peso más.</w:t>
      </w:r>
    </w:p>
    <w:p>
      <w:pPr>
        <w:spacing w:after="120" w:line="276"/>
      </w:pPr>
      <w:r>
        <w:rPr>
          <w:b/>
          <w:bCs/>
          <w:color w:val="444444"/>
          <w:sz w:val="21"/>
          <w:szCs w:val="21"/>
        </w:rPr>
        <w:t xml:space="preserve">Advertencia: </w:t>
      </w:r>
      <w:r>
        <w:rPr>
          <w:color w:val="444444"/>
          <w:sz w:val="21"/>
          <w:szCs w:val="21"/>
        </w:rPr>
        <w:t xml:space="preserve">esto es un modelo con benchmarks, no una promesa. El rango es ancho porque el creativo puede mover el resultado 3x en cualquier dirección. El dato real de las primeras dos semanas vale más que toda la simulación, y con él se recalibra la proyección.</w:t>
      </w:r>
    </w:p>
    <w:p>
      <w:pPr>
        <w:pStyle w:val="Heading1"/>
        <w:spacing w:after="120" w:before="320"/>
      </w:pPr>
      <w:r>
        <w:rPr>
          <w:b/>
          <w:bCs/>
          <w:color w:val="0B1440"/>
          <w:sz w:val="30"/>
          <w:szCs w:val="30"/>
        </w:rPr>
        <w:t xml:space="preserve">9. Pixel y notas operativas</w:t>
      </w:r>
    </w:p>
    <w:p>
      <w:pPr>
        <w:spacing w:after="120" w:line="276"/>
      </w:pPr>
      <w:r>
        <w:rPr>
          <w:color w:val="444444"/>
          <w:sz w:val="21"/>
          <w:szCs w:val="21"/>
        </w:rPr>
        <w:t xml:space="preserve">El pixel ya está instalado. Es el activo que compone en el tiempo: cada visitante del blog y cada apertura de formulario engrosan una audiencia propia que en 3-4 semanas será mejor semilla de Lookalike que los 100 registros actuales (50 matriculados + 50 que iniciaron admisión).</w:t>
      </w:r>
    </w:p>
    <w:p>
      <w:pPr>
        <w:pStyle w:val="ListParagraph"/>
        <w:numPr>
          <w:ilvl w:val="0"/>
          <w:numId w:val="1"/>
        </w:numPr>
        <w:spacing w:after="70" w:line="268"/>
      </w:pPr>
      <w:r>
        <w:rPr>
          <w:color w:val="444444"/>
          <w:sz w:val="21"/>
          <w:szCs w:val="21"/>
        </w:rPr>
        <w:t xml:space="preserve">Verificar disparo de eventos: PageView (todo el sitio), ViewContent (artículo del blog) y Lead (rama de interés de matrícula del formulario).</w:t>
      </w:r>
    </w:p>
    <w:p>
      <w:pPr>
        <w:pStyle w:val="ListParagraph"/>
        <w:numPr>
          <w:ilvl w:val="0"/>
          <w:numId w:val="1"/>
        </w:numPr>
        <w:spacing w:after="70" w:line="268"/>
      </w:pPr>
      <w:r>
        <w:rPr>
          <w:color w:val="444444"/>
          <w:sz w:val="21"/>
          <w:szCs w:val="21"/>
        </w:rPr>
        <w:t xml:space="preserve">Subir los 50 matriculados como audiencia personalizada de exclusión: no pagar por reimpactar a quien ya matriculó.</w:t>
      </w:r>
    </w:p>
    <w:p>
      <w:pPr>
        <w:pStyle w:val="ListParagraph"/>
        <w:numPr>
          <w:ilvl w:val="0"/>
          <w:numId w:val="1"/>
        </w:numPr>
        <w:spacing w:after="70" w:line="268"/>
      </w:pPr>
      <w:r>
        <w:rPr>
          <w:color w:val="444444"/>
          <w:sz w:val="21"/>
          <w:szCs w:val="21"/>
        </w:rPr>
        <w:t xml:space="preserve">Exportar las bases con todos los identificadores posibles (correo, celular, nombre completo) para maximizar el emparejamiento en Meta.</w:t>
      </w:r>
    </w:p>
    <w:p>
      <w:pPr>
        <w:pStyle w:val="ListParagraph"/>
        <w:numPr>
          <w:ilvl w:val="0"/>
          <w:numId w:val="1"/>
        </w:numPr>
        <w:spacing w:after="70" w:line="268"/>
      </w:pPr>
      <w:r>
        <w:rPr>
          <w:color w:val="444444"/>
          <w:sz w:val="21"/>
          <w:szCs w:val="21"/>
        </w:rPr>
        <w:t xml:space="preserve">No editar el conjunto durante la fase de aprendizaje (primeros 5-7 días).</w:t>
      </w:r>
    </w:p>
    <w:p>
      <w:pPr>
        <w:pStyle w:val="ListParagraph"/>
        <w:numPr>
          <w:ilvl w:val="0"/>
          <w:numId w:val="1"/>
        </w:numPr>
        <w:spacing w:after="70" w:line="268"/>
      </w:pPr>
      <w:r>
        <w:rPr>
          <w:color w:val="444444"/>
          <w:sz w:val="21"/>
          <w:szCs w:val="21"/>
        </w:rPr>
        <w:t xml:space="preserve">Lookalike: la base de 100 registros es débil como semilla. Postergar hasta que el pixel acumule tráfico propio.</w:t>
      </w:r>
    </w:p>
    <w:p>
      <w:pPr>
        <w:pStyle w:val="ListParagraph"/>
        <w:numPr>
          <w:ilvl w:val="0"/>
          <w:numId w:val="1"/>
        </w:numPr>
        <w:spacing w:after="70" w:line="268"/>
      </w:pPr>
      <w:r>
        <w:rPr>
          <w:color w:val="444444"/>
          <w:sz w:val="21"/>
          <w:szCs w:val="21"/>
        </w:rPr>
        <w:t xml:space="preserve">Revisar semanalmente el reparto real de entrega por zona usando el campo de barrio del formulario, y recalibrar radios si el núcleo queda desatendido.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Segmentación Meta Ads — Captación 2026 (v3)</dc:title>
  <dc:creator>La Salle Pereira — Creciendo Juntos</dc:creator>
  <cp:lastModifiedBy>Un-named</cp:lastModifiedBy>
  <cp:revision>1</cp:revision>
  <dcterms:created xsi:type="dcterms:W3CDTF">2026-07-24T03:23:12.708Z</dcterms:created>
  <dcterms:modified xsi:type="dcterms:W3CDTF">2026-07-24T03:23:12.739Z</dcterms:modified>
</cp:coreProperties>
</file>

<file path=docProps/custom.xml><?xml version="1.0" encoding="utf-8"?>
<Properties xmlns="http://schemas.openxmlformats.org/officeDocument/2006/custom-properties" xmlns:vt="http://schemas.openxmlformats.org/officeDocument/2006/docPropsVTypes"/>
</file>