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r>
        <w:rPr>
          <w:rFonts w:ascii="Arial Black" w:hAnsi="Arial Black"/>
          <w:color w:val="141414"/>
          <w:sz w:val="44"/>
        </w:rPr>
        <w:t>scientific reports</w:t>
        <w:br/>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1584"/>
        <w:gridCol w:w="8496"/>
      </w:tblGrid>
      <w:tr>
        <w:tc>
          <w:tcPr>
            <w:tcW w:type="dxa" w:w="5040"/>
            <w:shd w:fill="1F4E79"/>
            <w:tcMar>
              <w:top w:w="60" w:type="dxa"/>
              <w:bottom w:w="60" w:type="dxa"/>
              <w:left w:w="40" w:type="dxa"/>
              <w:right w:w="40" w:type="dxa"/>
            </w:tcMar>
            <w:vAlign w:val="center"/>
          </w:tcPr>
          <w:p>
            <w:pPr>
              <w:jc w:val="center"/>
            </w:pPr>
            <w:r>
              <w:rPr>
                <w:rFonts w:ascii="Arial" w:hAnsi="Arial"/>
                <w:b/>
                <w:color w:val="FFFFFF"/>
                <w:sz w:val="28"/>
              </w:rPr>
              <w:t>OPEN</w:t>
            </w:r>
          </w:p>
        </w:tc>
        <w:tc>
          <w:tcPr>
            <w:tcW w:type="dxa" w:w="5040"/>
            <w:tcMar>
              <w:top w:w="40" w:type="dxa"/>
              <w:bottom w:w="40" w:type="dxa"/>
              <w:left w:w="140" w:type="dxa"/>
              <w:right w:w="40" w:type="dxa"/>
            </w:tcMar>
          </w:tcPr>
          <w:p>
            <w:pPr>
              <w:spacing w:line="276" w:lineRule="auto"/>
              <w:jc w:val="left"/>
            </w:pPr>
            <w:r>
              <w:rPr>
                <w:rFonts w:ascii="Arial" w:hAnsi="Arial"/>
                <w:b/>
                <w:color w:val="141414"/>
                <w:sz w:val="30"/>
              </w:rPr>
              <w:t>India Weather Intelligence &amp; Forecasting System: A Machine Learning–Driven Platform for Multi-Horizon Weather Prediction, Historical Analytics, and Climate Intelligence</w:t>
            </w:r>
          </w:p>
        </w:tc>
      </w:tr>
    </w:tbl>
    <w:p>
      <w:pPr>
        <w:spacing w:before="80" w:after="40"/>
      </w:pPr>
    </w:p>
    <w:p>
      <w:pPr>
        <w:spacing w:before="80" w:after="80"/>
        <w:jc w:val="left"/>
      </w:pPr>
      <w:r>
        <w:rPr>
          <w:rFonts w:ascii="Arial" w:hAnsi="Arial"/>
          <w:b/>
          <w:color w:val="141414"/>
          <w:sz w:val="20"/>
        </w:rPr>
        <w:t>A D S ABHISHEK (24BRS1362)1*, K. Lokesh (24BAI1230)1 &amp; K. Rohith (24BRS1304)1</w:t>
      </w:r>
    </w:p>
    <w:p>
      <w:pPr>
        <w:spacing w:before="80" w:after="80" w:line="276" w:lineRule="auto"/>
        <w:jc w:val="both"/>
      </w:pPr>
      <w:r>
        <w:rPr>
          <w:rFonts w:ascii="Arial" w:hAnsi="Arial"/>
          <w:b/>
          <w:color w:val="141414"/>
          <w:sz w:val="19"/>
        </w:rPr>
        <w:t xml:space="preserve">Operational weather forecasting across the topographically and climatologically heterogeneous Indian subcontinent requires bridging high-resolution physical observations with scalable machine-learning inference. </w:t>
      </w:r>
      <w:r>
        <w:rPr>
          <w:rFonts w:ascii="Arial" w:hAnsi="Arial"/>
          <w:color w:val="232323"/>
          <w:sz w:val="19"/>
        </w:rPr>
        <w:t>Traditional Numerical Weather Prediction (NWP) systems demand supercomputing clusters and suffer from localized resolution bottlenecks, whereas standard autoregressive deep learning models compound forecasting errors recursively over multi-day horizons. This paper introduces the India Weather Intelligence &amp; Forecasting System, an enterprise-grade, end-to-end meteorological intelligence platform anchored on 413 canonical physical weather stations across 32 Indian States and Union Territories. The system replaces recursive error-propagating models with a Direct Multi-Horizon Machine Learning Architecture deploying 84 independently trained, frozen Extreme Gradient Boosting (XGBoost) models across 12 forward lead times (D+1 to D+12) and 7 core meteorological targets: mean temperature, minimum temperature, maximum temperature, binary precipitation occurrence, quantitative precipitation estimation (QPE), surface wind speed, and atmospheric pressure. To guarantee thermodynamic validity, predictions strictly enforce physical order constraints (Tmin &lt;= Tavg &lt;= Tmax, non-negative rainfall, and bounded precipitation probabilities). Furthermore, a zero-heavy audited data pipeline explicitly distinguishes true dry days (0.0 mm) from missing gauge telemetry (null). For sub-seasonal guidance, the framework incorporates a Phase 9 Long-Term Climate Predictor utilizing dynamic monthly baselines and 80% prediction intervals. Evaluated on a strict out-of-time 2025 holdout partition, the system achieves a next-day Mean Absolute Error (MAE) of 0.6527°C for temperature, 0.4344 mm for rainfall amount, and 89.19% accuracy (0.8366 ROC-AUC) for precipitation classification, maintaining superior skill through an empirical Day-7 predictability horizon (MAE 1.22°C vs. persistence 1.52°C). The complete full-stack architecture—comprising a FastAPI asynchronous engine, MongoDB caching, and a React 19 geospatial dashboard supporting 1-to-5 station comparative intelligence—is hardened and verified through 169 automated regression tests (100% pass rate).</w:t>
      </w:r>
    </w:p>
    <w:p>
      <w:pPr>
        <w:spacing w:before="40" w:after="240"/>
        <w:jc w:val="left"/>
      </w:pPr>
      <w:r>
        <w:rPr>
          <w:rFonts w:ascii="Arial" w:hAnsi="Arial"/>
          <w:i/>
          <w:color w:val="5A5A5A"/>
          <w:sz w:val="16"/>
        </w:rPr>
        <w:t>1Department of Computer Science and Engineering, Vellore Institute of Technology, Chennai, India. *email: addaduguru.durga2024@vitstudent.ac.in; k.lokesh2024@vitstudent.ac.in; k.rohith2024@vitstudent.ac.in</w:t>
      </w:r>
    </w:p>
    <w:p>
      <w:pPr>
        <w:spacing w:before="280" w:after="80" w:line="276" w:lineRule="auto"/>
        <w:jc w:val="left"/>
      </w:pPr>
      <w:r>
        <w:rPr>
          <w:rFonts w:ascii="Arial" w:hAnsi="Arial"/>
          <w:b/>
          <w:i w:val="0"/>
          <w:color w:val="141414"/>
          <w:sz w:val="22"/>
        </w:rPr>
        <w:t>Introduction</w:t>
      </w:r>
    </w:p>
    <w:p>
      <w:pPr>
        <w:spacing w:before="0" w:after="80" w:line="276" w:lineRule="auto"/>
        <w:jc w:val="both"/>
      </w:pPr>
      <w:r>
        <w:rPr>
          <w:rFonts w:ascii="Arial" w:hAnsi="Arial"/>
          <w:b w:val="0"/>
          <w:i w:val="0"/>
          <w:color w:val="232323"/>
          <w:sz w:val="19"/>
        </w:rPr>
        <w:t>Accurate and granular meteorological forecasting is essential for societal resilience, food security, flood hazard mitigation, and renewable energy dispatch across the Indian subcontinent [1,2]. India's meteorological landscape is among the most physically intricate on Earth, spanning tropical maritime coastlines, arid western expanses, alluvial Gangetic plains, and steep Himalayan orography. The primary driver of agricultural productivity—the Indian Summer Monsoon (ISM)—is characterized by complex multi-scale convective interactions, intra-seasonal active-break oscillations, and sudden localized extreme precipitation events that impose severe challenges on predictive modeling [3,10].</w:t>
      </w:r>
    </w:p>
    <w:p>
      <w:pPr>
        <w:spacing w:before="0" w:after="80" w:line="276" w:lineRule="auto"/>
        <w:jc w:val="both"/>
      </w:pPr>
      <w:r>
        <w:rPr>
          <w:rFonts w:ascii="Arial" w:hAnsi="Arial"/>
          <w:b w:val="0"/>
          <w:i w:val="0"/>
          <w:color w:val="232323"/>
          <w:sz w:val="19"/>
        </w:rPr>
        <w:t>For decades, operational forecasting has relied upon physical Numerical Weather Prediction (NWP) systems, such as the Global Forecast System (GFS) and the European Centre for Medium-Range Weather Forecasts (ECMWF) Integrated Forecasting System (IFS) [6,8]. While NWP models numerically integrate primitive Navier-Stokes fluid dynamics and thermodynamic governing equations on supercomputing grids, their operational deployment is constrained by massive computational requirements, sensitivity to initial boundary condition uncertainties, and significant spatial parameterization biases when downscaled to localized station gauges [4,11]. In developing nations, access to dedicated supercomputing clusters capable of running ensemble NWP assimilations at sub-kilometer physical resolutions remains scarce, creating a critical need for data-driven, machine-learning-powered meteorological platforms [2,7].</w:t>
      </w:r>
    </w:p>
    <w:p>
      <w:pPr>
        <w:spacing w:before="0" w:after="80" w:line="276" w:lineRule="auto"/>
        <w:jc w:val="both"/>
      </w:pPr>
      <w:r>
        <w:rPr>
          <w:rFonts w:ascii="Arial" w:hAnsi="Arial"/>
          <w:b w:val="0"/>
          <w:i w:val="0"/>
          <w:color w:val="232323"/>
          <w:sz w:val="19"/>
        </w:rPr>
        <w:t>With recent breakthroughs in deep learning and gradient boosted decision trees, data-driven weather prediction has emerged as a disruptive paradigm capable of generating skillful forecasts at fractions of NWP computational latency [5,6,9]. Global foundation models—such as Google's GraphCast [7], Huawei's Pangu-Weather [9], and Shanghai AI Laboratory's FuXi [8]—have demonstrated competitive global skill on coarse gridded reanalysis benchmarks (ERA5). However, translating these macroscopic gridded models into actionable station-level decision intelligence in India reveals fundamental scientific and architectural gaps:</w:t>
      </w:r>
    </w:p>
    <w:p>
      <w:pPr>
        <w:pStyle w:val="ListBullet"/>
        <w:spacing w:before="20" w:after="60" w:line="276" w:lineRule="auto"/>
        <w:jc w:val="both"/>
      </w:pPr>
      <w:r>
        <w:rPr>
          <w:rFonts w:ascii="Arial" w:hAnsi="Arial"/>
          <w:b/>
          <w:color w:val="141414"/>
          <w:sz w:val="19"/>
        </w:rPr>
        <w:t xml:space="preserve">1. Autoregressive Error Compounding: </w:t>
      </w:r>
      <w:r>
        <w:rPr>
          <w:rFonts w:ascii="Arial" w:hAnsi="Arial"/>
          <w:color w:val="232323"/>
          <w:sz w:val="19"/>
        </w:rPr>
        <w:t>Most recurrent or iterative autoregressive ML models predict future days recursively (using predictions at step t to forecast step t+1). Under chaotic monsoonal dynamics, small baseline deviations cascade exponentially, destroying physical coherence beyond 3 to 4 days.</w:t>
      </w:r>
    </w:p>
    <w:p>
      <w:pPr>
        <w:pStyle w:val="ListBullet"/>
        <w:spacing w:before="20" w:after="60" w:line="276" w:lineRule="auto"/>
        <w:jc w:val="both"/>
      </w:pPr>
      <w:r>
        <w:rPr>
          <w:rFonts w:ascii="Arial" w:hAnsi="Arial"/>
          <w:b/>
          <w:color w:val="141414"/>
          <w:sz w:val="19"/>
        </w:rPr>
        <w:t xml:space="preserve">2. Violation of Thermodynamic Laws: </w:t>
      </w:r>
      <w:r>
        <w:rPr>
          <w:rFonts w:ascii="Arial" w:hAnsi="Arial"/>
          <w:color w:val="232323"/>
          <w:sz w:val="19"/>
        </w:rPr>
        <w:t>Standard unconstrained regression networks frequently output physically impossible relationships, such as minimum temperatures exceeding daily means (Tmin &gt; Tavg) or negative precipitation values (Rainfall &lt; 0 mm), completely undermining forecaster trust.</w:t>
      </w:r>
    </w:p>
    <w:p>
      <w:pPr>
        <w:pStyle w:val="ListBullet"/>
        <w:spacing w:before="20" w:after="60" w:line="276" w:lineRule="auto"/>
        <w:jc w:val="both"/>
      </w:pPr>
      <w:r>
        <w:rPr>
          <w:rFonts w:ascii="Arial" w:hAnsi="Arial"/>
          <w:b/>
          <w:color w:val="141414"/>
          <w:sz w:val="19"/>
        </w:rPr>
        <w:t xml:space="preserve">3. Synthetic and Mock Telemetry Contamination: </w:t>
      </w:r>
      <w:r>
        <w:rPr>
          <w:rFonts w:ascii="Arial" w:hAnsi="Arial"/>
          <w:color w:val="232323"/>
          <w:sz w:val="19"/>
        </w:rPr>
        <w:t>Many commercial software portals silently mask station telemetry dropouts by interpolating synthetic values or equating missing sensor readings (null) to zero precipitation (0.0 mm), distorting meteorological climatology.</w:t>
      </w:r>
    </w:p>
    <w:p>
      <w:pPr>
        <w:pStyle w:val="ListBullet"/>
        <w:spacing w:before="20" w:after="60" w:line="276" w:lineRule="auto"/>
        <w:jc w:val="both"/>
      </w:pPr>
      <w:r>
        <w:rPr>
          <w:rFonts w:ascii="Arial" w:hAnsi="Arial"/>
          <w:b/>
          <w:color w:val="141414"/>
          <w:sz w:val="19"/>
        </w:rPr>
        <w:t xml:space="preserve">4. Neglect of Ground-Truth Station Networks: </w:t>
      </w:r>
      <w:r>
        <w:rPr>
          <w:rFonts w:ascii="Arial" w:hAnsi="Arial"/>
          <w:color w:val="232323"/>
          <w:sz w:val="19"/>
        </w:rPr>
        <w:t>Gridded reanalysis surfaces smooth out critical microclimatic variations. Operational regional planning requires point-wise predictions tied directly to physical surface weather stations with validated coordinates, elevation, and historical records.</w:t>
      </w:r>
    </w:p>
    <w:p>
      <w:pPr>
        <w:spacing w:before="0" w:after="80" w:line="276" w:lineRule="auto"/>
        <w:jc w:val="both"/>
      </w:pPr>
      <w:r>
        <w:rPr>
          <w:rFonts w:ascii="Arial" w:hAnsi="Arial"/>
          <w:b w:val="0"/>
          <w:i w:val="0"/>
          <w:color w:val="232323"/>
          <w:sz w:val="19"/>
        </w:rPr>
        <w:t>To resolve these challenges, this study presents the India Weather Intelligence &amp; Forecasting System—a comprehensive, scientifically audited machine-learning platform designed specifically for the 413 canonical physical weather stations across India. The primary technical, scientific, and engineering contributions of this work are summarized as follows:</w:t>
      </w:r>
    </w:p>
    <w:p>
      <w:pPr>
        <w:pStyle w:val="ListBullet"/>
        <w:spacing w:before="20" w:after="60" w:line="276" w:lineRule="auto"/>
        <w:jc w:val="both"/>
      </w:pPr>
      <w:r>
        <w:rPr>
          <w:rFonts w:ascii="Arial" w:hAnsi="Arial"/>
          <w:b/>
          <w:color w:val="141414"/>
          <w:sz w:val="19"/>
        </w:rPr>
        <w:t xml:space="preserve">• Canonical Physical Station Registry: </w:t>
      </w:r>
      <w:r>
        <w:rPr>
          <w:rFonts w:ascii="Arial" w:hAnsi="Arial"/>
          <w:color w:val="232323"/>
          <w:sz w:val="19"/>
        </w:rPr>
        <w:t>Curated, verified, and canonicalized 413 physical meteorological observation stations across 32 Indian States and Union Territories, establishing strict spatial bounds (6.5°N–37.5°N, 68.0°E–97.5°E) and altitude metadata.</w:t>
      </w:r>
    </w:p>
    <w:p>
      <w:pPr>
        <w:pStyle w:val="ListBullet"/>
        <w:spacing w:before="20" w:after="60" w:line="276" w:lineRule="auto"/>
        <w:jc w:val="both"/>
      </w:pPr>
      <w:r>
        <w:rPr>
          <w:rFonts w:ascii="Arial" w:hAnsi="Arial"/>
          <w:b/>
          <w:color w:val="141414"/>
          <w:sz w:val="19"/>
        </w:rPr>
        <w:t xml:space="preserve">• 84 Direct Multi-Horizon Model Suite: </w:t>
      </w:r>
      <w:r>
        <w:rPr>
          <w:rFonts w:ascii="Arial" w:hAnsi="Arial"/>
          <w:color w:val="232323"/>
          <w:sz w:val="19"/>
        </w:rPr>
        <w:t>Engineered an independent direct forecasting architecture utilizing 84 frozen XGBoost models across 12 forward lead times (D+1 to D+12) and 7 target families, entirely bypassing recursive autoregressive error compounding.</w:t>
      </w:r>
    </w:p>
    <w:p>
      <w:pPr>
        <w:pStyle w:val="ListBullet"/>
        <w:spacing w:before="20" w:after="60" w:line="276" w:lineRule="auto"/>
        <w:jc w:val="both"/>
      </w:pPr>
      <w:r>
        <w:rPr>
          <w:rFonts w:ascii="Arial" w:hAnsi="Arial"/>
          <w:b/>
          <w:color w:val="141414"/>
          <w:sz w:val="19"/>
        </w:rPr>
        <w:t xml:space="preserve">• Deterministic Physical Constraints: </w:t>
      </w:r>
      <w:r>
        <w:rPr>
          <w:rFonts w:ascii="Arial" w:hAnsi="Arial"/>
          <w:color w:val="232323"/>
          <w:sz w:val="19"/>
        </w:rPr>
        <w:t>Formulated and enforced hard physical ordering rules (Tmin &lt;= Tavg &lt;= Tmax, non-negative rainfall, bounded PoP) ensuring 100% thermodynamic validity across all inference pathways.</w:t>
      </w:r>
    </w:p>
    <w:p>
      <w:pPr>
        <w:pStyle w:val="ListBullet"/>
        <w:spacing w:before="20" w:after="60" w:line="276" w:lineRule="auto"/>
        <w:jc w:val="both"/>
      </w:pPr>
      <w:r>
        <w:rPr>
          <w:rFonts w:ascii="Arial" w:hAnsi="Arial"/>
          <w:b/>
          <w:color w:val="141414"/>
          <w:sz w:val="19"/>
        </w:rPr>
        <w:t xml:space="preserve">• Zero-Heavy Audited Precipitation Pipeline: </w:t>
      </w:r>
      <w:r>
        <w:rPr>
          <w:rFonts w:ascii="Arial" w:hAnsi="Arial"/>
          <w:color w:val="232323"/>
          <w:sz w:val="19"/>
        </w:rPr>
        <w:t>Developed an audited telemetry pipeline that rigorously preserves the distinction between dry days (0.0 mm) and missing gauge records (null), preventing climatological bias.</w:t>
      </w:r>
    </w:p>
    <w:p>
      <w:pPr>
        <w:pStyle w:val="ListBullet"/>
        <w:spacing w:before="20" w:after="60" w:line="276" w:lineRule="auto"/>
        <w:jc w:val="both"/>
      </w:pPr>
      <w:r>
        <w:rPr>
          <w:rFonts w:ascii="Arial" w:hAnsi="Arial"/>
          <w:b/>
          <w:color w:val="141414"/>
          <w:sz w:val="19"/>
        </w:rPr>
        <w:t xml:space="preserve">• Dynamic Sub-Seasonal Climate Predictor: </w:t>
      </w:r>
      <w:r>
        <w:rPr>
          <w:rFonts w:ascii="Arial" w:hAnsi="Arial"/>
          <w:color w:val="232323"/>
          <w:sz w:val="19"/>
        </w:rPr>
        <w:t>Engineered a Phase 9 Long-Term Climate Predictor providing calibrated 80% Prediction Intervals grounded in historical monthly climatological baselines.</w:t>
      </w:r>
    </w:p>
    <w:p>
      <w:pPr>
        <w:pStyle w:val="ListBullet"/>
        <w:spacing w:before="20" w:after="60" w:line="276" w:lineRule="auto"/>
        <w:jc w:val="both"/>
      </w:pPr>
      <w:r>
        <w:rPr>
          <w:rFonts w:ascii="Arial" w:hAnsi="Arial"/>
          <w:b/>
          <w:color w:val="141414"/>
          <w:sz w:val="19"/>
        </w:rPr>
        <w:t xml:space="preserve">• Hardened Full-Stack Production Microservices: </w:t>
      </w:r>
      <w:r>
        <w:rPr>
          <w:rFonts w:ascii="Arial" w:hAnsi="Arial"/>
          <w:color w:val="232323"/>
          <w:sz w:val="19"/>
        </w:rPr>
        <w:t>Implemented an enterprise FastAPI backend, MongoDB caching layer, and a React 19 geospatial dashboard supporting side-by-side comparison of 1 to 5 stations with zero state contamination, certified by 169 automated regression tests.</w:t>
      </w:r>
    </w:p>
    <w:p>
      <w:pPr>
        <w:spacing w:before="280" w:after="80" w:line="276" w:lineRule="auto"/>
        <w:jc w:val="left"/>
      </w:pPr>
      <w:r>
        <w:rPr>
          <w:rFonts w:ascii="Arial" w:hAnsi="Arial"/>
          <w:b/>
          <w:i w:val="0"/>
          <w:color w:val="141414"/>
          <w:sz w:val="22"/>
        </w:rPr>
        <w:t>Related work</w:t>
      </w:r>
    </w:p>
    <w:p>
      <w:pPr>
        <w:spacing w:before="0" w:after="80" w:line="276" w:lineRule="auto"/>
        <w:jc w:val="both"/>
      </w:pPr>
      <w:r>
        <w:rPr>
          <w:rFonts w:ascii="Arial" w:hAnsi="Arial"/>
          <w:b w:val="0"/>
          <w:i w:val="0"/>
          <w:color w:val="232323"/>
          <w:sz w:val="19"/>
        </w:rPr>
        <w:t>Data-driven meteorological modeling has advanced through four distinct evolutionary phases: classical time-series statistical modeling, supervised regression and shallow machine learning, deep neural networks, and modern foundation earth-system models [1-6]. Early approaches relied on Autoregressive Integrated Moving Average (ARIMA) and persistence baselines, which fail to capture non-linear atmospheric teleconnections or seasonal phase transitions [2]. In 2015, Grover, Kapoor, and Horvitz introduced deep hybrid models for weather forecasting [1], demonstrating that integrating spatial autoencoders with deep belief networks outperformed classical operational baselines. Holmstrom et al. [2] applied Support Vector Regression (SVR) and linear ridge models to multi-day temperature forecasting at Stanford University, concluding that non-linear kernel models capture synoptic transitions significantly better than linear persistence.</w:t>
      </w:r>
    </w:p>
    <w:p>
      <w:pPr>
        <w:spacing w:before="0" w:after="80" w:line="276" w:lineRule="auto"/>
        <w:jc w:val="both"/>
      </w:pPr>
      <w:r>
        <w:rPr>
          <w:rFonts w:ascii="Arial" w:hAnsi="Arial"/>
          <w:b w:val="0"/>
          <w:i w:val="0"/>
          <w:color w:val="232323"/>
          <w:sz w:val="19"/>
        </w:rPr>
        <w:t>Between 2018 and 2022, deep recurrent and convolutional architectures gained widespread adoption. Scher [3] demonstrated that deep neural networks could approximate general circulation models (GCMs) directly from data, preserving atmospheric fluid dynamics without manual differential equations. Weyn, Durran, and Caruana [4] utilized convolutional neural networks (CNNs) mapped onto cubed-sphere geometry to forecast gridded 500-hPa geopotential height fields, demonstrating skillful 7-day trajectories. Rittler et al. [5] formulated probabilistic deep learning frameworks for weather uncertainty quantification, highlighting the vital importance of calibrated prediction intervals for decision support.</w:t>
      </w:r>
    </w:p>
    <w:p>
      <w:pPr>
        <w:spacing w:before="0" w:after="80" w:line="276" w:lineRule="auto"/>
        <w:jc w:val="both"/>
      </w:pPr>
      <w:r>
        <w:rPr>
          <w:rFonts w:ascii="Arial" w:hAnsi="Arial"/>
          <w:b w:val="0"/>
          <w:i w:val="0"/>
          <w:color w:val="232323"/>
          <w:sz w:val="19"/>
        </w:rPr>
        <w:t>Most recently, between 2024 and 2026, global data-driven forecasting has reached parity with supercomputing NWP ensembles. Allen et al. (Nature 2025) [6] established end-to-end data-driven weather prediction at operational scale, demonstrating competitive skill against the ECMWF ensemble. Lam et al. (2025) [7] and Bi et al. (2025) [9] leveraged graph neural networks and 3D vision transformers (GraphCast and Pangu-Weather) to forecast global 0.25° gridded variables in seconds. Chen et al. (FuXi 2025) [8] implemented a cascade machine learning system for 15-day global forecasting, mitigating error growth via multi-stage temporal sub-networks. In the regional Indian context, Pathak et al. (2026) [10] and Chattopadhyay et al. (2026) [11] emphasized that global models require localized physics-informed post-processing to manage monsoonal extremes. Bodnar et al. (Aurora 2026) [12] introduced high-resolution foundation models of the atmosphere, validating that fine-tuning on regional observational networks is essential for ground-truth accuracy. A structured comparison of existing methodologies against the proposed system is tabulated in Table 1.</w:t>
      </w:r>
    </w:p>
    <w:p>
      <w:pPr>
        <w:spacing w:before="160" w:after="40"/>
        <w:jc w:val="left"/>
      </w:pPr>
      <w:r>
        <w:rPr>
          <w:rFonts w:ascii="Arial" w:hAnsi="Arial"/>
          <w:b/>
          <w:color w:val="141414"/>
          <w:sz w:val="17"/>
        </w:rPr>
        <w:t>Table 1. Comparative Analysis of Existing Weather Forecasting Models vs. Proposed System.</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728"/>
        <w:gridCol w:w="1872"/>
        <w:gridCol w:w="1584"/>
        <w:gridCol w:w="1584"/>
        <w:gridCol w:w="1584"/>
        <w:gridCol w:w="1728"/>
      </w:tblGrid>
      <w:tr>
        <w:tc>
          <w:tcPr>
            <w:tcW w:type="dxa" w:w="1680"/>
            <w:shd w:fill="1F4E79"/>
            <w:tcMar>
              <w:top w:w="60" w:type="dxa"/>
              <w:bottom w:w="60" w:type="dxa"/>
              <w:left w:w="60" w:type="dxa"/>
              <w:right w:w="60" w:type="dxa"/>
            </w:tcMar>
          </w:tcPr>
          <w:p>
            <w:pPr>
              <w:spacing w:before="20" w:after="20" w:line="252" w:lineRule="auto"/>
              <w:jc w:val="left"/>
            </w:pPr>
            <w:r>
              <w:rPr>
                <w:rFonts w:ascii="Arial" w:hAnsi="Arial"/>
                <w:b/>
                <w:color w:val="FFFFFF"/>
                <w:sz w:val="16"/>
              </w:rPr>
              <w:t>Study &amp; Citation</w:t>
            </w:r>
          </w:p>
        </w:tc>
        <w:tc>
          <w:tcPr>
            <w:tcW w:type="dxa" w:w="1680"/>
            <w:shd w:fill="1F4E79"/>
            <w:tcMar>
              <w:top w:w="60" w:type="dxa"/>
              <w:bottom w:w="60" w:type="dxa"/>
              <w:left w:w="60" w:type="dxa"/>
              <w:right w:w="60" w:type="dxa"/>
            </w:tcMar>
          </w:tcPr>
          <w:p>
            <w:pPr>
              <w:spacing w:before="20" w:after="20" w:line="252" w:lineRule="auto"/>
              <w:jc w:val="left"/>
            </w:pPr>
            <w:r>
              <w:rPr>
                <w:rFonts w:ascii="Arial" w:hAnsi="Arial"/>
                <w:b/>
                <w:color w:val="FFFFFF"/>
                <w:sz w:val="16"/>
              </w:rPr>
              <w:t>Methodology</w:t>
            </w:r>
          </w:p>
        </w:tc>
        <w:tc>
          <w:tcPr>
            <w:tcW w:type="dxa" w:w="1680"/>
            <w:shd w:fill="1F4E79"/>
            <w:tcMar>
              <w:top w:w="60" w:type="dxa"/>
              <w:bottom w:w="60" w:type="dxa"/>
              <w:left w:w="60" w:type="dxa"/>
              <w:right w:w="60" w:type="dxa"/>
            </w:tcMar>
          </w:tcPr>
          <w:p>
            <w:pPr>
              <w:spacing w:before="20" w:after="20" w:line="252" w:lineRule="auto"/>
              <w:jc w:val="left"/>
            </w:pPr>
            <w:r>
              <w:rPr>
                <w:rFonts w:ascii="Arial" w:hAnsi="Arial"/>
                <w:b/>
                <w:color w:val="FFFFFF"/>
                <w:sz w:val="16"/>
              </w:rPr>
              <w:t>Spatial Scope</w:t>
            </w:r>
          </w:p>
        </w:tc>
        <w:tc>
          <w:tcPr>
            <w:tcW w:type="dxa" w:w="1680"/>
            <w:shd w:fill="1F4E79"/>
            <w:tcMar>
              <w:top w:w="60" w:type="dxa"/>
              <w:bottom w:w="60" w:type="dxa"/>
              <w:left w:w="60" w:type="dxa"/>
              <w:right w:w="60" w:type="dxa"/>
            </w:tcMar>
          </w:tcPr>
          <w:p>
            <w:pPr>
              <w:spacing w:before="20" w:after="20" w:line="252" w:lineRule="auto"/>
              <w:jc w:val="left"/>
            </w:pPr>
            <w:r>
              <w:rPr>
                <w:rFonts w:ascii="Arial" w:hAnsi="Arial"/>
                <w:b/>
                <w:color w:val="FFFFFF"/>
                <w:sz w:val="16"/>
              </w:rPr>
              <w:t>Multi-Horizon Strategy</w:t>
            </w:r>
          </w:p>
        </w:tc>
        <w:tc>
          <w:tcPr>
            <w:tcW w:type="dxa" w:w="1680"/>
            <w:shd w:fill="1F4E79"/>
            <w:tcMar>
              <w:top w:w="60" w:type="dxa"/>
              <w:bottom w:w="60" w:type="dxa"/>
              <w:left w:w="60" w:type="dxa"/>
              <w:right w:w="60" w:type="dxa"/>
            </w:tcMar>
          </w:tcPr>
          <w:p>
            <w:pPr>
              <w:spacing w:before="20" w:after="20" w:line="252" w:lineRule="auto"/>
              <w:jc w:val="left"/>
            </w:pPr>
            <w:r>
              <w:rPr>
                <w:rFonts w:ascii="Arial" w:hAnsi="Arial"/>
                <w:b/>
                <w:color w:val="FFFFFF"/>
                <w:sz w:val="16"/>
              </w:rPr>
              <w:t>Physical Constraints</w:t>
            </w:r>
          </w:p>
        </w:tc>
        <w:tc>
          <w:tcPr>
            <w:tcW w:type="dxa" w:w="1680"/>
            <w:shd w:fill="1F4E79"/>
            <w:tcMar>
              <w:top w:w="60" w:type="dxa"/>
              <w:bottom w:w="60" w:type="dxa"/>
              <w:left w:w="60" w:type="dxa"/>
              <w:right w:w="60" w:type="dxa"/>
            </w:tcMar>
          </w:tcPr>
          <w:p>
            <w:pPr>
              <w:spacing w:before="20" w:after="20" w:line="252" w:lineRule="auto"/>
              <w:jc w:val="left"/>
            </w:pPr>
            <w:r>
              <w:rPr>
                <w:rFonts w:ascii="Arial" w:hAnsi="Arial"/>
                <w:b/>
                <w:color w:val="FFFFFF"/>
                <w:sz w:val="16"/>
              </w:rPr>
              <w:t>Operational Limitations</w:t>
            </w:r>
          </w:p>
        </w:tc>
      </w:tr>
      <w:tr>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Grover et al. (2015) [1]</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Deep Hybrid (DBN + Autoencoder)</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Gridded Station Pool</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Autoregressive (1-Day)</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None (Unconstrained)</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Recursive error growth; lacks monsoonal tuning</w:t>
            </w:r>
          </w:p>
        </w:tc>
      </w:tr>
      <w:tr>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Holmstrom et al. (2016) [2]</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Linear Ridge &amp; SVR Regressors</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Point Station Network</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Single-Horizon Step</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None</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Linear degradation; no rainfall classification</w:t>
            </w:r>
          </w:p>
        </w:tc>
      </w:tr>
      <w:tr>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Scher (2018) [3]</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Simplified GCM Deep Learning</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Global Idealized Model</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Recursive Autoregression</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Implicit GCM physics</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Coarse spatial resolution; uncalibrated for stations</w:t>
            </w:r>
          </w:p>
        </w:tc>
      </w:tr>
      <w:tr>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Weyn et al. (2019) [4]</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Cubed-Sphere CNNs</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Global Gridded 500-hPa</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Iterative Time-Stepping</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Kinematic continuity</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Gridded height fields only; no surface station metrics</w:t>
            </w:r>
          </w:p>
        </w:tc>
      </w:tr>
      <w:tr>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Rittler et al. (2022) [5]</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Probabilistic Deep Ensemble</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Regional Meso-grid</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Direct Step Prediction</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Statistical quantiles</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High computational training overhead; no web UI</w:t>
            </w:r>
          </w:p>
        </w:tc>
      </w:tr>
      <w:tr>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Allen et al. (2025) [6]</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End-to-End Neural NWP</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Global ECMWF Grids</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Multi-Step Transformer</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Conservation penalties</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Extremely heavy GPU footprint; coarse station resolution</w:t>
            </w:r>
          </w:p>
        </w:tc>
      </w:tr>
      <w:tr>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Lam et al. (2025) [7]</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GraphCast (Spatial GNNs)</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Global 0.25° Reanalysis</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Autoregressive Rollout</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Conservation laws</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Requires TPU clusters; uncalibrated for Indian gauges</w:t>
            </w:r>
          </w:p>
        </w:tc>
      </w:tr>
      <w:tr>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Chen et al. (2025) [8]</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FuXi Cascade Transformer</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Global 0.25° Lat-Lon</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Cascade Temporal (15-Day)</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Multi-task loss</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Cloud compute dependent; does not output station-point QPE</w:t>
            </w:r>
          </w:p>
        </w:tc>
      </w:tr>
      <w:tr>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Bi et al. (2025) [9]</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Pangu-Weather 3D Earth AI</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Global Upper Air &amp; Surface</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Hierarchical 1h/3h/6h</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3D spatial bias</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Heavy enterprise deployment; lacks station comparison UI</w:t>
            </w:r>
          </w:p>
        </w:tc>
      </w:tr>
      <w:tr>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Pathak et al. (2026) [10]</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Regional Monsoonal Downscaling</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Indian Subcontinent Grid</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Sub-seasonal Statistical</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Monsoon moisture budget</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Focuses on broad agro-climatic zones, not physical gauges</w:t>
            </w:r>
          </w:p>
        </w:tc>
      </w:tr>
      <w:tr>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Chattopadhyay et al. (2026) [11]</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Physics-Informed Deep Learning</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Tropical Monsoon Basin</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Direct Extremes Predictor</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Vorticity &amp; enthalpy</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Trained strictly on synthetic simulations, not station gauges</w:t>
            </w:r>
          </w:p>
        </w:tc>
      </w:tr>
      <w:tr>
        <w:tc>
          <w:tcPr>
            <w:tcW w:type="dxa" w:w="1680"/>
            <w:shd w:fill="D9E1F2"/>
            <w:tcMar>
              <w:top w:w="60" w:type="dxa"/>
              <w:bottom w:w="60" w:type="dxa"/>
              <w:left w:w="60" w:type="dxa"/>
              <w:right w:w="60" w:type="dxa"/>
            </w:tcMar>
          </w:tcPr>
          <w:p>
            <w:pPr>
              <w:spacing w:before="20" w:after="20" w:line="252" w:lineRule="auto"/>
              <w:jc w:val="left"/>
            </w:pPr>
            <w:r>
              <w:rPr>
                <w:rFonts w:ascii="Arial" w:hAnsi="Arial"/>
                <w:b/>
                <w:color w:val="232323"/>
                <w:sz w:val="15"/>
              </w:rPr>
              <w:t>Proposed System (2026)</w:t>
            </w:r>
          </w:p>
        </w:tc>
        <w:tc>
          <w:tcPr>
            <w:tcW w:type="dxa" w:w="1680"/>
            <w:shd w:fill="D9E1F2"/>
            <w:tcMar>
              <w:top w:w="60" w:type="dxa"/>
              <w:bottom w:w="60" w:type="dxa"/>
              <w:left w:w="60" w:type="dxa"/>
              <w:right w:w="60" w:type="dxa"/>
            </w:tcMar>
          </w:tcPr>
          <w:p>
            <w:pPr>
              <w:spacing w:before="20" w:after="20" w:line="252" w:lineRule="auto"/>
              <w:jc w:val="left"/>
            </w:pPr>
            <w:r>
              <w:rPr>
                <w:rFonts w:ascii="Arial" w:hAnsi="Arial"/>
                <w:b/>
                <w:color w:val="232323"/>
                <w:sz w:val="15"/>
              </w:rPr>
              <w:t>84 Direct XGBoost + Physics Guard</w:t>
            </w:r>
          </w:p>
        </w:tc>
        <w:tc>
          <w:tcPr>
            <w:tcW w:type="dxa" w:w="1680"/>
            <w:shd w:fill="D9E1F2"/>
            <w:tcMar>
              <w:top w:w="60" w:type="dxa"/>
              <w:bottom w:w="60" w:type="dxa"/>
              <w:left w:w="60" w:type="dxa"/>
              <w:right w:w="60" w:type="dxa"/>
            </w:tcMar>
          </w:tcPr>
          <w:p>
            <w:pPr>
              <w:spacing w:before="20" w:after="20" w:line="252" w:lineRule="auto"/>
              <w:jc w:val="left"/>
            </w:pPr>
            <w:r>
              <w:rPr>
                <w:rFonts w:ascii="Arial" w:hAnsi="Arial"/>
                <w:b/>
                <w:color w:val="232323"/>
                <w:sz w:val="15"/>
              </w:rPr>
              <w:t>413 Physical Stations (India)</w:t>
            </w:r>
          </w:p>
        </w:tc>
        <w:tc>
          <w:tcPr>
            <w:tcW w:type="dxa" w:w="1680"/>
            <w:shd w:fill="D9E1F2"/>
            <w:tcMar>
              <w:top w:w="60" w:type="dxa"/>
              <w:bottom w:w="60" w:type="dxa"/>
              <w:left w:w="60" w:type="dxa"/>
              <w:right w:w="60" w:type="dxa"/>
            </w:tcMar>
          </w:tcPr>
          <w:p>
            <w:pPr>
              <w:spacing w:before="20" w:after="20" w:line="252" w:lineRule="auto"/>
              <w:jc w:val="left"/>
            </w:pPr>
            <w:r>
              <w:rPr>
                <w:rFonts w:ascii="Arial" w:hAnsi="Arial"/>
                <w:b/>
                <w:color w:val="232323"/>
                <w:sz w:val="15"/>
              </w:rPr>
              <w:t>Direct 12-Horizon (H1..H12)</w:t>
            </w:r>
          </w:p>
        </w:tc>
        <w:tc>
          <w:tcPr>
            <w:tcW w:type="dxa" w:w="1680"/>
            <w:shd w:fill="D9E1F2"/>
            <w:tcMar>
              <w:top w:w="60" w:type="dxa"/>
              <w:bottom w:w="60" w:type="dxa"/>
              <w:left w:w="60" w:type="dxa"/>
              <w:right w:w="60" w:type="dxa"/>
            </w:tcMar>
          </w:tcPr>
          <w:p>
            <w:pPr>
              <w:spacing w:before="20" w:after="20" w:line="252" w:lineRule="auto"/>
              <w:jc w:val="left"/>
            </w:pPr>
            <w:r>
              <w:rPr>
                <w:rFonts w:ascii="Arial" w:hAnsi="Arial"/>
                <w:b/>
                <w:color w:val="232323"/>
                <w:sz w:val="15"/>
              </w:rPr>
              <w:t>Strict Tmin&lt;=Tavg&lt;=Tmax, QPE&gt;=0</w:t>
            </w:r>
          </w:p>
        </w:tc>
        <w:tc>
          <w:tcPr>
            <w:tcW w:type="dxa" w:w="1680"/>
            <w:shd w:fill="D9E1F2"/>
            <w:tcMar>
              <w:top w:w="60" w:type="dxa"/>
              <w:bottom w:w="60" w:type="dxa"/>
              <w:left w:w="60" w:type="dxa"/>
              <w:right w:w="60" w:type="dxa"/>
            </w:tcMar>
          </w:tcPr>
          <w:p>
            <w:pPr>
              <w:spacing w:before="20" w:after="20" w:line="252" w:lineRule="auto"/>
              <w:jc w:val="left"/>
            </w:pPr>
            <w:r>
              <w:rPr>
                <w:rFonts w:ascii="Arial" w:hAnsi="Arial"/>
                <w:b/>
                <w:color w:val="232323"/>
                <w:sz w:val="15"/>
              </w:rPr>
              <w:t>Direct CPU inference (&lt;40ms); 100% verified test gate</w:t>
            </w:r>
          </w:p>
        </w:tc>
      </w:tr>
    </w:tbl>
    <w:p>
      <w:pPr>
        <w:spacing w:before="80" w:after="80"/>
      </w:pPr>
    </w:p>
    <w:p>
      <w:pPr>
        <w:spacing w:before="280" w:after="80" w:line="276" w:lineRule="auto"/>
        <w:jc w:val="left"/>
      </w:pPr>
      <w:r>
        <w:rPr>
          <w:rFonts w:ascii="Arial" w:hAnsi="Arial"/>
          <w:b/>
          <w:i w:val="0"/>
          <w:color w:val="141414"/>
          <w:sz w:val="22"/>
        </w:rPr>
        <w:t>Proposed scheme: multi-tier meteorological intelligence architecture</w:t>
      </w:r>
    </w:p>
    <w:p>
      <w:pPr>
        <w:spacing w:before="0" w:after="80" w:line="276" w:lineRule="auto"/>
        <w:jc w:val="both"/>
      </w:pPr>
      <w:r>
        <w:rPr>
          <w:rFonts w:ascii="Arial" w:hAnsi="Arial"/>
          <w:b w:val="0"/>
          <w:i w:val="0"/>
          <w:color w:val="232323"/>
          <w:sz w:val="19"/>
        </w:rPr>
        <w:t>The architecture of the India Weather Intelligence &amp; Forecasting System is organized into five tightly coupled functional tiers: (1) Canonical Data Ingestion and Station Harmonization, (2) Geospatial Topology and Climatological Profiling, (3) Direct Multi-Horizon Machine Learning Inference Engine, (4) Physical Thermodynamic Constraint Guardrails, and (5) Asynchronous Full-Stack Microservice Deployment with Multi-Station Comparative Analytics.</w:t>
      </w:r>
    </w:p>
    <w:p>
      <w:pPr>
        <w:spacing w:before="0" w:after="80" w:line="276" w:lineRule="auto"/>
        <w:jc w:val="both"/>
      </w:pPr>
      <w:r>
        <w:rPr>
          <w:rFonts w:ascii="Arial" w:hAnsi="Arial"/>
          <w:b w:val="0"/>
          <w:i w:val="0"/>
          <w:color w:val="232323"/>
          <w:sz w:val="19"/>
        </w:rPr>
        <w:t>Unlike gridded models that interpolate continuous fields across unpopulated oceanic and mountain regions, our system operates on a curated discrete topological manifold comprising 413 verified physical observation stations. Each physical station s in the network S is formally characterized by a geographical coordinate tuple:</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8640"/>
        <w:gridCol w:w="1440"/>
      </w:tblGrid>
      <w:tr>
        <w:tc>
          <w:tcPr>
            <w:tcW w:type="dxa" w:w="5040"/>
            <w:shd w:fill="F9FAFB"/>
            <w:tcMar>
              <w:top w:w="60" w:type="dxa"/>
              <w:bottom w:w="60" w:type="dxa"/>
              <w:left w:w="140" w:type="dxa"/>
              <w:right w:w="60" w:type="dxa"/>
            </w:tcMar>
          </w:tcPr>
          <w:p>
            <w:pPr>
              <w:spacing w:before="40" w:after="40"/>
              <w:jc w:val="left"/>
            </w:pPr>
            <w:r>
              <w:rPr>
                <w:rFonts w:ascii="Cambria Math" w:hAnsi="Cambria Math"/>
                <w:i/>
                <w:color w:val="1F4E79"/>
                <w:sz w:val="19"/>
              </w:rPr>
              <w:t>s = \langle \text{StationID}, \text{Latitude}_s, \text{Longitude}_s, \text{Elevation}_s, \text{State}_s, \text{District}_s \rangle</w:t>
            </w:r>
          </w:p>
        </w:tc>
        <w:tc>
          <w:tcPr>
            <w:tcW w:type="dxa" w:w="5040"/>
            <w:shd w:fill="F9FAFB"/>
            <w:tcMar>
              <w:top w:w="60" w:type="dxa"/>
              <w:bottom w:w="60" w:type="dxa"/>
              <w:left w:w="60" w:type="dxa"/>
              <w:right w:w="140" w:type="dxa"/>
            </w:tcMar>
          </w:tcPr>
          <w:p>
            <w:pPr>
              <w:spacing w:before="40" w:after="40"/>
              <w:jc w:val="right"/>
            </w:pPr>
            <w:r>
              <w:rPr>
                <w:rFonts w:ascii="Arial" w:hAnsi="Arial"/>
                <w:b/>
                <w:color w:val="5A5A5A"/>
                <w:sz w:val="18"/>
              </w:rPr>
              <w:t>(1)</w:t>
            </w:r>
          </w:p>
        </w:tc>
      </w:tr>
    </w:tbl>
    <w:p>
      <w:pPr>
        <w:spacing w:before="0" w:after="80"/>
      </w:pPr>
    </w:p>
    <w:p>
      <w:pPr>
        <w:spacing w:before="0" w:after="80" w:line="276" w:lineRule="auto"/>
        <w:jc w:val="both"/>
      </w:pPr>
      <w:r>
        <w:rPr>
          <w:rFonts w:ascii="Arial" w:hAnsi="Arial"/>
          <w:b w:val="0"/>
          <w:i w:val="0"/>
          <w:color w:val="232323"/>
          <w:sz w:val="19"/>
        </w:rPr>
        <w:t>where Latitude ranges across 6.5°N to 37.5°N, Longitude spans 68.0°E to 97.5°E, and Elevation accounts for surface barometric adjustments. The complete station network distribution across the Indian subcontinent is illustrated in Fig. 1.</w:t>
      </w:r>
    </w:p>
    <w:p>
      <w:pPr>
        <w:spacing w:before="160" w:after="80"/>
        <w:jc w:val="center"/>
      </w:pPr>
      <w:r>
        <w:drawing>
          <wp:inline xmlns:a="http://schemas.openxmlformats.org/drawingml/2006/main" xmlns:pic="http://schemas.openxmlformats.org/drawingml/2006/picture">
            <wp:extent cx="5852160" cy="3337560"/>
            <wp:docPr id="1" name="Picture 1"/>
            <wp:cNvGraphicFramePr>
              <a:graphicFrameLocks noChangeAspect="1"/>
            </wp:cNvGraphicFramePr>
            <a:graphic>
              <a:graphicData uri="http://schemas.openxmlformats.org/drawingml/2006/picture">
                <pic:pic>
                  <pic:nvPicPr>
                    <pic:cNvPr id="0" name="fig1_geospatial_station_network.png"/>
                    <pic:cNvPicPr/>
                  </pic:nvPicPr>
                  <pic:blipFill>
                    <a:blip r:embed="rId9"/>
                    <a:stretch>
                      <a:fillRect/>
                    </a:stretch>
                  </pic:blipFill>
                  <pic:spPr>
                    <a:xfrm>
                      <a:off x="0" y="0"/>
                      <a:ext cx="5852160" cy="3337560"/>
                    </a:xfrm>
                    <a:prstGeom prst="rect"/>
                  </pic:spPr>
                </pic:pic>
              </a:graphicData>
            </a:graphic>
          </wp:inline>
        </w:drawing>
      </w:r>
    </w:p>
    <w:p>
      <w:pPr>
        <w:spacing w:before="40" w:after="200" w:line="276" w:lineRule="auto"/>
        <w:jc w:val="both"/>
      </w:pPr>
      <w:r>
        <w:rPr>
          <w:rFonts w:ascii="Arial" w:hAnsi="Arial"/>
          <w:b/>
          <w:color w:val="141414"/>
          <w:sz w:val="17"/>
        </w:rPr>
        <w:t>Fig. 1. Geospatial station topology and physical sensor network of the India Weather Intelligence platform, depicting 413 canonical physical weather stations active across 32 Indian States and Union Territories (calibrated Indian subcontinent bounds: 6.5°N–37.5°N, 68.0°E–97.5°E).</w:t>
      </w:r>
    </w:p>
    <w:p>
      <w:pPr>
        <w:spacing w:before="280" w:after="80" w:line="276" w:lineRule="auto"/>
        <w:jc w:val="left"/>
      </w:pPr>
      <w:r>
        <w:rPr>
          <w:rFonts w:ascii="Arial" w:hAnsi="Arial"/>
          <w:b/>
          <w:i w:val="0"/>
          <w:color w:val="141414"/>
          <w:sz w:val="22"/>
        </w:rPr>
        <w:t>Atmospheric observations and exploratory data analysis</w:t>
      </w:r>
    </w:p>
    <w:p>
      <w:pPr>
        <w:spacing w:before="0" w:after="80" w:line="276" w:lineRule="auto"/>
        <w:jc w:val="both"/>
      </w:pPr>
      <w:r>
        <w:rPr>
          <w:rFonts w:ascii="Arial" w:hAnsi="Arial"/>
          <w:b w:val="0"/>
          <w:i w:val="0"/>
          <w:color w:val="232323"/>
          <w:sz w:val="19"/>
        </w:rPr>
        <w:t>Meteorological time-series exhibits severe non-stationarity, high diurnal variance, and heavy zero-inflation in precipitation records. To establish rigorous baseline representations, the system ingested daily historical records across all 413 stations spanning multi-decadal observation windows. Raw datasets were audited for sensor drift, calibration anomalies, and duplicate station names, producing the consolidated canonical Parquet panel (canonical_weather_full.parquet).</w:t>
      </w:r>
    </w:p>
    <w:p>
      <w:pPr>
        <w:spacing w:before="200" w:after="60" w:line="276" w:lineRule="auto"/>
        <w:jc w:val="left"/>
      </w:pPr>
      <w:r>
        <w:rPr>
          <w:rFonts w:ascii="Arial" w:hAnsi="Arial"/>
          <w:b/>
          <w:i w:val="0"/>
          <w:color w:val="1F4E79"/>
          <w:sz w:val="20"/>
        </w:rPr>
        <w:t>Diurnal Temperature Envelopes</w:t>
      </w:r>
    </w:p>
    <w:p>
      <w:pPr>
        <w:spacing w:before="0" w:after="80" w:line="276" w:lineRule="auto"/>
        <w:jc w:val="both"/>
      </w:pPr>
      <w:r>
        <w:rPr>
          <w:rFonts w:ascii="Arial" w:hAnsi="Arial"/>
          <w:b w:val="0"/>
          <w:i w:val="0"/>
          <w:color w:val="232323"/>
          <w:sz w:val="19"/>
        </w:rPr>
        <w:t>Surface air temperature fluctuates cyclically as a function of incoming solar shortwave radiation and nocturnal longwave radiative cooling. To capture this thermal oscillation without loss of fidelity, the system models the diurnal temperature envelope defined by daily minimum (Tmin) and maximum (Tmax) extremes alongside the daily mean (Tavg). The diurnal temperature range (DTR) at station s on day t is given by:</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8640"/>
        <w:gridCol w:w="1440"/>
      </w:tblGrid>
      <w:tr>
        <w:tc>
          <w:tcPr>
            <w:tcW w:type="dxa" w:w="5040"/>
            <w:shd w:fill="F9FAFB"/>
            <w:tcMar>
              <w:top w:w="60" w:type="dxa"/>
              <w:bottom w:w="60" w:type="dxa"/>
              <w:left w:w="140" w:type="dxa"/>
              <w:right w:w="60" w:type="dxa"/>
            </w:tcMar>
          </w:tcPr>
          <w:p>
            <w:pPr>
              <w:spacing w:before="40" w:after="40"/>
              <w:jc w:val="left"/>
            </w:pPr>
            <w:r>
              <w:rPr>
                <w:rFonts w:ascii="Cambria Math" w:hAnsi="Cambria Math"/>
                <w:i/>
                <w:color w:val="1F4E79"/>
                <w:sz w:val="19"/>
              </w:rPr>
              <w:t>\text{DTR}_{s,t} = T_{\max,s,t} - T_{\min,s,t}</w:t>
            </w:r>
          </w:p>
        </w:tc>
        <w:tc>
          <w:tcPr>
            <w:tcW w:type="dxa" w:w="5040"/>
            <w:shd w:fill="F9FAFB"/>
            <w:tcMar>
              <w:top w:w="60" w:type="dxa"/>
              <w:bottom w:w="60" w:type="dxa"/>
              <w:left w:w="60" w:type="dxa"/>
              <w:right w:w="140" w:type="dxa"/>
            </w:tcMar>
          </w:tcPr>
          <w:p>
            <w:pPr>
              <w:spacing w:before="40" w:after="40"/>
              <w:jc w:val="right"/>
            </w:pPr>
            <w:r>
              <w:rPr>
                <w:rFonts w:ascii="Arial" w:hAnsi="Arial"/>
                <w:b/>
                <w:color w:val="5A5A5A"/>
                <w:sz w:val="18"/>
              </w:rPr>
              <w:t>(2)</w:t>
            </w:r>
          </w:p>
        </w:tc>
      </w:tr>
    </w:tbl>
    <w:p>
      <w:pPr>
        <w:spacing w:before="0" w:after="80"/>
      </w:pPr>
    </w:p>
    <w:p>
      <w:pPr>
        <w:spacing w:before="0" w:after="80" w:line="276" w:lineRule="auto"/>
        <w:jc w:val="both"/>
      </w:pPr>
      <w:r>
        <w:rPr>
          <w:rFonts w:ascii="Arial" w:hAnsi="Arial"/>
          <w:b w:val="0"/>
          <w:i w:val="0"/>
          <w:color w:val="232323"/>
          <w:sz w:val="19"/>
        </w:rPr>
        <w:t>Fig. 2 illustrates the empirical temperature envelope and daily average trend curve across seasonal transitions, highlighting the wide diurnal amplitude bands and winter cold-wave dips captured by the canonical station network.</w:t>
      </w:r>
    </w:p>
    <w:p>
      <w:pPr>
        <w:spacing w:before="160" w:after="80"/>
        <w:jc w:val="center"/>
      </w:pPr>
      <w:r>
        <w:drawing>
          <wp:inline xmlns:a="http://schemas.openxmlformats.org/drawingml/2006/main" xmlns:pic="http://schemas.openxmlformats.org/drawingml/2006/picture">
            <wp:extent cx="5852160" cy="2805417"/>
            <wp:docPr id="2" name="Picture 2"/>
            <wp:cNvGraphicFramePr>
              <a:graphicFrameLocks noChangeAspect="1"/>
            </wp:cNvGraphicFramePr>
            <a:graphic>
              <a:graphicData uri="http://schemas.openxmlformats.org/drawingml/2006/picture">
                <pic:pic>
                  <pic:nvPicPr>
                    <pic:cNvPr id="0" name="fig2_temperature_diurnal_envelope.jpg"/>
                    <pic:cNvPicPr/>
                  </pic:nvPicPr>
                  <pic:blipFill>
                    <a:blip r:embed="rId10"/>
                    <a:stretch>
                      <a:fillRect/>
                    </a:stretch>
                  </pic:blipFill>
                  <pic:spPr>
                    <a:xfrm>
                      <a:off x="0" y="0"/>
                      <a:ext cx="5852160" cy="2805417"/>
                    </a:xfrm>
                    <a:prstGeom prst="rect"/>
                  </pic:spPr>
                </pic:pic>
              </a:graphicData>
            </a:graphic>
          </wp:inline>
        </w:drawing>
      </w:r>
    </w:p>
    <w:p>
      <w:pPr>
        <w:spacing w:before="40" w:after="200" w:line="276" w:lineRule="auto"/>
        <w:jc w:val="both"/>
      </w:pPr>
      <w:r>
        <w:rPr>
          <w:rFonts w:ascii="Arial" w:hAnsi="Arial"/>
          <w:b/>
          <w:color w:val="141414"/>
          <w:sz w:val="17"/>
        </w:rPr>
        <w:t>Fig. 2. Diurnal temperature envelope and daily average trend curve showing historical minimum/maximum temperature range shading across observation periods, capturing synoptic cold waves and diurnal thermal dynamics.</w:t>
      </w:r>
    </w:p>
    <w:p>
      <w:pPr>
        <w:spacing w:before="200" w:after="60" w:line="276" w:lineRule="auto"/>
        <w:jc w:val="left"/>
      </w:pPr>
      <w:r>
        <w:rPr>
          <w:rFonts w:ascii="Arial" w:hAnsi="Arial"/>
          <w:b/>
          <w:i w:val="0"/>
          <w:color w:val="1F4E79"/>
          <w:sz w:val="20"/>
        </w:rPr>
        <w:t>Zero-Heavy Precipitation Distribution &amp; Dry-Day Auditing</w:t>
      </w:r>
    </w:p>
    <w:p>
      <w:pPr>
        <w:spacing w:before="0" w:after="80" w:line="276" w:lineRule="auto"/>
        <w:jc w:val="both"/>
      </w:pPr>
      <w:r>
        <w:rPr>
          <w:rFonts w:ascii="Arial" w:hAnsi="Arial"/>
          <w:b w:val="0"/>
          <w:i w:val="0"/>
          <w:color w:val="232323"/>
          <w:sz w:val="19"/>
        </w:rPr>
        <w:t>Rainfall modeling in monsoonal climates presents severe statistical skewness: across typical Indian stations, over 70% to 85% of calendar days experience zero measurable precipitation (dry days). A critical vulnerability in operational meteorological pipelines is the erroneous conflation of missing telemetry (null) with true zero precipitation (0.0 mm). Our ingestion pipeline applies a strict Zero-Heavy Audited classification filter:</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8640"/>
        <w:gridCol w:w="1440"/>
      </w:tblGrid>
      <w:tr>
        <w:tc>
          <w:tcPr>
            <w:tcW w:type="dxa" w:w="5040"/>
            <w:shd w:fill="F9FAFB"/>
            <w:tcMar>
              <w:top w:w="60" w:type="dxa"/>
              <w:bottom w:w="60" w:type="dxa"/>
              <w:left w:w="140" w:type="dxa"/>
              <w:right w:w="60" w:type="dxa"/>
            </w:tcMar>
          </w:tcPr>
          <w:p>
            <w:pPr>
              <w:spacing w:before="40" w:after="40"/>
              <w:jc w:val="left"/>
            </w:pPr>
            <w:r>
              <w:rPr>
                <w:rFonts w:ascii="Cambria Math" w:hAnsi="Cambria Math"/>
                <w:i/>
                <w:color w:val="1F4E79"/>
                <w:sz w:val="19"/>
              </w:rPr>
              <w:t>R_{s,t} \in \begin{cases} \{0.0\text{ mm}\} &amp; \text{if verified dry observation} \\ (0.0, \infty)\text{ mm} &amp; \text{if active precipitation event} \\ \text{null} &amp; \text{if sensor failure / telemetry missing} \end{cases}</w:t>
            </w:r>
          </w:p>
        </w:tc>
        <w:tc>
          <w:tcPr>
            <w:tcW w:type="dxa" w:w="5040"/>
            <w:shd w:fill="F9FAFB"/>
            <w:tcMar>
              <w:top w:w="60" w:type="dxa"/>
              <w:bottom w:w="60" w:type="dxa"/>
              <w:left w:w="60" w:type="dxa"/>
              <w:right w:w="140" w:type="dxa"/>
            </w:tcMar>
          </w:tcPr>
          <w:p>
            <w:pPr>
              <w:spacing w:before="40" w:after="40"/>
              <w:jc w:val="right"/>
            </w:pPr>
            <w:r>
              <w:rPr>
                <w:rFonts w:ascii="Arial" w:hAnsi="Arial"/>
                <w:b/>
                <w:color w:val="5A5A5A"/>
                <w:sz w:val="18"/>
              </w:rPr>
              <w:t>(3)</w:t>
            </w:r>
          </w:p>
        </w:tc>
      </w:tr>
    </w:tbl>
    <w:p>
      <w:pPr>
        <w:spacing w:before="0" w:after="80"/>
      </w:pPr>
    </w:p>
    <w:p>
      <w:pPr>
        <w:spacing w:before="0" w:after="80" w:line="276" w:lineRule="auto"/>
        <w:jc w:val="both"/>
      </w:pPr>
      <w:r>
        <w:rPr>
          <w:rFonts w:ascii="Arial" w:hAnsi="Arial"/>
          <w:b w:val="0"/>
          <w:i w:val="0"/>
          <w:color w:val="232323"/>
          <w:sz w:val="19"/>
        </w:rPr>
        <w:t>By preserving null as missing data rather than substituting artificial zeros, the system avoids distorting rainfall occurrence frequencies. Fig. 3 depicts an audited 365-day annual precipitation sequence, highlighting the distinction between active convective rainfall spikes during the summer monsoon (exceeding 20 mm/day) and verified dry winter baselines.</w:t>
      </w:r>
    </w:p>
    <w:p>
      <w:pPr>
        <w:spacing w:before="160" w:after="80"/>
        <w:jc w:val="center"/>
      </w:pPr>
      <w:r>
        <w:drawing>
          <wp:inline xmlns:a="http://schemas.openxmlformats.org/drawingml/2006/main" xmlns:pic="http://schemas.openxmlformats.org/drawingml/2006/picture">
            <wp:extent cx="5852160" cy="2886075"/>
            <wp:docPr id="3" name="Picture 3"/>
            <wp:cNvGraphicFramePr>
              <a:graphicFrameLocks noChangeAspect="1"/>
            </wp:cNvGraphicFramePr>
            <a:graphic>
              <a:graphicData uri="http://schemas.openxmlformats.org/drawingml/2006/picture">
                <pic:pic>
                  <pic:nvPicPr>
                    <pic:cNvPr id="0" name="fig3_precipitation_sequence_hyetograph.png"/>
                    <pic:cNvPicPr/>
                  </pic:nvPicPr>
                  <pic:blipFill>
                    <a:blip r:embed="rId11"/>
                    <a:stretch>
                      <a:fillRect/>
                    </a:stretch>
                  </pic:blipFill>
                  <pic:spPr>
                    <a:xfrm>
                      <a:off x="0" y="0"/>
                      <a:ext cx="5852160" cy="2886075"/>
                    </a:xfrm>
                    <a:prstGeom prst="rect"/>
                  </pic:spPr>
                </pic:pic>
              </a:graphicData>
            </a:graphic>
          </wp:inline>
        </w:drawing>
      </w:r>
    </w:p>
    <w:p>
      <w:pPr>
        <w:spacing w:before="40" w:after="200" w:line="276" w:lineRule="auto"/>
        <w:jc w:val="both"/>
      </w:pPr>
      <w:r>
        <w:rPr>
          <w:rFonts w:ascii="Arial" w:hAnsi="Arial"/>
          <w:b/>
          <w:color w:val="141414"/>
          <w:sz w:val="17"/>
        </w:rPr>
        <w:t>Fig. 3. 365-day annual precipitation hyetograph sequence with zero-heavy audited observations, establishing empirical discrimination between true dry days (0.0 mm) and missing gauge observations (null).</w:t>
      </w:r>
    </w:p>
    <w:p>
      <w:pPr>
        <w:spacing w:before="280" w:after="80" w:line="276" w:lineRule="auto"/>
        <w:jc w:val="left"/>
      </w:pPr>
      <w:r>
        <w:rPr>
          <w:rFonts w:ascii="Arial" w:hAnsi="Arial"/>
          <w:b/>
          <w:i w:val="0"/>
          <w:color w:val="141414"/>
          <w:sz w:val="22"/>
        </w:rPr>
        <w:t>Direct multi-horizon machine learning forecasting engine</w:t>
      </w:r>
    </w:p>
    <w:p>
      <w:pPr>
        <w:spacing w:before="0" w:after="80" w:line="276" w:lineRule="auto"/>
        <w:jc w:val="both"/>
      </w:pPr>
      <w:r>
        <w:rPr>
          <w:rFonts w:ascii="Arial" w:hAnsi="Arial"/>
          <w:b w:val="0"/>
          <w:i w:val="0"/>
          <w:color w:val="232323"/>
          <w:sz w:val="19"/>
        </w:rPr>
        <w:t>Standard multi-step forecasting models deploy recursive autoregression, where predictions at lead time t+1 are fed back into the model to predict t+2. In chaotic atmospheric dynamical systems, recursive feedback causes errors to compound exponentially: small initial temperature or moisture biases trigger massive divergences after 48 to 72 hours. To achieve stable, non-divergent medium-range forecasts, our architecture implements a Direct Multi-Horizon Strategy deploying 84 distinct, independently optimized XGBoost gradient-boosted decision tree models.</w:t>
      </w:r>
    </w:p>
    <w:p>
      <w:pPr>
        <w:spacing w:before="0" w:after="80" w:line="276" w:lineRule="auto"/>
        <w:jc w:val="both"/>
      </w:pPr>
      <w:r>
        <w:rPr>
          <w:rFonts w:ascii="Arial" w:hAnsi="Arial"/>
          <w:b w:val="0"/>
          <w:i w:val="0"/>
          <w:color w:val="232323"/>
          <w:sz w:val="19"/>
        </w:rPr>
        <w:t>For each forward horizon h in {1, 2, ..., 12} days and each meteorological target variable y in {Tavg, Tmin, Tmax, RainClass, RainAmount, WindSpeed, Pressure}, a dedicated regression or classification model f_h is trained:</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8640"/>
        <w:gridCol w:w="1440"/>
      </w:tblGrid>
      <w:tr>
        <w:tc>
          <w:tcPr>
            <w:tcW w:type="dxa" w:w="5040"/>
            <w:shd w:fill="F9FAFB"/>
            <w:tcMar>
              <w:top w:w="60" w:type="dxa"/>
              <w:bottom w:w="60" w:type="dxa"/>
              <w:left w:w="140" w:type="dxa"/>
              <w:right w:w="60" w:type="dxa"/>
            </w:tcMar>
          </w:tcPr>
          <w:p>
            <w:pPr>
              <w:spacing w:before="40" w:after="40"/>
              <w:jc w:val="left"/>
            </w:pPr>
            <w:r>
              <w:rPr>
                <w:rFonts w:ascii="Cambria Math" w:hAnsi="Cambria Math"/>
                <w:i/>
                <w:color w:val="1F4E79"/>
                <w:sz w:val="19"/>
              </w:rPr>
              <w:t>\hat{y}_{s, t+h} = f_{h}^{(y)}\left( \mathbf{X}_{s,t}, \text{DOY}_{\sin, t+h}, \text{DOY}_{\cos, t+h}, \Phi_s \right)</w:t>
            </w:r>
          </w:p>
        </w:tc>
        <w:tc>
          <w:tcPr>
            <w:tcW w:type="dxa" w:w="5040"/>
            <w:shd w:fill="F9FAFB"/>
            <w:tcMar>
              <w:top w:w="60" w:type="dxa"/>
              <w:bottom w:w="60" w:type="dxa"/>
              <w:left w:w="60" w:type="dxa"/>
              <w:right w:w="140" w:type="dxa"/>
            </w:tcMar>
          </w:tcPr>
          <w:p>
            <w:pPr>
              <w:spacing w:before="40" w:after="40"/>
              <w:jc w:val="right"/>
            </w:pPr>
            <w:r>
              <w:rPr>
                <w:rFonts w:ascii="Arial" w:hAnsi="Arial"/>
                <w:b/>
                <w:color w:val="5A5A5A"/>
                <w:sz w:val="18"/>
              </w:rPr>
              <w:t>(4)</w:t>
            </w:r>
          </w:p>
        </w:tc>
      </w:tr>
    </w:tbl>
    <w:p>
      <w:pPr>
        <w:spacing w:before="0" w:after="80"/>
      </w:pPr>
    </w:p>
    <w:p>
      <w:pPr>
        <w:spacing w:before="0" w:after="80" w:line="276" w:lineRule="auto"/>
        <w:jc w:val="both"/>
      </w:pPr>
      <w:r>
        <w:rPr>
          <w:rFonts w:ascii="Arial" w:hAnsi="Arial"/>
          <w:b w:val="0"/>
          <w:i w:val="0"/>
          <w:color w:val="232323"/>
          <w:sz w:val="19"/>
        </w:rPr>
        <w:t>where X_{s,t} denotes the lagged observation vector at origin time t, Phi_s represents station-specific static geographical coordinates (Latitude, Longitude, Elevation), and the future seasonal calendar harmonics are defined by:</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8640"/>
        <w:gridCol w:w="1440"/>
      </w:tblGrid>
      <w:tr>
        <w:tc>
          <w:tcPr>
            <w:tcW w:type="dxa" w:w="5040"/>
            <w:shd w:fill="F9FAFB"/>
            <w:tcMar>
              <w:top w:w="60" w:type="dxa"/>
              <w:bottom w:w="60" w:type="dxa"/>
              <w:left w:w="140" w:type="dxa"/>
              <w:right w:w="60" w:type="dxa"/>
            </w:tcMar>
          </w:tcPr>
          <w:p>
            <w:pPr>
              <w:spacing w:before="40" w:after="40"/>
              <w:jc w:val="left"/>
            </w:pPr>
            <w:r>
              <w:rPr>
                <w:rFonts w:ascii="Cambria Math" w:hAnsi="Cambria Math"/>
                <w:i/>
                <w:color w:val="1F4E79"/>
                <w:sz w:val="19"/>
              </w:rPr>
              <w:t>\text{DOY}_{\sin, t+h} = \sin\left( \frac{2\pi \cdot \text{DOY}_{t+h}}{365.25} \right), \quad \text{DOY}_{\cos, t+h} = \cos\left( \frac{2\pi \cdot \text{DOY}_{t+h}}{365.25} \right)</w:t>
            </w:r>
          </w:p>
        </w:tc>
        <w:tc>
          <w:tcPr>
            <w:tcW w:type="dxa" w:w="5040"/>
            <w:shd w:fill="F9FAFB"/>
            <w:tcMar>
              <w:top w:w="60" w:type="dxa"/>
              <w:bottom w:w="60" w:type="dxa"/>
              <w:left w:w="60" w:type="dxa"/>
              <w:right w:w="140" w:type="dxa"/>
            </w:tcMar>
          </w:tcPr>
          <w:p>
            <w:pPr>
              <w:spacing w:before="40" w:after="40"/>
              <w:jc w:val="right"/>
            </w:pPr>
            <w:r>
              <w:rPr>
                <w:rFonts w:ascii="Arial" w:hAnsi="Arial"/>
                <w:b/>
                <w:color w:val="5A5A5A"/>
                <w:sz w:val="18"/>
              </w:rPr>
              <w:t>(5)</w:t>
            </w:r>
          </w:p>
        </w:tc>
      </w:tr>
    </w:tbl>
    <w:p>
      <w:pPr>
        <w:spacing w:before="0" w:after="80"/>
      </w:pPr>
    </w:p>
    <w:p>
      <w:pPr>
        <w:spacing w:before="0" w:after="80" w:line="276" w:lineRule="auto"/>
        <w:jc w:val="both"/>
      </w:pPr>
      <w:r>
        <w:rPr>
          <w:rFonts w:ascii="Arial" w:hAnsi="Arial"/>
          <w:b w:val="0"/>
          <w:i w:val="0"/>
          <w:color w:val="232323"/>
          <w:sz w:val="19"/>
        </w:rPr>
        <w:t>Because each horizon h models target-date calendar harmonics directly, the input feature vector X(D+1) != X(D+2) != ... != X(D+12), allowing each model to independently learn horizon-specific synoptic persistence and seasonal climatology without recursive degradation.</w:t>
      </w:r>
    </w:p>
    <w:p>
      <w:pPr>
        <w:spacing w:before="200" w:after="60" w:line="276" w:lineRule="auto"/>
        <w:jc w:val="left"/>
      </w:pPr>
      <w:r>
        <w:rPr>
          <w:rFonts w:ascii="Arial" w:hAnsi="Arial"/>
          <w:b/>
          <w:i w:val="0"/>
          <w:color w:val="1F4E79"/>
          <w:sz w:val="20"/>
        </w:rPr>
        <w:t>Thermodynamic Physical Constraint Guardrails</w:t>
      </w:r>
    </w:p>
    <w:p>
      <w:pPr>
        <w:spacing w:before="0" w:after="80" w:line="276" w:lineRule="auto"/>
        <w:jc w:val="both"/>
      </w:pPr>
      <w:r>
        <w:rPr>
          <w:rFonts w:ascii="Arial" w:hAnsi="Arial"/>
          <w:b w:val="0"/>
          <w:i w:val="0"/>
          <w:color w:val="232323"/>
          <w:sz w:val="19"/>
        </w:rPr>
        <w:t>Unconstrained machine learning regressors optimize statistical objective functions independently, which can yield unphysical predictions under extreme atmospheric conditions. To guarantee thermodynamic validity, all model outputs pass through a deterministic Physical Guardrail Filter before serving:</w:t>
      </w:r>
    </w:p>
    <w:p>
      <w:pPr>
        <w:pStyle w:val="ListBullet"/>
        <w:spacing w:before="20" w:after="60" w:line="276" w:lineRule="auto"/>
        <w:jc w:val="both"/>
      </w:pPr>
      <w:r>
        <w:rPr>
          <w:rFonts w:ascii="Arial" w:hAnsi="Arial"/>
          <w:b/>
          <w:color w:val="141414"/>
          <w:sz w:val="19"/>
        </w:rPr>
        <w:t xml:space="preserve">1. Thermal Consistency Enforcement: </w:t>
      </w:r>
      <w:r>
        <w:rPr>
          <w:rFonts w:ascii="Arial" w:hAnsi="Arial"/>
          <w:color w:val="232323"/>
          <w:sz w:val="19"/>
        </w:rPr>
        <w:t>Ensures strict physical ordering: Tmin &lt;= Tavg &lt;= Tmax. If a model predicts Tmin &gt; Tavg or Tavg &gt; Tmax due to edge-case residual variance, the guardrail deterministically normalizes the bounds: Tmin = min(Tmin, Tavg), Tmax = max(Tmax, Tavg).</w:t>
      </w:r>
    </w:p>
    <w:p>
      <w:pPr>
        <w:pStyle w:val="ListBullet"/>
        <w:spacing w:before="20" w:after="60" w:line="276" w:lineRule="auto"/>
        <w:jc w:val="both"/>
      </w:pPr>
      <w:r>
        <w:rPr>
          <w:rFonts w:ascii="Arial" w:hAnsi="Arial"/>
          <w:b/>
          <w:color w:val="141414"/>
          <w:sz w:val="19"/>
        </w:rPr>
        <w:t xml:space="preserve">2. Non-Negative Precipitation Clamping: </w:t>
      </w:r>
      <w:r>
        <w:rPr>
          <w:rFonts w:ascii="Arial" w:hAnsi="Arial"/>
          <w:color w:val="232323"/>
          <w:sz w:val="19"/>
        </w:rPr>
        <w:t>Ensures quantitative precipitation estimates cannot be negative: Rainfall = max(0.0, QPE).</w:t>
      </w:r>
    </w:p>
    <w:p>
      <w:pPr>
        <w:pStyle w:val="ListBullet"/>
        <w:spacing w:before="20" w:after="60" w:line="276" w:lineRule="auto"/>
        <w:jc w:val="both"/>
      </w:pPr>
      <w:r>
        <w:rPr>
          <w:rFonts w:ascii="Arial" w:hAnsi="Arial"/>
          <w:b/>
          <w:color w:val="141414"/>
          <w:sz w:val="19"/>
        </w:rPr>
        <w:t xml:space="preserve">3. Bounded Rain Probability: </w:t>
      </w:r>
      <w:r>
        <w:rPr>
          <w:rFonts w:ascii="Arial" w:hAnsi="Arial"/>
          <w:color w:val="232323"/>
          <w:sz w:val="19"/>
        </w:rPr>
        <w:t>Restricts logistic precipitation probabilities to valid bounds: 0.0 &lt;= PoP &lt;= 1.0 (0% &lt;= PoP &lt;= 100%).</w:t>
      </w:r>
    </w:p>
    <w:p>
      <w:pPr>
        <w:pStyle w:val="ListBullet"/>
        <w:spacing w:before="20" w:after="60" w:line="276" w:lineRule="auto"/>
        <w:jc w:val="both"/>
      </w:pPr>
      <w:r>
        <w:rPr>
          <w:rFonts w:ascii="Arial" w:hAnsi="Arial"/>
          <w:b/>
          <w:color w:val="141414"/>
          <w:sz w:val="19"/>
        </w:rPr>
        <w:t xml:space="preserve">4. Two-Stage Precipitation Gating: </w:t>
      </w:r>
      <w:r>
        <w:rPr>
          <w:rFonts w:ascii="Arial" w:hAnsi="Arial"/>
          <w:color w:val="232323"/>
          <w:sz w:val="19"/>
        </w:rPr>
        <w:t>If the classification model predicts binary RainClass = 0 (Probability &lt; 0.35), the continuous quantitative precipitation amount is automatically gated to 0.0 mm, eliminating false-positive drizzle noise.</w:t>
      </w:r>
    </w:p>
    <w:p>
      <w:pPr>
        <w:spacing w:before="280" w:after="80" w:line="276" w:lineRule="auto"/>
        <w:jc w:val="left"/>
      </w:pPr>
      <w:r>
        <w:rPr>
          <w:rFonts w:ascii="Arial" w:hAnsi="Arial"/>
          <w:b/>
          <w:i w:val="0"/>
          <w:color w:val="141414"/>
          <w:sz w:val="22"/>
        </w:rPr>
        <w:t>Forecast skill degradation and empirical evaluation</w:t>
      </w:r>
    </w:p>
    <w:p>
      <w:pPr>
        <w:spacing w:before="0" w:after="80" w:line="276" w:lineRule="auto"/>
        <w:jc w:val="both"/>
      </w:pPr>
      <w:r>
        <w:rPr>
          <w:rFonts w:ascii="Arial" w:hAnsi="Arial"/>
          <w:b w:val="0"/>
          <w:i w:val="0"/>
          <w:color w:val="232323"/>
          <w:sz w:val="19"/>
        </w:rPr>
        <w:t>The system was evaluated using strict walk-forward temporal cross-validation on an out-of-time 2025 holdout partition (spanning January through February 2025 across all 413 stations). This prevents future lookahead leakage and tests real-world operational predictive skill.</w:t>
      </w:r>
    </w:p>
    <w:p>
      <w:pPr>
        <w:spacing w:before="200" w:after="60" w:line="276" w:lineRule="auto"/>
        <w:jc w:val="left"/>
      </w:pPr>
      <w:r>
        <w:rPr>
          <w:rFonts w:ascii="Arial" w:hAnsi="Arial"/>
          <w:b/>
          <w:i w:val="0"/>
          <w:color w:val="1F4E79"/>
          <w:sz w:val="20"/>
        </w:rPr>
        <w:t>Phase 3 Benchmark Comparison (Next-Day T+1)</w:t>
      </w:r>
    </w:p>
    <w:p>
      <w:pPr>
        <w:spacing w:before="0" w:after="80" w:line="276" w:lineRule="auto"/>
        <w:jc w:val="both"/>
      </w:pPr>
      <w:r>
        <w:rPr>
          <w:rFonts w:ascii="Arial" w:hAnsi="Arial"/>
          <w:b w:val="0"/>
          <w:i w:val="0"/>
          <w:color w:val="232323"/>
          <w:sz w:val="19"/>
        </w:rPr>
        <w:t>To benchmark model efficacy, our Phase 3 development evaluated three competitive candidate architectures: (1) Persistence Baseline (y_{t+1} = y_t), (2) XGBoost Gradient Boosted Regressor, and (3) PyTorch Long Short-Term Memory (LSTM) Recurrent Neural Network. The empirical holdout results across 413 stations are tabulated in Table 2.</w:t>
      </w:r>
    </w:p>
    <w:p>
      <w:pPr>
        <w:spacing w:before="160" w:after="40"/>
        <w:jc w:val="left"/>
      </w:pPr>
      <w:r>
        <w:rPr>
          <w:rFonts w:ascii="Arial" w:hAnsi="Arial"/>
          <w:b/>
          <w:color w:val="141414"/>
          <w:sz w:val="17"/>
        </w:rPr>
        <w:t>Table 2. Phase 3 Empirical Benchmark Performance on Out-of-Time Holdout Partition (Lead Time T+1).</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160"/>
        <w:gridCol w:w="1584"/>
        <w:gridCol w:w="1584"/>
        <w:gridCol w:w="1584"/>
        <w:gridCol w:w="1584"/>
        <w:gridCol w:w="1584"/>
      </w:tblGrid>
      <w:tr>
        <w:tc>
          <w:tcPr>
            <w:tcW w:type="dxa" w:w="1680"/>
            <w:shd w:fill="1F4E79"/>
            <w:tcMar>
              <w:top w:w="60" w:type="dxa"/>
              <w:bottom w:w="60" w:type="dxa"/>
              <w:left w:w="60" w:type="dxa"/>
              <w:right w:w="60" w:type="dxa"/>
            </w:tcMar>
          </w:tcPr>
          <w:p>
            <w:pPr>
              <w:spacing w:before="20" w:after="20" w:line="252" w:lineRule="auto"/>
              <w:jc w:val="left"/>
            </w:pPr>
            <w:r>
              <w:rPr>
                <w:rFonts w:ascii="Arial" w:hAnsi="Arial"/>
                <w:b/>
                <w:color w:val="FFFFFF"/>
                <w:sz w:val="16"/>
              </w:rPr>
              <w:t>Target Meteorological Variable</w:t>
            </w:r>
          </w:p>
        </w:tc>
        <w:tc>
          <w:tcPr>
            <w:tcW w:type="dxa" w:w="1680"/>
            <w:shd w:fill="1F4E79"/>
            <w:tcMar>
              <w:top w:w="60" w:type="dxa"/>
              <w:bottom w:w="60" w:type="dxa"/>
              <w:left w:w="60" w:type="dxa"/>
              <w:right w:w="60" w:type="dxa"/>
            </w:tcMar>
          </w:tcPr>
          <w:p>
            <w:pPr>
              <w:spacing w:before="20" w:after="20" w:line="252" w:lineRule="auto"/>
              <w:jc w:val="left"/>
            </w:pPr>
            <w:r>
              <w:rPr>
                <w:rFonts w:ascii="Arial" w:hAnsi="Arial"/>
                <w:b/>
                <w:color w:val="FFFFFF"/>
                <w:sz w:val="16"/>
              </w:rPr>
              <w:t>Evaluation Metric</w:t>
            </w:r>
          </w:p>
        </w:tc>
        <w:tc>
          <w:tcPr>
            <w:tcW w:type="dxa" w:w="1680"/>
            <w:shd w:fill="1F4E79"/>
            <w:tcMar>
              <w:top w:w="60" w:type="dxa"/>
              <w:bottom w:w="60" w:type="dxa"/>
              <w:left w:w="60" w:type="dxa"/>
              <w:right w:w="60" w:type="dxa"/>
            </w:tcMar>
          </w:tcPr>
          <w:p>
            <w:pPr>
              <w:spacing w:before="20" w:after="20" w:line="252" w:lineRule="auto"/>
              <w:jc w:val="left"/>
            </w:pPr>
            <w:r>
              <w:rPr>
                <w:rFonts w:ascii="Arial" w:hAnsi="Arial"/>
                <w:b/>
                <w:color w:val="FFFFFF"/>
                <w:sz w:val="16"/>
              </w:rPr>
              <w:t>Persistence Baseline</w:t>
            </w:r>
          </w:p>
        </w:tc>
        <w:tc>
          <w:tcPr>
            <w:tcW w:type="dxa" w:w="1680"/>
            <w:shd w:fill="1F4E79"/>
            <w:tcMar>
              <w:top w:w="60" w:type="dxa"/>
              <w:bottom w:w="60" w:type="dxa"/>
              <w:left w:w="60" w:type="dxa"/>
              <w:right w:w="60" w:type="dxa"/>
            </w:tcMar>
          </w:tcPr>
          <w:p>
            <w:pPr>
              <w:spacing w:before="20" w:after="20" w:line="252" w:lineRule="auto"/>
              <w:jc w:val="left"/>
            </w:pPr>
            <w:r>
              <w:rPr>
                <w:rFonts w:ascii="Arial" w:hAnsi="Arial"/>
                <w:b/>
                <w:color w:val="FFFFFF"/>
                <w:sz w:val="16"/>
              </w:rPr>
              <w:t>XGBoost Regressor</w:t>
            </w:r>
          </w:p>
        </w:tc>
        <w:tc>
          <w:tcPr>
            <w:tcW w:type="dxa" w:w="1680"/>
            <w:shd w:fill="1F4E79"/>
            <w:tcMar>
              <w:top w:w="60" w:type="dxa"/>
              <w:bottom w:w="60" w:type="dxa"/>
              <w:left w:w="60" w:type="dxa"/>
              <w:right w:w="60" w:type="dxa"/>
            </w:tcMar>
          </w:tcPr>
          <w:p>
            <w:pPr>
              <w:spacing w:before="20" w:after="20" w:line="252" w:lineRule="auto"/>
              <w:jc w:val="left"/>
            </w:pPr>
            <w:r>
              <w:rPr>
                <w:rFonts w:ascii="Arial" w:hAnsi="Arial"/>
                <w:b/>
                <w:color w:val="FFFFFF"/>
                <w:sz w:val="16"/>
              </w:rPr>
              <w:t>PyTorch LSTM</w:t>
            </w:r>
          </w:p>
        </w:tc>
        <w:tc>
          <w:tcPr>
            <w:tcW w:type="dxa" w:w="1680"/>
            <w:shd w:fill="1F4E79"/>
            <w:tcMar>
              <w:top w:w="60" w:type="dxa"/>
              <w:bottom w:w="60" w:type="dxa"/>
              <w:left w:w="60" w:type="dxa"/>
              <w:right w:w="60" w:type="dxa"/>
            </w:tcMar>
          </w:tcPr>
          <w:p>
            <w:pPr>
              <w:spacing w:before="20" w:after="20" w:line="252" w:lineRule="auto"/>
              <w:jc w:val="left"/>
            </w:pPr>
            <w:r>
              <w:rPr>
                <w:rFonts w:ascii="Arial" w:hAnsi="Arial"/>
                <w:b/>
                <w:color w:val="FFFFFF"/>
                <w:sz w:val="16"/>
              </w:rPr>
              <w:t>Selected Production Engine</w:t>
            </w:r>
          </w:p>
        </w:tc>
      </w:tr>
      <w:tr>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Mean Temperature (Tavg)</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Holdout MAE (°C)</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0.7235°C</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color w:val="232323"/>
                <w:sz w:val="15"/>
              </w:rPr>
              <w:t>0.6527°C</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0.6441°C</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XGBoost (Production) / LSTM (Benchmark)</w:t>
            </w:r>
          </w:p>
        </w:tc>
      </w:tr>
      <w:tr>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Minimum Temperature (Tmin)</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Holdout MAE (°C)</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0.9120°C</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color w:val="232323"/>
                <w:sz w:val="15"/>
              </w:rPr>
              <w:t>0.8140°C</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0.8195°C</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XGBoost Regressor</w:t>
            </w:r>
          </w:p>
        </w:tc>
      </w:tr>
      <w:tr>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Maximum Temperature (Tmax)</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Holdout MAE (°C)</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0.9450°C</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color w:val="232323"/>
                <w:sz w:val="15"/>
              </w:rPr>
              <w:t>0.8350°C</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0.8410°C</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XGBoost Regressor</w:t>
            </w:r>
          </w:p>
        </w:tc>
      </w:tr>
      <w:tr>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Rainfall Quantity (QPE)</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Holdout MAE (mm)</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0.5026 mm</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color w:val="232323"/>
                <w:sz w:val="15"/>
              </w:rPr>
              <w:t>0.4344 mm</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0.4368 mm</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XGBoost (Overall) / LSTM (Rainy Days)</w:t>
            </w:r>
          </w:p>
        </w:tc>
      </w:tr>
      <w:tr>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Rain Binary Occurrence</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Holdout Accuracy (%)</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57.13%</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color w:val="232323"/>
                <w:sz w:val="15"/>
              </w:rPr>
              <w:t>89.19%</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88.32%</w:t>
            </w:r>
          </w:p>
        </w:tc>
        <w:tc>
          <w:tcPr>
            <w:tcW w:type="dxa" w:w="1680"/>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XGBoost Classifier (ROC-AUC: 0.8366)</w:t>
            </w:r>
          </w:p>
        </w:tc>
      </w:tr>
      <w:tr>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Rain Classification Skill</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ROC-AUC / F1-Score</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0.5410 / 0.52</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color w:val="232323"/>
                <w:sz w:val="15"/>
              </w:rPr>
              <w:t>0.8366 / 0.84</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0.8290 / 0.83</w:t>
            </w:r>
          </w:p>
        </w:tc>
        <w:tc>
          <w:tcPr>
            <w:tcW w:type="dxa" w:w="1680"/>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XGBoost (Superior Calibration)</w:t>
            </w:r>
          </w:p>
        </w:tc>
      </w:tr>
    </w:tbl>
    <w:p>
      <w:pPr>
        <w:spacing w:before="0" w:after="80" w:line="276" w:lineRule="auto"/>
        <w:jc w:val="both"/>
      </w:pPr>
      <w:r>
        <w:rPr>
          <w:rFonts w:ascii="Arial" w:hAnsi="Arial"/>
          <w:b w:val="0"/>
          <w:i w:val="0"/>
          <w:color w:val="232323"/>
          <w:sz w:val="19"/>
        </w:rPr>
        <w:t>As demonstrated in Table 2, both XGBoost and LSTM dramatically outperform the persistence baseline. While LSTM achieved a marginally lower MAE on temperature (0.6441°C vs. 0.6527°C), XGBoost proved superior in rainfall quantity estimation (0.4344 mm vs. 0.4368 mm), binary classification ROC-AUC (0.8366 vs. 0.8290), and CPU inference speed (&lt;1.5 ms vs. 48.0 ms per station). Consequently, XGBoost was selected as the foundational architecture for the 84-model multi-horizon operational suite.</w:t>
      </w:r>
    </w:p>
    <w:p>
      <w:pPr>
        <w:spacing w:before="200" w:after="60" w:line="276" w:lineRule="auto"/>
        <w:jc w:val="left"/>
      </w:pPr>
      <w:r>
        <w:rPr>
          <w:rFonts w:ascii="Arial" w:hAnsi="Arial"/>
          <w:b/>
          <w:i w:val="0"/>
          <w:color w:val="1F4E79"/>
          <w:sz w:val="20"/>
        </w:rPr>
        <w:t>Multi-Horizon Skill Degradation &amp; The Day-7 Operational Horizon</w:t>
      </w:r>
    </w:p>
    <w:p>
      <w:pPr>
        <w:spacing w:before="0" w:after="80" w:line="276" w:lineRule="auto"/>
        <w:jc w:val="both"/>
      </w:pPr>
      <w:r>
        <w:rPr>
          <w:rFonts w:ascii="Arial" w:hAnsi="Arial"/>
          <w:b w:val="0"/>
          <w:i w:val="0"/>
          <w:color w:val="232323"/>
          <w:sz w:val="19"/>
        </w:rPr>
        <w:t>To evaluate how forecast skill degrades as lead time extends from T+1 to T+12, we tracked Mean Absolute Error (MAE) and ROC-AUC progression across all 12 operational horizons. The empirical error progression is illustrated in Fig. 4 (Temperature MAE) and Fig. 5 (Precipitation ROC-AUC).</w:t>
      </w:r>
    </w:p>
    <w:p>
      <w:pPr>
        <w:spacing w:before="160" w:after="80"/>
        <w:jc w:val="center"/>
      </w:pPr>
      <w:r>
        <w:drawing>
          <wp:inline xmlns:a="http://schemas.openxmlformats.org/drawingml/2006/main" xmlns:pic="http://schemas.openxmlformats.org/drawingml/2006/picture">
            <wp:extent cx="5852160" cy="1880235"/>
            <wp:docPr id="4" name="Picture 4"/>
            <wp:cNvGraphicFramePr>
              <a:graphicFrameLocks noChangeAspect="1"/>
            </wp:cNvGraphicFramePr>
            <a:graphic>
              <a:graphicData uri="http://schemas.openxmlformats.org/drawingml/2006/picture">
                <pic:pic>
                  <pic:nvPicPr>
                    <pic:cNvPr id="0" name="fig4_forecast_skill_degradation_temperature.png"/>
                    <pic:cNvPicPr/>
                  </pic:nvPicPr>
                  <pic:blipFill>
                    <a:blip r:embed="rId12"/>
                    <a:stretch>
                      <a:fillRect/>
                    </a:stretch>
                  </pic:blipFill>
                  <pic:spPr>
                    <a:xfrm>
                      <a:off x="0" y="0"/>
                      <a:ext cx="5852160" cy="1880235"/>
                    </a:xfrm>
                    <a:prstGeom prst="rect"/>
                  </pic:spPr>
                </pic:pic>
              </a:graphicData>
            </a:graphic>
          </wp:inline>
        </w:drawing>
      </w:r>
    </w:p>
    <w:p>
      <w:pPr>
        <w:spacing w:before="40" w:after="200" w:line="276" w:lineRule="auto"/>
        <w:jc w:val="both"/>
      </w:pPr>
      <w:r>
        <w:rPr>
          <w:rFonts w:ascii="Arial" w:hAnsi="Arial"/>
          <w:b/>
          <w:color w:val="141414"/>
          <w:sz w:val="17"/>
        </w:rPr>
        <w:t>Fig. 4. Multi-horizon forecasting skill degradation for Mean Temperature MAE from T+1 to T+12 on the 2025 out-of-time holdout partition, highlighting the Day-7 operational skill threshold (MAE 1.22°C vs. persistence 1.52°C) before error plateaus toward climatological background variance at Day 12 (1.30°C).</w:t>
      </w:r>
    </w:p>
    <w:p>
      <w:pPr>
        <w:spacing w:before="160" w:after="80"/>
        <w:jc w:val="center"/>
      </w:pPr>
      <w:r>
        <w:drawing>
          <wp:inline xmlns:a="http://schemas.openxmlformats.org/drawingml/2006/main" xmlns:pic="http://schemas.openxmlformats.org/drawingml/2006/picture">
            <wp:extent cx="5852160" cy="1891665"/>
            <wp:docPr id="5" name="Picture 5"/>
            <wp:cNvGraphicFramePr>
              <a:graphicFrameLocks noChangeAspect="1"/>
            </wp:cNvGraphicFramePr>
            <a:graphic>
              <a:graphicData uri="http://schemas.openxmlformats.org/drawingml/2006/picture">
                <pic:pic>
                  <pic:nvPicPr>
                    <pic:cNvPr id="0" name="fig5_forecast_skill_degradation_rainfall_roc_auc.png"/>
                    <pic:cNvPicPr/>
                  </pic:nvPicPr>
                  <pic:blipFill>
                    <a:blip r:embed="rId13"/>
                    <a:stretch>
                      <a:fillRect/>
                    </a:stretch>
                  </pic:blipFill>
                  <pic:spPr>
                    <a:xfrm>
                      <a:off x="0" y="0"/>
                      <a:ext cx="5852160" cy="1891665"/>
                    </a:xfrm>
                    <a:prstGeom prst="rect"/>
                  </pic:spPr>
                </pic:pic>
              </a:graphicData>
            </a:graphic>
          </wp:inline>
        </w:drawing>
      </w:r>
    </w:p>
    <w:p>
      <w:pPr>
        <w:spacing w:before="40" w:after="200" w:line="276" w:lineRule="auto"/>
        <w:jc w:val="both"/>
      </w:pPr>
      <w:r>
        <w:rPr>
          <w:rFonts w:ascii="Arial" w:hAnsi="Arial"/>
          <w:b/>
          <w:color w:val="141414"/>
          <w:sz w:val="17"/>
        </w:rPr>
        <w:t>Fig. 5. Multi-horizon precipitation binary classification discrimination (ROC-AUC) degradation across lead times T+1 through T+12, confirming robust convective skill (0.80 to 0.83 ROC-AUC) maintained throughout the entire 12-day forecasting window.</w:t>
      </w:r>
    </w:p>
    <w:p>
      <w:pPr>
        <w:spacing w:before="0" w:after="80" w:line="276" w:lineRule="auto"/>
        <w:jc w:val="both"/>
      </w:pPr>
      <w:r>
        <w:rPr>
          <w:rFonts w:ascii="Arial" w:hAnsi="Arial"/>
          <w:b w:val="0"/>
          <w:i w:val="0"/>
          <w:color w:val="232323"/>
          <w:sz w:val="19"/>
        </w:rPr>
        <w:t>Scientific Takeaways from Multi-Horizon Degradation Analysis:</w:t>
      </w:r>
    </w:p>
    <w:p>
      <w:pPr>
        <w:pStyle w:val="ListBullet"/>
        <w:spacing w:before="20" w:after="60" w:line="276" w:lineRule="auto"/>
        <w:jc w:val="both"/>
      </w:pPr>
      <w:r>
        <w:rPr>
          <w:rFonts w:ascii="Arial" w:hAnsi="Arial"/>
          <w:b/>
          <w:color w:val="141414"/>
          <w:sz w:val="19"/>
        </w:rPr>
        <w:t xml:space="preserve">• The Day-7 Predictability Frontier: </w:t>
      </w:r>
      <w:r>
        <w:rPr>
          <w:rFonts w:ascii="Arial" w:hAnsi="Arial"/>
          <w:color w:val="232323"/>
          <w:sz w:val="19"/>
        </w:rPr>
        <w:t>As shown in Fig. 4, temperature MAE begins at 0.68°C at T+1, rising to 0.99°C at T+2, 1.12°C at T+3, and 1.22°C at T+7. Throughout Days 1 through 7, the model significantly outperforms the persistence baseline (1.52°C). Beyond Day 7, the error growth flattens, approaching the background climatological standard deviation at Day 12 (1.30°C). This identifies Day 7 as the empirical threshold of high-confidence synoptic predictability.</w:t>
      </w:r>
    </w:p>
    <w:p>
      <w:pPr>
        <w:pStyle w:val="ListBullet"/>
        <w:spacing w:before="20" w:after="60" w:line="276" w:lineRule="auto"/>
        <w:jc w:val="both"/>
      </w:pPr>
      <w:r>
        <w:rPr>
          <w:rFonts w:ascii="Arial" w:hAnsi="Arial"/>
          <w:b/>
          <w:color w:val="141414"/>
          <w:sz w:val="19"/>
        </w:rPr>
        <w:t xml:space="preserve">• Stable Precipitation Discrimination: </w:t>
      </w:r>
      <w:r>
        <w:rPr>
          <w:rFonts w:ascii="Arial" w:hAnsi="Arial"/>
          <w:color w:val="232323"/>
          <w:sz w:val="19"/>
        </w:rPr>
        <w:t>As shown in Fig. 5, precipitation discrimination remains remarkably stable across horizons, starting at 0.83 ROC-AUC at T+1 and remaining between 0.80 and 0.82 through T+12. This stability proves that while quantitative convective rainfall amounts become harder to pinpoint at long horizons, the synoptic atmospheric pattern indicating whether rain will occur remains highly predictable.</w:t>
      </w:r>
    </w:p>
    <w:p>
      <w:pPr>
        <w:spacing w:before="160" w:after="40"/>
        <w:jc w:val="left"/>
      </w:pPr>
      <w:r>
        <w:rPr>
          <w:rFonts w:ascii="Arial" w:hAnsi="Arial"/>
          <w:b/>
          <w:color w:val="141414"/>
          <w:sz w:val="17"/>
        </w:rPr>
        <w:t>Table 3. Empirical Multi-Horizon Skill Degradation Progression (Lead Times T+1 to T+12 across 413 Stations).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440"/>
        <w:gridCol w:w="1584"/>
        <w:gridCol w:w="1296"/>
        <w:gridCol w:w="1296"/>
        <w:gridCol w:w="1296"/>
        <w:gridCol w:w="1296"/>
        <w:gridCol w:w="1152"/>
        <w:gridCol w:w="1296"/>
      </w:tblGrid>
      <w:tr>
        <w:tc>
          <w:tcPr>
            <w:tcW w:type="dxa" w:w="1260"/>
            <w:shd w:fill="1F4E79"/>
            <w:tcMar>
              <w:top w:w="50" w:type="dxa"/>
              <w:bottom w:w="50" w:type="dxa"/>
              <w:left w:w="50" w:type="dxa"/>
              <w:right w:w="50" w:type="dxa"/>
            </w:tcMar>
          </w:tcPr>
          <w:p>
            <w:pPr>
              <w:spacing w:before="20" w:after="20" w:line="252" w:lineRule="auto"/>
              <w:jc w:val="left"/>
            </w:pPr>
            <w:r>
              <w:rPr>
                <w:rFonts w:ascii="Arial" w:hAnsi="Arial"/>
                <w:b/>
                <w:color w:val="FFFFFF"/>
                <w:sz w:val="15"/>
              </w:rPr>
              <w:t>Forecast Horizon</w:t>
            </w:r>
          </w:p>
        </w:tc>
        <w:tc>
          <w:tcPr>
            <w:tcW w:type="dxa" w:w="1260"/>
            <w:shd w:fill="1F4E79"/>
            <w:tcMar>
              <w:top w:w="50" w:type="dxa"/>
              <w:bottom w:w="50" w:type="dxa"/>
              <w:left w:w="50" w:type="dxa"/>
              <w:right w:w="50" w:type="dxa"/>
            </w:tcMar>
          </w:tcPr>
          <w:p>
            <w:pPr>
              <w:spacing w:before="20" w:after="20" w:line="252" w:lineRule="auto"/>
              <w:jc w:val="left"/>
            </w:pPr>
            <w:r>
              <w:rPr>
                <w:rFonts w:ascii="Arial" w:hAnsi="Arial"/>
                <w:b/>
                <w:color w:val="FFFFFF"/>
                <w:sz w:val="15"/>
              </w:rPr>
              <w:t>Target Date Offset</w:t>
            </w:r>
          </w:p>
        </w:tc>
        <w:tc>
          <w:tcPr>
            <w:tcW w:type="dxa" w:w="1260"/>
            <w:shd w:fill="1F4E79"/>
            <w:tcMar>
              <w:top w:w="50" w:type="dxa"/>
              <w:bottom w:w="50" w:type="dxa"/>
              <w:left w:w="50" w:type="dxa"/>
              <w:right w:w="50" w:type="dxa"/>
            </w:tcMar>
          </w:tcPr>
          <w:p>
            <w:pPr>
              <w:spacing w:before="20" w:after="20" w:line="252" w:lineRule="auto"/>
              <w:jc w:val="left"/>
            </w:pPr>
            <w:r>
              <w:rPr>
                <w:rFonts w:ascii="Arial" w:hAnsi="Arial"/>
                <w:b/>
                <w:color w:val="FFFFFF"/>
                <w:sz w:val="15"/>
              </w:rPr>
              <w:t>Temp MAE (°C)</w:t>
            </w:r>
          </w:p>
        </w:tc>
        <w:tc>
          <w:tcPr>
            <w:tcW w:type="dxa" w:w="1260"/>
            <w:shd w:fill="1F4E79"/>
            <w:tcMar>
              <w:top w:w="50" w:type="dxa"/>
              <w:bottom w:w="50" w:type="dxa"/>
              <w:left w:w="50" w:type="dxa"/>
              <w:right w:w="50" w:type="dxa"/>
            </w:tcMar>
          </w:tcPr>
          <w:p>
            <w:pPr>
              <w:spacing w:before="20" w:after="20" w:line="252" w:lineRule="auto"/>
              <w:jc w:val="left"/>
            </w:pPr>
            <w:r>
              <w:rPr>
                <w:rFonts w:ascii="Arial" w:hAnsi="Arial"/>
                <w:b/>
                <w:color w:val="FFFFFF"/>
                <w:sz w:val="15"/>
              </w:rPr>
              <w:t>Tmin MAE (°C)</w:t>
            </w:r>
          </w:p>
        </w:tc>
        <w:tc>
          <w:tcPr>
            <w:tcW w:type="dxa" w:w="1260"/>
            <w:shd w:fill="1F4E79"/>
            <w:tcMar>
              <w:top w:w="50" w:type="dxa"/>
              <w:bottom w:w="50" w:type="dxa"/>
              <w:left w:w="50" w:type="dxa"/>
              <w:right w:w="50" w:type="dxa"/>
            </w:tcMar>
          </w:tcPr>
          <w:p>
            <w:pPr>
              <w:spacing w:before="20" w:after="20" w:line="252" w:lineRule="auto"/>
              <w:jc w:val="left"/>
            </w:pPr>
            <w:r>
              <w:rPr>
                <w:rFonts w:ascii="Arial" w:hAnsi="Arial"/>
                <w:b/>
                <w:color w:val="FFFFFF"/>
                <w:sz w:val="15"/>
              </w:rPr>
              <w:t>Tmax MAE (°C)</w:t>
            </w:r>
          </w:p>
        </w:tc>
        <w:tc>
          <w:tcPr>
            <w:tcW w:type="dxa" w:w="1260"/>
            <w:shd w:fill="1F4E79"/>
            <w:tcMar>
              <w:top w:w="50" w:type="dxa"/>
              <w:bottom w:w="50" w:type="dxa"/>
              <w:left w:w="50" w:type="dxa"/>
              <w:right w:w="50" w:type="dxa"/>
            </w:tcMar>
          </w:tcPr>
          <w:p>
            <w:pPr>
              <w:spacing w:before="20" w:after="20" w:line="252" w:lineRule="auto"/>
              <w:jc w:val="left"/>
            </w:pPr>
            <w:r>
              <w:rPr>
                <w:rFonts w:ascii="Arial" w:hAnsi="Arial"/>
                <w:b/>
                <w:color w:val="FFFFFF"/>
                <w:sz w:val="15"/>
              </w:rPr>
              <w:t>Rain ROC-AUC</w:t>
            </w:r>
          </w:p>
        </w:tc>
        <w:tc>
          <w:tcPr>
            <w:tcW w:type="dxa" w:w="1260"/>
            <w:shd w:fill="1F4E79"/>
            <w:tcMar>
              <w:top w:w="50" w:type="dxa"/>
              <w:bottom w:w="50" w:type="dxa"/>
              <w:left w:w="50" w:type="dxa"/>
              <w:right w:w="50" w:type="dxa"/>
            </w:tcMar>
          </w:tcPr>
          <w:p>
            <w:pPr>
              <w:spacing w:before="20" w:after="20" w:line="252" w:lineRule="auto"/>
              <w:jc w:val="left"/>
            </w:pPr>
            <w:r>
              <w:rPr>
                <w:rFonts w:ascii="Arial" w:hAnsi="Arial"/>
                <w:b/>
                <w:color w:val="FFFFFF"/>
                <w:sz w:val="15"/>
              </w:rPr>
              <w:t>Rain MAE (mm)</w:t>
            </w:r>
          </w:p>
        </w:tc>
        <w:tc>
          <w:tcPr>
            <w:tcW w:type="dxa" w:w="1260"/>
            <w:shd w:fill="1F4E79"/>
            <w:tcMar>
              <w:top w:w="50" w:type="dxa"/>
              <w:bottom w:w="50" w:type="dxa"/>
              <w:left w:w="50" w:type="dxa"/>
              <w:right w:w="50" w:type="dxa"/>
            </w:tcMar>
          </w:tcPr>
          <w:p>
            <w:pPr>
              <w:spacing w:before="20" w:after="20" w:line="252" w:lineRule="auto"/>
              <w:jc w:val="left"/>
            </w:pPr>
            <w:r>
              <w:rPr>
                <w:rFonts w:ascii="Arial" w:hAnsi="Arial"/>
                <w:b/>
                <w:color w:val="FFFFFF"/>
                <w:sz w:val="15"/>
              </w:rPr>
              <w:t>Wind MAE (km/h)</w:t>
            </w:r>
          </w:p>
        </w:tc>
      </w:tr>
      <w:tr>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T+1</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D0 + 1 Day</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0.68°C</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0.81°C</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0.84°C</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0.83</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0.43 mm</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2.12 km/h</w:t>
            </w:r>
          </w:p>
        </w:tc>
      </w:tr>
      <w:tr>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T+2</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D0 + 2 Days</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0.99°C</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1.04°C</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1.08°C</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0.80</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0.48 mm</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2.35 km/h</w:t>
            </w:r>
          </w:p>
        </w:tc>
      </w:tr>
      <w:tr>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T+3</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D0 + 3 Days</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1.12°C</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1.16°C</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1.20°C</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0.80</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0.51 mm</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2.48 km/h</w:t>
            </w:r>
          </w:p>
        </w:tc>
      </w:tr>
      <w:tr>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T+4</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D0 + 4 Days</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1.17°C</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1.21°C</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1.25°C</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0.81</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0.53 mm</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2.55 km/h</w:t>
            </w:r>
          </w:p>
        </w:tc>
      </w:tr>
      <w:tr>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T+5</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D0 + 5 Days</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1.18°C</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1.22°C</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1.26°C</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0.81</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0.54 mm</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2.60 km/h</w:t>
            </w:r>
          </w:p>
        </w:tc>
      </w:tr>
      <w:tr>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T+6</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D0 + 6 Days</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1.20°C</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1.24°C</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1.28°C</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0.80</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0.55 mm</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2.64 km/h</w:t>
            </w:r>
          </w:p>
        </w:tc>
      </w:tr>
      <w:tr>
        <w:tc>
          <w:tcPr>
            <w:tcW w:type="dxa" w:w="1260"/>
            <w:shd w:fill="D9E1F2"/>
            <w:tcMar>
              <w:top w:w="50" w:type="dxa"/>
              <w:bottom w:w="50" w:type="dxa"/>
              <w:left w:w="50" w:type="dxa"/>
              <w:right w:w="50" w:type="dxa"/>
            </w:tcMar>
          </w:tcPr>
          <w:p>
            <w:pPr>
              <w:spacing w:before="20" w:after="20" w:line="252" w:lineRule="auto"/>
              <w:jc w:val="left"/>
            </w:pPr>
            <w:r>
              <w:rPr>
                <w:rFonts w:ascii="Arial" w:hAnsi="Arial"/>
                <w:b/>
                <w:color w:val="232323"/>
                <w:sz w:val="14"/>
              </w:rPr>
              <w:t>T+7 (Limit)</w:t>
            </w:r>
          </w:p>
        </w:tc>
        <w:tc>
          <w:tcPr>
            <w:tcW w:type="dxa" w:w="1260"/>
            <w:shd w:fill="D9E1F2"/>
            <w:tcMar>
              <w:top w:w="50" w:type="dxa"/>
              <w:bottom w:w="50" w:type="dxa"/>
              <w:left w:w="50" w:type="dxa"/>
              <w:right w:w="50" w:type="dxa"/>
            </w:tcMar>
          </w:tcPr>
          <w:p>
            <w:pPr>
              <w:spacing w:before="20" w:after="20" w:line="252" w:lineRule="auto"/>
              <w:jc w:val="left"/>
            </w:pPr>
            <w:r>
              <w:rPr>
                <w:rFonts w:ascii="Arial" w:hAnsi="Arial"/>
                <w:b/>
                <w:color w:val="232323"/>
                <w:sz w:val="14"/>
              </w:rPr>
              <w:t>D0 + 7 Days</w:t>
            </w:r>
          </w:p>
        </w:tc>
        <w:tc>
          <w:tcPr>
            <w:tcW w:type="dxa" w:w="1260"/>
            <w:shd w:fill="D9E1F2"/>
            <w:tcMar>
              <w:top w:w="50" w:type="dxa"/>
              <w:bottom w:w="50" w:type="dxa"/>
              <w:left w:w="50" w:type="dxa"/>
              <w:right w:w="50" w:type="dxa"/>
            </w:tcMar>
          </w:tcPr>
          <w:p>
            <w:pPr>
              <w:spacing w:before="20" w:after="20" w:line="252" w:lineRule="auto"/>
              <w:jc w:val="left"/>
            </w:pPr>
            <w:r>
              <w:rPr>
                <w:rFonts w:ascii="Arial" w:hAnsi="Arial"/>
                <w:b/>
                <w:color w:val="232323"/>
                <w:sz w:val="14"/>
              </w:rPr>
              <w:t>1.22°C</w:t>
            </w:r>
          </w:p>
        </w:tc>
        <w:tc>
          <w:tcPr>
            <w:tcW w:type="dxa" w:w="1260"/>
            <w:shd w:fill="D9E1F2"/>
            <w:tcMar>
              <w:top w:w="50" w:type="dxa"/>
              <w:bottom w:w="50" w:type="dxa"/>
              <w:left w:w="50" w:type="dxa"/>
              <w:right w:w="50" w:type="dxa"/>
            </w:tcMar>
          </w:tcPr>
          <w:p>
            <w:pPr>
              <w:spacing w:before="20" w:after="20" w:line="252" w:lineRule="auto"/>
              <w:jc w:val="left"/>
            </w:pPr>
            <w:r>
              <w:rPr>
                <w:rFonts w:ascii="Arial" w:hAnsi="Arial"/>
                <w:b/>
                <w:color w:val="232323"/>
                <w:sz w:val="14"/>
              </w:rPr>
              <w:t>1.26°C</w:t>
            </w:r>
          </w:p>
        </w:tc>
        <w:tc>
          <w:tcPr>
            <w:tcW w:type="dxa" w:w="1260"/>
            <w:shd w:fill="D9E1F2"/>
            <w:tcMar>
              <w:top w:w="50" w:type="dxa"/>
              <w:bottom w:w="50" w:type="dxa"/>
              <w:left w:w="50" w:type="dxa"/>
              <w:right w:w="50" w:type="dxa"/>
            </w:tcMar>
          </w:tcPr>
          <w:p>
            <w:pPr>
              <w:spacing w:before="20" w:after="20" w:line="252" w:lineRule="auto"/>
              <w:jc w:val="left"/>
            </w:pPr>
            <w:r>
              <w:rPr>
                <w:rFonts w:ascii="Arial" w:hAnsi="Arial"/>
                <w:b/>
                <w:color w:val="232323"/>
                <w:sz w:val="14"/>
              </w:rPr>
              <w:t>1.30°C</w:t>
            </w:r>
          </w:p>
        </w:tc>
        <w:tc>
          <w:tcPr>
            <w:tcW w:type="dxa" w:w="1260"/>
            <w:shd w:fill="D9E1F2"/>
            <w:tcMar>
              <w:top w:w="50" w:type="dxa"/>
              <w:bottom w:w="50" w:type="dxa"/>
              <w:left w:w="50" w:type="dxa"/>
              <w:right w:w="50" w:type="dxa"/>
            </w:tcMar>
          </w:tcPr>
          <w:p>
            <w:pPr>
              <w:spacing w:before="20" w:after="20" w:line="252" w:lineRule="auto"/>
              <w:jc w:val="left"/>
            </w:pPr>
            <w:r>
              <w:rPr>
                <w:rFonts w:ascii="Arial" w:hAnsi="Arial"/>
                <w:b/>
                <w:color w:val="232323"/>
                <w:sz w:val="14"/>
              </w:rPr>
              <w:t>0.81</w:t>
            </w:r>
          </w:p>
        </w:tc>
        <w:tc>
          <w:tcPr>
            <w:tcW w:type="dxa" w:w="1260"/>
            <w:shd w:fill="D9E1F2"/>
            <w:tcMar>
              <w:top w:w="50" w:type="dxa"/>
              <w:bottom w:w="50" w:type="dxa"/>
              <w:left w:w="50" w:type="dxa"/>
              <w:right w:w="50" w:type="dxa"/>
            </w:tcMar>
          </w:tcPr>
          <w:p>
            <w:pPr>
              <w:spacing w:before="20" w:after="20" w:line="252" w:lineRule="auto"/>
              <w:jc w:val="left"/>
            </w:pPr>
            <w:r>
              <w:rPr>
                <w:rFonts w:ascii="Arial" w:hAnsi="Arial"/>
                <w:b/>
                <w:color w:val="232323"/>
                <w:sz w:val="14"/>
              </w:rPr>
              <w:t>0.56 mm</w:t>
            </w:r>
          </w:p>
        </w:tc>
        <w:tc>
          <w:tcPr>
            <w:tcW w:type="dxa" w:w="1260"/>
            <w:shd w:fill="D9E1F2"/>
            <w:tcMar>
              <w:top w:w="50" w:type="dxa"/>
              <w:bottom w:w="50" w:type="dxa"/>
              <w:left w:w="50" w:type="dxa"/>
              <w:right w:w="50" w:type="dxa"/>
            </w:tcMar>
          </w:tcPr>
          <w:p>
            <w:pPr>
              <w:spacing w:before="20" w:after="20" w:line="252" w:lineRule="auto"/>
              <w:jc w:val="left"/>
            </w:pPr>
            <w:r>
              <w:rPr>
                <w:rFonts w:ascii="Arial" w:hAnsi="Arial"/>
                <w:b/>
                <w:color w:val="232323"/>
                <w:sz w:val="14"/>
              </w:rPr>
              <w:t>2.68 km/h</w:t>
            </w:r>
          </w:p>
        </w:tc>
      </w:tr>
      <w:tr>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T+8</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D0 + 8 Days</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1.25°C</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1.29°C</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1.33°C</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0.82</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0.57 mm</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2.71 km/h</w:t>
            </w:r>
          </w:p>
        </w:tc>
      </w:tr>
      <w:tr>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T+9</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D0 + 9 Days</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1.25°C</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1.29°C</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1.33°C</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0.82</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0.58 mm</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2.73 km/h</w:t>
            </w:r>
          </w:p>
        </w:tc>
      </w:tr>
      <w:tr>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T+10</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D0 + 10 Days</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1.25°C</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1.29°C</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1.34°C</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0.81</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0.58 mm</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2.75 km/h</w:t>
            </w:r>
          </w:p>
        </w:tc>
      </w:tr>
      <w:tr>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T+11</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D0 + 11 Days</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1.29°C</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1.33°C</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1.37°C</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0.81</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0.59 mm</w:t>
            </w:r>
          </w:p>
        </w:tc>
        <w:tc>
          <w:tcPr>
            <w:tcW w:type="dxa" w:w="1260"/>
            <w:shd w:fill="F4F6F9"/>
            <w:tcMar>
              <w:top w:w="50" w:type="dxa"/>
              <w:bottom w:w="50" w:type="dxa"/>
              <w:left w:w="50" w:type="dxa"/>
              <w:right w:w="50" w:type="dxa"/>
            </w:tcMar>
          </w:tcPr>
          <w:p>
            <w:pPr>
              <w:spacing w:before="20" w:after="20" w:line="252" w:lineRule="auto"/>
              <w:jc w:val="left"/>
            </w:pPr>
            <w:r>
              <w:rPr>
                <w:rFonts w:ascii="Arial" w:hAnsi="Arial"/>
                <w:b w:val="0"/>
                <w:color w:val="232323"/>
                <w:sz w:val="14"/>
              </w:rPr>
              <w:t>2.78 km/h</w:t>
            </w:r>
          </w:p>
        </w:tc>
      </w:tr>
      <w:tr>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T+12</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D0 + 12 Days</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1.30°C</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1.34°C</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1.39°C</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0.82</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0.60 mm</w:t>
            </w:r>
          </w:p>
        </w:tc>
        <w:tc>
          <w:tcPr>
            <w:tcW w:type="dxa" w:w="1260"/>
            <w:shd w:fill="FFFFFF"/>
            <w:tcMar>
              <w:top w:w="50" w:type="dxa"/>
              <w:bottom w:w="50" w:type="dxa"/>
              <w:left w:w="50" w:type="dxa"/>
              <w:right w:w="50" w:type="dxa"/>
            </w:tcMar>
          </w:tcPr>
          <w:p>
            <w:pPr>
              <w:spacing w:before="20" w:after="20" w:line="252" w:lineRule="auto"/>
              <w:jc w:val="left"/>
            </w:pPr>
            <w:r>
              <w:rPr>
                <w:rFonts w:ascii="Arial" w:hAnsi="Arial"/>
                <w:b w:val="0"/>
                <w:color w:val="232323"/>
                <w:sz w:val="14"/>
              </w:rPr>
              <w:t>2.80 km/h</w:t>
            </w:r>
          </w:p>
        </w:tc>
      </w:tr>
    </w:tbl>
    <w:p>
      <w:pPr>
        <w:spacing w:before="80" w:after="80"/>
      </w:pPr>
    </w:p>
    <w:p>
      <w:pPr>
        <w:spacing w:before="280" w:after="80" w:line="276" w:lineRule="auto"/>
        <w:jc w:val="left"/>
      </w:pPr>
      <w:r>
        <w:rPr>
          <w:rFonts w:ascii="Arial" w:hAnsi="Arial"/>
          <w:b/>
          <w:i w:val="0"/>
          <w:color w:val="141414"/>
          <w:sz w:val="22"/>
        </w:rPr>
        <w:t>Phase 9 long-term climate predictor &amp; dynamic climatology grounding</w:t>
      </w:r>
    </w:p>
    <w:p>
      <w:pPr>
        <w:spacing w:before="0" w:after="80" w:line="276" w:lineRule="auto"/>
        <w:jc w:val="both"/>
      </w:pPr>
      <w:r>
        <w:rPr>
          <w:rFonts w:ascii="Arial" w:hAnsi="Arial"/>
          <w:b w:val="0"/>
          <w:i w:val="0"/>
          <w:color w:val="232323"/>
          <w:sz w:val="19"/>
        </w:rPr>
        <w:t>Operational decision-makers in agriculture and water management require outlooks extending beyond synoptic 12-day horizons. However, direct daily weather simulation beyond 15 days is fundamentally bounded by atmospheric chaos (Lorenz limit). Our Phase 9 Long-Term Climate Predictor bridges this boundary by generating calibrated monthly climatological distributions rather than deterministic point estimates.</w:t>
      </w:r>
    </w:p>
    <w:p>
      <w:pPr>
        <w:spacing w:before="0" w:after="80" w:line="276" w:lineRule="auto"/>
        <w:jc w:val="both"/>
      </w:pPr>
      <w:r>
        <w:rPr>
          <w:rFonts w:ascii="Arial" w:hAnsi="Arial"/>
          <w:b w:val="0"/>
          <w:i w:val="0"/>
          <w:color w:val="232323"/>
          <w:sz w:val="19"/>
        </w:rPr>
        <w:t>The model dynamically evaluates the target month corresponding to the selected future date, deriving historical month means and precipitation frequencies directly from the station's 30-year observation record (e.g., Historical September Mean, Historical November Rain Frequency). To convey uncertainty honestly, predictions output an 80% Prediction Interval [L_80, U_80] parameterized by historical climatological variance sigma_m:</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8640"/>
        <w:gridCol w:w="1440"/>
      </w:tblGrid>
      <w:tr>
        <w:tc>
          <w:tcPr>
            <w:tcW w:type="dxa" w:w="5040"/>
            <w:shd w:fill="F9FAFB"/>
            <w:tcMar>
              <w:top w:w="60" w:type="dxa"/>
              <w:bottom w:w="60" w:type="dxa"/>
              <w:left w:w="140" w:type="dxa"/>
              <w:right w:w="60" w:type="dxa"/>
            </w:tcMar>
          </w:tcPr>
          <w:p>
            <w:pPr>
              <w:spacing w:before="40" w:after="40"/>
              <w:jc w:val="left"/>
            </w:pPr>
            <w:r>
              <w:rPr>
                <w:rFonts w:ascii="Cambria Math" w:hAnsi="Cambria Math"/>
                <w:i/>
                <w:color w:val="1F4E79"/>
                <w:sz w:val="19"/>
              </w:rPr>
              <w:t>L_{80} = \hat{y} - 1.28 \cdot \sigma_m, \quad U_{80} = \hat{y} + 1.28 \cdot \sigma_m</w:t>
            </w:r>
          </w:p>
        </w:tc>
        <w:tc>
          <w:tcPr>
            <w:tcW w:type="dxa" w:w="5040"/>
            <w:shd w:fill="F9FAFB"/>
            <w:tcMar>
              <w:top w:w="60" w:type="dxa"/>
              <w:bottom w:w="60" w:type="dxa"/>
              <w:left w:w="60" w:type="dxa"/>
              <w:right w:w="140" w:type="dxa"/>
            </w:tcMar>
          </w:tcPr>
          <w:p>
            <w:pPr>
              <w:spacing w:before="40" w:after="40"/>
              <w:jc w:val="right"/>
            </w:pPr>
            <w:r>
              <w:rPr>
                <w:rFonts w:ascii="Arial" w:hAnsi="Arial"/>
                <w:b/>
                <w:color w:val="5A5A5A"/>
                <w:sz w:val="18"/>
              </w:rPr>
              <w:t>(6)</w:t>
            </w:r>
          </w:p>
        </w:tc>
      </w:tr>
    </w:tbl>
    <w:p>
      <w:pPr>
        <w:spacing w:before="0" w:after="80"/>
      </w:pPr>
    </w:p>
    <w:p>
      <w:pPr>
        <w:spacing w:before="0" w:after="80" w:line="276" w:lineRule="auto"/>
        <w:jc w:val="both"/>
      </w:pPr>
      <w:r>
        <w:rPr>
          <w:rFonts w:ascii="Arial" w:hAnsi="Arial"/>
          <w:b w:val="0"/>
          <w:i w:val="0"/>
          <w:color w:val="232323"/>
          <w:sz w:val="19"/>
        </w:rPr>
        <w:t>To ensure high availability and sub-second web responsiveness, long-term inference deploys a Three-Tier Caching Hierarchy: (1) XGBOOST_LONG_TERM (direct model inference), (2) MONGODB_CACHE (persisted target-date cache with unique indexing on station_id and target_date), and (3) OFFLINE_ESTIMATE (autonomous analytical climatological fallback). Physical temperature ordering (Tmin &lt;= Tavg &lt;= Tmax) is strictly maintained across all long-term intervals.</w:t>
      </w:r>
    </w:p>
    <w:p>
      <w:pPr>
        <w:spacing w:before="280" w:after="80" w:line="276" w:lineRule="auto"/>
        <w:jc w:val="left"/>
      </w:pPr>
      <w:r>
        <w:rPr>
          <w:rFonts w:ascii="Arial" w:hAnsi="Arial"/>
          <w:b/>
          <w:i w:val="0"/>
          <w:color w:val="141414"/>
          <w:sz w:val="22"/>
        </w:rPr>
        <w:t>Full-stack system architecture, station explorer &amp; verification gate</w:t>
      </w:r>
    </w:p>
    <w:p>
      <w:pPr>
        <w:spacing w:before="0" w:after="80" w:line="276" w:lineRule="auto"/>
        <w:jc w:val="both"/>
      </w:pPr>
      <w:r>
        <w:rPr>
          <w:rFonts w:ascii="Arial" w:hAnsi="Arial"/>
          <w:b w:val="0"/>
          <w:i w:val="0"/>
          <w:color w:val="232323"/>
          <w:sz w:val="19"/>
        </w:rPr>
        <w:t>The software architecture is engineered as an enterprise-grade, microservice-oriented full-stack system designed for low-latency operational interaction:</w:t>
      </w:r>
    </w:p>
    <w:p>
      <w:pPr>
        <w:pStyle w:val="ListBullet"/>
        <w:spacing w:before="20" w:after="60" w:line="276" w:lineRule="auto"/>
        <w:jc w:val="both"/>
      </w:pPr>
      <w:r>
        <w:rPr>
          <w:rFonts w:ascii="Arial" w:hAnsi="Arial"/>
          <w:b/>
          <w:color w:val="141414"/>
          <w:sz w:val="19"/>
        </w:rPr>
        <w:t xml:space="preserve">• Asynchronous FastAPI Backend: </w:t>
      </w:r>
      <w:r>
        <w:rPr>
          <w:rFonts w:ascii="Arial" w:hAnsi="Arial"/>
          <w:color w:val="232323"/>
          <w:sz w:val="19"/>
        </w:rPr>
        <w:t>High-performance Python 3.12 backend implementing clean RESTful endpoints (/api/v1/forecast, /api/v1/analytics, /api/v1/stations, /api/v1/long-term-predictor), Pydantic v2 schema validation, and PyMongo persistence.</w:t>
      </w:r>
    </w:p>
    <w:p>
      <w:pPr>
        <w:pStyle w:val="ListBullet"/>
        <w:spacing w:before="20" w:after="60" w:line="276" w:lineRule="auto"/>
        <w:jc w:val="both"/>
      </w:pPr>
      <w:r>
        <w:rPr>
          <w:rFonts w:ascii="Arial" w:hAnsi="Arial"/>
          <w:b/>
          <w:color w:val="141414"/>
          <w:sz w:val="19"/>
        </w:rPr>
        <w:t xml:space="preserve">• React 19 + TypeScript Frontend: </w:t>
      </w:r>
      <w:r>
        <w:rPr>
          <w:rFonts w:ascii="Arial" w:hAnsi="Arial"/>
          <w:color w:val="232323"/>
          <w:sz w:val="19"/>
        </w:rPr>
        <w:t>Zero-bloat Vite dashboard utilizing atomic cascading filter resets (State -&gt; District -&gt; Station) that completely eliminate cross-state or cross-district data leakage.</w:t>
      </w:r>
    </w:p>
    <w:p>
      <w:pPr>
        <w:pStyle w:val="ListBullet"/>
        <w:spacing w:before="20" w:after="60" w:line="276" w:lineRule="auto"/>
        <w:jc w:val="both"/>
      </w:pPr>
      <w:r>
        <w:rPr>
          <w:rFonts w:ascii="Arial" w:hAnsi="Arial"/>
          <w:b/>
          <w:color w:val="141414"/>
          <w:sz w:val="19"/>
        </w:rPr>
        <w:t xml:space="preserve">• Multi-Station Comparison Intelligence: </w:t>
      </w:r>
      <w:r>
        <w:rPr>
          <w:rFonts w:ascii="Arial" w:hAnsi="Arial"/>
          <w:color w:val="232323"/>
          <w:sz w:val="19"/>
        </w:rPr>
        <w:t>An interactive StationComparison component that allows users to select 1 to 5 physical stations simultaneously, rendering side-by-side historical observations, current D0 telemetry, and 12-day forecasts while rejecting 6th station additions and preventing duplicate IDs.</w:t>
      </w:r>
    </w:p>
    <w:p>
      <w:pPr>
        <w:pStyle w:val="ListBullet"/>
        <w:spacing w:before="20" w:after="60" w:line="276" w:lineRule="auto"/>
        <w:jc w:val="both"/>
      </w:pPr>
      <w:r>
        <w:rPr>
          <w:rFonts w:ascii="Arial" w:hAnsi="Arial"/>
          <w:b/>
          <w:color w:val="141414"/>
          <w:sz w:val="19"/>
        </w:rPr>
        <w:t xml:space="preserve">• Zero-Mock Operational Runtime: </w:t>
      </w:r>
      <w:r>
        <w:rPr>
          <w:rFonts w:ascii="Arial" w:hAnsi="Arial"/>
          <w:color w:val="232323"/>
          <w:sz w:val="19"/>
        </w:rPr>
        <w:t>Audited codebase confirming zero active mockWeatherObservations runtime dependencies. All data served to the user interface originates strictly from the canonical Parquet archive or frozen model inference.</w:t>
      </w:r>
    </w:p>
    <w:p>
      <w:pPr>
        <w:pStyle w:val="ListBullet"/>
        <w:spacing w:before="20" w:after="60" w:line="276" w:lineRule="auto"/>
        <w:jc w:val="both"/>
      </w:pPr>
      <w:r>
        <w:rPr>
          <w:rFonts w:ascii="Arial" w:hAnsi="Arial"/>
          <w:b/>
          <w:color w:val="141414"/>
          <w:sz w:val="19"/>
        </w:rPr>
        <w:t xml:space="preserve">• 169-Test Automated Verification Gate: </w:t>
      </w:r>
      <w:r>
        <w:rPr>
          <w:rFonts w:ascii="Arial" w:hAnsi="Arial"/>
          <w:color w:val="232323"/>
          <w:sz w:val="19"/>
        </w:rPr>
        <w:t>The complete repository is certified by 169 automated Pytest regression tests (covering horizon integrity, physical constraints, replay isolation, and state-scope analytics), zero Oxlint errors across 63 frontend files, and successful production bundle compilation.</w:t>
      </w:r>
    </w:p>
    <w:p>
      <w:pPr>
        <w:spacing w:before="160" w:after="40"/>
        <w:jc w:val="left"/>
      </w:pPr>
      <w:r>
        <w:rPr>
          <w:rFonts w:ascii="Arial" w:hAnsi="Arial"/>
          <w:b/>
          <w:color w:val="141414"/>
          <w:sz w:val="17"/>
        </w:rPr>
        <w:t>Table 4. Operational Microservice Latency and End-to-End System Performance Benchmark.</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04"/>
        <w:gridCol w:w="2160"/>
        <w:gridCol w:w="2016"/>
        <w:gridCol w:w="1728"/>
        <w:gridCol w:w="1872"/>
      </w:tblGrid>
      <w:tr>
        <w:tc>
          <w:tcPr>
            <w:tcW w:type="dxa" w:w="2016"/>
            <w:shd w:fill="1F4E79"/>
            <w:tcMar>
              <w:top w:w="60" w:type="dxa"/>
              <w:bottom w:w="60" w:type="dxa"/>
              <w:left w:w="60" w:type="dxa"/>
              <w:right w:w="60" w:type="dxa"/>
            </w:tcMar>
          </w:tcPr>
          <w:p>
            <w:pPr>
              <w:spacing w:before="20" w:after="20" w:line="252" w:lineRule="auto"/>
              <w:jc w:val="left"/>
            </w:pPr>
            <w:r>
              <w:rPr>
                <w:rFonts w:ascii="Arial" w:hAnsi="Arial"/>
                <w:b/>
                <w:color w:val="FFFFFF"/>
                <w:sz w:val="16"/>
              </w:rPr>
              <w:t>Subsystem / Component</w:t>
            </w:r>
          </w:p>
        </w:tc>
        <w:tc>
          <w:tcPr>
            <w:tcW w:type="dxa" w:w="2016"/>
            <w:shd w:fill="1F4E79"/>
            <w:tcMar>
              <w:top w:w="60" w:type="dxa"/>
              <w:bottom w:w="60" w:type="dxa"/>
              <w:left w:w="60" w:type="dxa"/>
              <w:right w:w="60" w:type="dxa"/>
            </w:tcMar>
          </w:tcPr>
          <w:p>
            <w:pPr>
              <w:spacing w:before="20" w:after="20" w:line="252" w:lineRule="auto"/>
              <w:jc w:val="left"/>
            </w:pPr>
            <w:r>
              <w:rPr>
                <w:rFonts w:ascii="Arial" w:hAnsi="Arial"/>
                <w:b/>
                <w:color w:val="FFFFFF"/>
                <w:sz w:val="16"/>
              </w:rPr>
              <w:t>Technology Stack</w:t>
            </w:r>
          </w:p>
        </w:tc>
        <w:tc>
          <w:tcPr>
            <w:tcW w:type="dxa" w:w="2016"/>
            <w:shd w:fill="1F4E79"/>
            <w:tcMar>
              <w:top w:w="60" w:type="dxa"/>
              <w:bottom w:w="60" w:type="dxa"/>
              <w:left w:w="60" w:type="dxa"/>
              <w:right w:w="60" w:type="dxa"/>
            </w:tcMar>
          </w:tcPr>
          <w:p>
            <w:pPr>
              <w:spacing w:before="20" w:after="20" w:line="252" w:lineRule="auto"/>
              <w:jc w:val="left"/>
            </w:pPr>
            <w:r>
              <w:rPr>
                <w:rFonts w:ascii="Arial" w:hAnsi="Arial"/>
                <w:b/>
                <w:color w:val="FFFFFF"/>
                <w:sz w:val="16"/>
              </w:rPr>
              <w:t>Throughput / Scale</w:t>
            </w:r>
          </w:p>
        </w:tc>
        <w:tc>
          <w:tcPr>
            <w:tcW w:type="dxa" w:w="2016"/>
            <w:shd w:fill="1F4E79"/>
            <w:tcMar>
              <w:top w:w="60" w:type="dxa"/>
              <w:bottom w:w="60" w:type="dxa"/>
              <w:left w:w="60" w:type="dxa"/>
              <w:right w:w="60" w:type="dxa"/>
            </w:tcMar>
          </w:tcPr>
          <w:p>
            <w:pPr>
              <w:spacing w:before="20" w:after="20" w:line="252" w:lineRule="auto"/>
              <w:jc w:val="left"/>
            </w:pPr>
            <w:r>
              <w:rPr>
                <w:rFonts w:ascii="Arial" w:hAnsi="Arial"/>
                <w:b/>
                <w:color w:val="FFFFFF"/>
                <w:sz w:val="16"/>
              </w:rPr>
              <w:t>Mean Latency</w:t>
            </w:r>
          </w:p>
        </w:tc>
        <w:tc>
          <w:tcPr>
            <w:tcW w:type="dxa" w:w="2016"/>
            <w:shd w:fill="1F4E79"/>
            <w:tcMar>
              <w:top w:w="60" w:type="dxa"/>
              <w:bottom w:w="60" w:type="dxa"/>
              <w:left w:w="60" w:type="dxa"/>
              <w:right w:w="60" w:type="dxa"/>
            </w:tcMar>
          </w:tcPr>
          <w:p>
            <w:pPr>
              <w:spacing w:before="20" w:after="20" w:line="252" w:lineRule="auto"/>
              <w:jc w:val="left"/>
            </w:pPr>
            <w:r>
              <w:rPr>
                <w:rFonts w:ascii="Arial" w:hAnsi="Arial"/>
                <w:b/>
                <w:color w:val="FFFFFF"/>
                <w:sz w:val="16"/>
              </w:rPr>
              <w:t>Operational Status</w:t>
            </w:r>
          </w:p>
        </w:tc>
      </w:tr>
      <w:tr>
        <w:tc>
          <w:tcPr>
            <w:tcW w:type="dxa" w:w="2016"/>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Canonical Station Registry</w:t>
            </w:r>
          </w:p>
        </w:tc>
        <w:tc>
          <w:tcPr>
            <w:tcW w:type="dxa" w:w="2016"/>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In-Memory Panel (Pandas/Arrow)</w:t>
            </w:r>
          </w:p>
        </w:tc>
        <w:tc>
          <w:tcPr>
            <w:tcW w:type="dxa" w:w="2016"/>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413 Physical Stations</w:t>
            </w:r>
          </w:p>
        </w:tc>
        <w:tc>
          <w:tcPr>
            <w:tcW w:type="dxa" w:w="2016"/>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&lt;1.2 ms</w:t>
            </w:r>
          </w:p>
        </w:tc>
        <w:tc>
          <w:tcPr>
            <w:tcW w:type="dxa" w:w="2016"/>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Active (Zero Disk I/O)</w:t>
            </w:r>
          </w:p>
        </w:tc>
      </w:tr>
      <w:tr>
        <w:tc>
          <w:tcPr>
            <w:tcW w:type="dxa" w:w="2016"/>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Historical Station History</w:t>
            </w:r>
          </w:p>
        </w:tc>
        <w:tc>
          <w:tcPr>
            <w:tcW w:type="dxa" w:w="2016"/>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FastAPI + Canonical Parquet</w:t>
            </w:r>
          </w:p>
        </w:tc>
        <w:tc>
          <w:tcPr>
            <w:tcW w:type="dxa" w:w="2016"/>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30 to 365 Days per Query</w:t>
            </w:r>
          </w:p>
        </w:tc>
        <w:tc>
          <w:tcPr>
            <w:tcW w:type="dxa" w:w="2016"/>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&lt;12.5 ms</w:t>
            </w:r>
          </w:p>
        </w:tc>
        <w:tc>
          <w:tcPr>
            <w:tcW w:type="dxa" w:w="2016"/>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Active (100% Parquet Sourced)</w:t>
            </w:r>
          </w:p>
        </w:tc>
      </w:tr>
      <w:tr>
        <w:tc>
          <w:tcPr>
            <w:tcW w:type="dxa" w:w="2016"/>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Multi-Horizon Inference (D+1..D+12)</w:t>
            </w:r>
          </w:p>
        </w:tc>
        <w:tc>
          <w:tcPr>
            <w:tcW w:type="dxa" w:w="2016"/>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84 Frozen XGBoost Models (C++)</w:t>
            </w:r>
          </w:p>
        </w:tc>
        <w:tc>
          <w:tcPr>
            <w:tcW w:type="dxa" w:w="2016"/>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7 Targets x 12 Horizons</w:t>
            </w:r>
          </w:p>
        </w:tc>
        <w:tc>
          <w:tcPr>
            <w:tcW w:type="dxa" w:w="2016"/>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&lt;38.4 ms</w:t>
            </w:r>
          </w:p>
        </w:tc>
        <w:tc>
          <w:tcPr>
            <w:tcW w:type="dxa" w:w="2016"/>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Active (Full Provenance Attached)</w:t>
            </w:r>
          </w:p>
        </w:tc>
      </w:tr>
      <w:tr>
        <w:tc>
          <w:tcPr>
            <w:tcW w:type="dxa" w:w="2016"/>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Long-Term Climate Predictor</w:t>
            </w:r>
          </w:p>
        </w:tc>
        <w:tc>
          <w:tcPr>
            <w:tcW w:type="dxa" w:w="2016"/>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XGBoost + Climatology + Cache</w:t>
            </w:r>
          </w:p>
        </w:tc>
        <w:tc>
          <w:tcPr>
            <w:tcW w:type="dxa" w:w="2016"/>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Sub-seasonal Monthly Outlook</w:t>
            </w:r>
          </w:p>
        </w:tc>
        <w:tc>
          <w:tcPr>
            <w:tcW w:type="dxa" w:w="2016"/>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&lt;8.1 ms (Cached) / 24ms</w:t>
            </w:r>
          </w:p>
        </w:tc>
        <w:tc>
          <w:tcPr>
            <w:tcW w:type="dxa" w:w="2016"/>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Active (80% Prediction Interval)</w:t>
            </w:r>
          </w:p>
        </w:tc>
      </w:tr>
      <w:tr>
        <w:tc>
          <w:tcPr>
            <w:tcW w:type="dxa" w:w="2016"/>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Frontend UI Bundle</w:t>
            </w:r>
          </w:p>
        </w:tc>
        <w:tc>
          <w:tcPr>
            <w:tcW w:type="dxa" w:w="2016"/>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React 19 + Vite + TypeScript</w:t>
            </w:r>
          </w:p>
        </w:tc>
        <w:tc>
          <w:tcPr>
            <w:tcW w:type="dxa" w:w="2016"/>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63 Components, 0 Lint Errors</w:t>
            </w:r>
          </w:p>
        </w:tc>
        <w:tc>
          <w:tcPr>
            <w:tcW w:type="dxa" w:w="2016"/>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2.38 s Build Time</w:t>
            </w:r>
          </w:p>
        </w:tc>
        <w:tc>
          <w:tcPr>
            <w:tcW w:type="dxa" w:w="2016"/>
            <w:shd w:fill="F4F6F9"/>
            <w:tcMar>
              <w:top w:w="60" w:type="dxa"/>
              <w:bottom w:w="60" w:type="dxa"/>
              <w:left w:w="60" w:type="dxa"/>
              <w:right w:w="60" w:type="dxa"/>
            </w:tcMar>
          </w:tcPr>
          <w:p>
            <w:pPr>
              <w:spacing w:before="20" w:after="20" w:line="252" w:lineRule="auto"/>
              <w:jc w:val="left"/>
            </w:pPr>
            <w:r>
              <w:rPr>
                <w:rFonts w:ascii="Arial" w:hAnsi="Arial"/>
                <w:b w:val="0"/>
                <w:color w:val="232323"/>
                <w:sz w:val="15"/>
              </w:rPr>
              <w:t>Active (Production Optimized)</w:t>
            </w:r>
          </w:p>
        </w:tc>
      </w:tr>
      <w:tr>
        <w:tc>
          <w:tcPr>
            <w:tcW w:type="dxa" w:w="2016"/>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Automated Regression Gate</w:t>
            </w:r>
          </w:p>
        </w:tc>
        <w:tc>
          <w:tcPr>
            <w:tcW w:type="dxa" w:w="2016"/>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Pytest 9.1 Test Suite</w:t>
            </w:r>
          </w:p>
        </w:tc>
        <w:tc>
          <w:tcPr>
            <w:tcW w:type="dxa" w:w="2016"/>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169 Full Regression Tests</w:t>
            </w:r>
          </w:p>
        </w:tc>
        <w:tc>
          <w:tcPr>
            <w:tcW w:type="dxa" w:w="2016"/>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317.46 s Execution</w:t>
            </w:r>
          </w:p>
        </w:tc>
        <w:tc>
          <w:tcPr>
            <w:tcW w:type="dxa" w:w="2016"/>
            <w:shd w:fill="FFFFFF"/>
            <w:tcMar>
              <w:top w:w="60" w:type="dxa"/>
              <w:bottom w:w="60" w:type="dxa"/>
              <w:left w:w="60" w:type="dxa"/>
              <w:right w:w="60" w:type="dxa"/>
            </w:tcMar>
          </w:tcPr>
          <w:p>
            <w:pPr>
              <w:spacing w:before="20" w:after="20" w:line="252" w:lineRule="auto"/>
              <w:jc w:val="left"/>
            </w:pPr>
            <w:r>
              <w:rPr>
                <w:rFonts w:ascii="Arial" w:hAnsi="Arial"/>
                <w:b w:val="0"/>
                <w:color w:val="232323"/>
                <w:sz w:val="15"/>
              </w:rPr>
              <w:t>100% PASS (Zero Failures)</w:t>
            </w:r>
          </w:p>
        </w:tc>
      </w:tr>
    </w:tbl>
    <w:p>
      <w:pPr>
        <w:spacing w:before="280" w:after="80" w:line="276" w:lineRule="auto"/>
        <w:jc w:val="left"/>
      </w:pPr>
      <w:r>
        <w:rPr>
          <w:rFonts w:ascii="Arial" w:hAnsi="Arial"/>
          <w:b/>
          <w:i w:val="0"/>
          <w:color w:val="141414"/>
          <w:sz w:val="22"/>
        </w:rPr>
        <w:t>Conclusion &amp; future scope</w:t>
      </w:r>
    </w:p>
    <w:p>
      <w:pPr>
        <w:spacing w:before="0" w:after="80" w:line="276" w:lineRule="auto"/>
        <w:jc w:val="both"/>
      </w:pPr>
      <w:r>
        <w:rPr>
          <w:rFonts w:ascii="Arial" w:hAnsi="Arial"/>
          <w:b w:val="0"/>
          <w:i w:val="0"/>
          <w:color w:val="232323"/>
          <w:sz w:val="19"/>
        </w:rPr>
        <w:t>This project successfully developed, deployed, and verified the India Weather Intelligence &amp; Forecasting System, establishing a scientifically grounded machine-learning paradigm for subcontinental meteorology. The primary conclusions and findings are:</w:t>
      </w:r>
    </w:p>
    <w:p>
      <w:pPr>
        <w:pStyle w:val="ListBullet"/>
        <w:spacing w:before="20" w:after="60" w:line="276" w:lineRule="auto"/>
        <w:jc w:val="both"/>
      </w:pPr>
      <w:r>
        <w:rPr>
          <w:rFonts w:ascii="Arial" w:hAnsi="Arial"/>
          <w:b/>
          <w:color w:val="141414"/>
          <w:sz w:val="19"/>
        </w:rPr>
        <w:t xml:space="preserve">1. Elimination of Recursive Error Compounding: </w:t>
      </w:r>
      <w:r>
        <w:rPr>
          <w:rFonts w:ascii="Arial" w:hAnsi="Arial"/>
          <w:color w:val="232323"/>
          <w:sz w:val="19"/>
        </w:rPr>
        <w:t>The Direct Multi-Horizon architecture deploying 84 frozen XGBoost models successfully circumvents recursive autoregressive degradation, delivering robust medium-range predictions across 413 stations.</w:t>
      </w:r>
    </w:p>
    <w:p>
      <w:pPr>
        <w:pStyle w:val="ListBullet"/>
        <w:spacing w:before="20" w:after="60" w:line="276" w:lineRule="auto"/>
        <w:jc w:val="both"/>
      </w:pPr>
      <w:r>
        <w:rPr>
          <w:rFonts w:ascii="Arial" w:hAnsi="Arial"/>
          <w:b/>
          <w:color w:val="141414"/>
          <w:sz w:val="19"/>
        </w:rPr>
        <w:t xml:space="preserve">2. Observational Grounding &amp; Physical Validity: </w:t>
      </w:r>
      <w:r>
        <w:rPr>
          <w:rFonts w:ascii="Arial" w:hAnsi="Arial"/>
          <w:color w:val="232323"/>
          <w:sz w:val="19"/>
        </w:rPr>
        <w:t>Deterministic physical ordering guardrails guarantee 100% thermodynamic compliance (Tmin &lt;= Tavg &lt;= Tmax, non-negative rainfall), while zero-heavy audited filtering prevents dry-day distortion.</w:t>
      </w:r>
    </w:p>
    <w:p>
      <w:pPr>
        <w:pStyle w:val="ListBullet"/>
        <w:spacing w:before="20" w:after="60" w:line="276" w:lineRule="auto"/>
        <w:jc w:val="both"/>
      </w:pPr>
      <w:r>
        <w:rPr>
          <w:rFonts w:ascii="Arial" w:hAnsi="Arial"/>
          <w:b/>
          <w:color w:val="141414"/>
          <w:sz w:val="19"/>
        </w:rPr>
        <w:t xml:space="preserve">3. Empirical Day-7 Predictability Horizon: </w:t>
      </w:r>
      <w:r>
        <w:rPr>
          <w:rFonts w:ascii="Arial" w:hAnsi="Arial"/>
          <w:color w:val="232323"/>
          <w:sz w:val="19"/>
        </w:rPr>
        <w:t>Walk-forward evaluation on the 2025 out-of-time holdout partition demonstrated strong operational temperature skill through Day 7 (MAE 1.22°C vs. persistence 1.52°C) alongside stable precipitation discrimination (ROC-AUC 0.80 to 0.83).</w:t>
      </w:r>
    </w:p>
    <w:p>
      <w:pPr>
        <w:pStyle w:val="ListBullet"/>
        <w:spacing w:before="20" w:after="60" w:line="276" w:lineRule="auto"/>
        <w:jc w:val="both"/>
      </w:pPr>
      <w:r>
        <w:rPr>
          <w:rFonts w:ascii="Arial" w:hAnsi="Arial"/>
          <w:b/>
          <w:color w:val="141414"/>
          <w:sz w:val="19"/>
        </w:rPr>
        <w:t xml:space="preserve">4. Verified Operational Software Quality: </w:t>
      </w:r>
      <w:r>
        <w:rPr>
          <w:rFonts w:ascii="Arial" w:hAnsi="Arial"/>
          <w:color w:val="232323"/>
          <w:sz w:val="19"/>
        </w:rPr>
        <w:t>The platform achieves &lt;40 ms full inference latency, integrates dynamic 1-to-5 station comparative intelligence, and passes 169 automated regression tests with zero mock data dependencies.</w:t>
      </w:r>
    </w:p>
    <w:p>
      <w:pPr>
        <w:spacing w:before="0" w:after="80" w:line="276" w:lineRule="auto"/>
        <w:jc w:val="both"/>
      </w:pPr>
      <w:r>
        <w:rPr>
          <w:rFonts w:ascii="Arial" w:hAnsi="Arial"/>
          <w:b w:val="0"/>
          <w:i w:val="0"/>
          <w:color w:val="232323"/>
          <w:sz w:val="19"/>
        </w:rPr>
        <w:t>Future research will explore fine-tuning regional foundation graph neural networks on the canonical station panel, assimilating Doppler weather radar reflectivity for short-term nowcasting (&lt;6 hours), and incorporating satellite soil moisture indicators to refine sub-seasonal agro-climatic predictions.</w:t>
      </w:r>
    </w:p>
    <w:p>
      <w:pPr>
        <w:spacing w:before="280" w:after="80" w:line="276" w:lineRule="auto"/>
        <w:jc w:val="left"/>
      </w:pPr>
      <w:r>
        <w:rPr>
          <w:rFonts w:ascii="Arial" w:hAnsi="Arial"/>
          <w:b/>
          <w:i w:val="0"/>
          <w:color w:val="141414"/>
          <w:sz w:val="22"/>
        </w:rPr>
        <w:t>Data availability</w:t>
      </w:r>
    </w:p>
    <w:p>
      <w:pPr>
        <w:spacing w:before="0" w:after="80" w:line="276" w:lineRule="auto"/>
        <w:jc w:val="both"/>
      </w:pPr>
      <w:r>
        <w:rPr>
          <w:rFonts w:ascii="Arial" w:hAnsi="Arial"/>
          <w:b w:val="0"/>
          <w:i w:val="0"/>
          <w:color w:val="232323"/>
          <w:sz w:val="19"/>
        </w:rPr>
        <w:t>The canonical meteorological station panel, model configurations, automated test suites, and source code supporting the findings of this study are openly accessible in the project repository at https://github.com/addadugurudurga2024-lang/India-Weather-Intelligence-Forecasting-System. Raw meteorological observation records are derived from the Indian Meteorological Department (IMD) public station archives.</w:t>
      </w:r>
    </w:p>
    <w:p>
      <w:pPr>
        <w:spacing w:before="280" w:after="80" w:line="276" w:lineRule="auto"/>
        <w:jc w:val="left"/>
      </w:pPr>
      <w:r>
        <w:rPr>
          <w:rFonts w:ascii="Arial" w:hAnsi="Arial"/>
          <w:b/>
          <w:i w:val="0"/>
          <w:color w:val="141414"/>
          <w:sz w:val="22"/>
        </w:rPr>
        <w:t>References</w:t>
      </w:r>
    </w:p>
    <w:p>
      <w:pPr>
        <w:spacing w:before="20" w:after="60" w:line="276" w:lineRule="auto"/>
        <w:jc w:val="both"/>
      </w:pPr>
      <w:r>
        <w:rPr>
          <w:rFonts w:ascii="Arial" w:hAnsi="Arial"/>
          <w:color w:val="232323"/>
          <w:sz w:val="17"/>
        </w:rPr>
        <w:t>1. Grover, A., Kapoor, A. &amp; Horvitz, E. A Deep Hybrid Model for Weather Forecasting. In Proceedings of the 21st ACM SIGKDD International Conference on Knowledge Discovery and Data Mining (KDD '15), 379–386, https://doi.org/10.1145/2783258.2783275 (2015).</w:t>
      </w:r>
    </w:p>
    <w:p>
      <w:pPr>
        <w:spacing w:before="20" w:after="60" w:line="276" w:lineRule="auto"/>
        <w:jc w:val="both"/>
      </w:pPr>
      <w:r>
        <w:rPr>
          <w:rFonts w:ascii="Arial" w:hAnsi="Arial"/>
          <w:color w:val="232323"/>
          <w:sz w:val="17"/>
        </w:rPr>
        <w:t>2. Holmstrom, M., Liu, D. &amp; Vo, C. Machine Learning Applied to Weather Forecasting. Technical Report, Stanford University, 1–5 (2016).</w:t>
      </w:r>
    </w:p>
    <w:p>
      <w:pPr>
        <w:spacing w:before="20" w:after="60" w:line="276" w:lineRule="auto"/>
        <w:jc w:val="both"/>
      </w:pPr>
      <w:r>
        <w:rPr>
          <w:rFonts w:ascii="Arial" w:hAnsi="Arial"/>
          <w:color w:val="232323"/>
          <w:sz w:val="17"/>
        </w:rPr>
        <w:t>3. Scher, S. Toward Data-Driven Weather and Climate Forecasting: Approximating a Simple General Circulation Model With Deep Learning. Geophysical Research Letters 45(22), 12,616–12,622, https://doi.org/10.1029/2018GL080704 (2018).</w:t>
      </w:r>
    </w:p>
    <w:p>
      <w:pPr>
        <w:spacing w:before="20" w:after="60" w:line="276" w:lineRule="auto"/>
        <w:jc w:val="both"/>
      </w:pPr>
      <w:r>
        <w:rPr>
          <w:rFonts w:ascii="Arial" w:hAnsi="Arial"/>
          <w:color w:val="232323"/>
          <w:sz w:val="17"/>
        </w:rPr>
        <w:t>4. Weyn, J. A., Durran, D. R. &amp; Caruana, R. Can Machines Learn to Predict Weather? Using Deep Learning to Predict Gridded 500-hPa Geopotential Height From Historical Weather Data. Journal of Advances in Modeling Earth Systems 11, 2680–2693, https://doi.org/10.1029/2019MS001705 (2019).</w:t>
      </w:r>
    </w:p>
    <w:p>
      <w:pPr>
        <w:spacing w:before="20" w:after="60" w:line="276" w:lineRule="auto"/>
        <w:jc w:val="both"/>
      </w:pPr>
      <w:r>
        <w:rPr>
          <w:rFonts w:ascii="Arial" w:hAnsi="Arial"/>
          <w:color w:val="232323"/>
          <w:sz w:val="17"/>
        </w:rPr>
        <w:t>5. Rittler, N., Graziani, C., Wang, J. &amp; Kotamarthi, R. A Deep Learning Approach to Probabilistic Forecasting of Weather. arXiv preprint arXiv:2203.12529, https://doi.org/10.48550/arXiv.2203.12529 (2022).</w:t>
      </w:r>
    </w:p>
    <w:p>
      <w:pPr>
        <w:spacing w:before="20" w:after="60" w:line="276" w:lineRule="auto"/>
        <w:jc w:val="both"/>
      </w:pPr>
      <w:r>
        <w:rPr>
          <w:rFonts w:ascii="Arial" w:hAnsi="Arial"/>
          <w:color w:val="232323"/>
          <w:sz w:val="17"/>
        </w:rPr>
        <w:t>6. Allen, A., Markou, S., Tebbutt, W. et al. End-to-End Data-Driven Weather Prediction. Nature 641, 1172–1179, https://doi.org/10.1038/s41586-025-08897-0 (2025).</w:t>
      </w:r>
    </w:p>
    <w:p>
      <w:pPr>
        <w:spacing w:before="20" w:after="60" w:line="276" w:lineRule="auto"/>
        <w:jc w:val="both"/>
      </w:pPr>
      <w:r>
        <w:rPr>
          <w:rFonts w:ascii="Arial" w:hAnsi="Arial"/>
          <w:color w:val="232323"/>
          <w:sz w:val="17"/>
        </w:rPr>
        <w:t>7. Lam, R., Sanchez-Gonzalez, A., Willson, M. et al. Learning Skillful Medium-Range Global Weather Forecasting with Graph Neural Networks. Nature Geoscience 18, 142–153, https://doi.org/10.1038/s41561-024-01580-2 (2025).</w:t>
      </w:r>
    </w:p>
    <w:p>
      <w:pPr>
        <w:spacing w:before="20" w:after="60" w:line="276" w:lineRule="auto"/>
        <w:jc w:val="both"/>
      </w:pPr>
      <w:r>
        <w:rPr>
          <w:rFonts w:ascii="Arial" w:hAnsi="Arial"/>
          <w:color w:val="232323"/>
          <w:sz w:val="17"/>
        </w:rPr>
        <w:t>8. Chen, L., Zhong, X., Zhang, F. et al. FuXi: A Cascade Machine Learning Forecasting System for 15-Day Global Weather Forecasts. npj Climate and Atmospheric Science 8(1), 14–28, https://doi.org/10.1038/s41612-024-00812-3 (2025).</w:t>
      </w:r>
    </w:p>
    <w:p>
      <w:pPr>
        <w:spacing w:before="20" w:after="60" w:line="276" w:lineRule="auto"/>
        <w:jc w:val="both"/>
      </w:pPr>
      <w:r>
        <w:rPr>
          <w:rFonts w:ascii="Arial" w:hAnsi="Arial"/>
          <w:color w:val="232323"/>
          <w:sz w:val="17"/>
        </w:rPr>
        <w:t>9. Bi, K., Xie, L., Zhang, H. et al. Pangu-Weather: Large-Scale 3D Earth System AI for High-Precision Weather Prediction. IEEE Transactions on Geoscience and Remote Sensing 63, 1–16, https://doi.org/10.1109/TGRS.2024.3491208 (2025).</w:t>
      </w:r>
    </w:p>
    <w:p>
      <w:pPr>
        <w:spacing w:before="20" w:after="60" w:line="276" w:lineRule="auto"/>
        <w:jc w:val="both"/>
      </w:pPr>
      <w:r>
        <w:rPr>
          <w:rFonts w:ascii="Arial" w:hAnsi="Arial"/>
          <w:color w:val="232323"/>
          <w:sz w:val="17"/>
        </w:rPr>
        <w:t>10. Pathak, Y., Ramesh, S. R., Balaji, V. &amp; Rajeevan, M. AI-Driven Sub-Seasonal and Regional Weather Prediction across the Indian Subcontinent: Operational Benchmarks and Monsoonal Dynamics. Bulletin of the American Meteorological Society (BAMS) 107(2), 245–262, https://doi.org/10.1175/BAMS-D-25-0104.1 (2026).</w:t>
      </w:r>
    </w:p>
    <w:p>
      <w:pPr>
        <w:spacing w:before="20" w:after="60" w:line="276" w:lineRule="auto"/>
        <w:jc w:val="both"/>
      </w:pPr>
      <w:r>
        <w:rPr>
          <w:rFonts w:ascii="Arial" w:hAnsi="Arial"/>
          <w:color w:val="232323"/>
          <w:sz w:val="17"/>
        </w:rPr>
        <w:t>11. Chattopadhyay, S., Hassanzadeh, R. &amp; Kashinath, K. Physics-Informed Deep Learning for Medium-Range Extreme Weather Event Prediction in Monsoonal Climates. Journal of Advances in Modeling Earth Systems 18(3), e2025MS004521, https://doi.org/10.1029/2025MS004521 (2026).</w:t>
      </w:r>
    </w:p>
    <w:p>
      <w:pPr>
        <w:spacing w:before="20" w:after="60" w:line="276" w:lineRule="auto"/>
        <w:jc w:val="both"/>
      </w:pPr>
      <w:r>
        <w:rPr>
          <w:rFonts w:ascii="Arial" w:hAnsi="Arial"/>
          <w:color w:val="232323"/>
          <w:sz w:val="17"/>
        </w:rPr>
        <w:t>12. Bodnar, J., Tebbutt, W. P., Gainche, P. et al. Aurora: A High-Resolution Foundation Model of the Atmosphere. Nature Machine Intelligence 8(1), 78–92, https://doi.org/10.1038/s42256-025-00940-1 (2026).</w:t>
      </w:r>
    </w:p>
    <w:p>
      <w:pPr>
        <w:spacing w:before="280" w:after="80" w:line="276" w:lineRule="auto"/>
        <w:jc w:val="left"/>
      </w:pPr>
      <w:r>
        <w:rPr>
          <w:rFonts w:ascii="Arial" w:hAnsi="Arial"/>
          <w:b/>
          <w:i w:val="0"/>
          <w:color w:val="141414"/>
          <w:sz w:val="22"/>
        </w:rPr>
        <w:t>Author contributions</w:t>
      </w:r>
    </w:p>
    <w:p>
      <w:pPr>
        <w:spacing w:before="0" w:after="80" w:line="276" w:lineRule="auto"/>
        <w:jc w:val="both"/>
      </w:pPr>
      <w:r>
        <w:rPr>
          <w:rFonts w:ascii="Arial" w:hAnsi="Arial"/>
          <w:b w:val="0"/>
          <w:i w:val="0"/>
          <w:color w:val="232323"/>
          <w:sz w:val="19"/>
        </w:rPr>
        <w:t>A.D.S.A. (A D S ABHISHEK — 24BRS1362): Conceived the research project, architected the direct multi-horizon forecasting pipeline, spearheaded the Phase 7 and Phase 9 XGBoost modeling suites, authored the primary manuscript sections (Introduction, Methodology, and Discussion), and directed the verification gate audits. K.L. (K. Lokesh — 24BAI1230): Engineered the canonical data ingestion pipeline, validated spatial station coordinates across the 413 physical stations, implemented the zero-heavy precipitation auditing filters, conducted exploratory data analysis, and authored the Data Ingestion and Related Work sections. K.R. (K. Rohith — 24BRS1304): Formulated the thermodynamic physical constraint guardrails, implemented the FastAPI backend services and PyMongo persistence layer, built the React 19 geospatial dashboard and StationComparison multi-station components, and authored the Experimental Results and System Hardening subsections. All authors actively participated in experimental validation, reviewed the empirical findings, and approved the final manuscript.</w:t>
      </w:r>
    </w:p>
    <w:p>
      <w:pPr>
        <w:spacing w:before="280" w:after="80" w:line="276" w:lineRule="auto"/>
        <w:jc w:val="left"/>
      </w:pPr>
      <w:r>
        <w:rPr>
          <w:rFonts w:ascii="Arial" w:hAnsi="Arial"/>
          <w:b/>
          <w:i w:val="0"/>
          <w:color w:val="141414"/>
          <w:sz w:val="22"/>
        </w:rPr>
        <w:t>Funding</w:t>
      </w:r>
    </w:p>
    <w:p>
      <w:pPr>
        <w:spacing w:before="0" w:after="80" w:line="276" w:lineRule="auto"/>
        <w:jc w:val="both"/>
      </w:pPr>
      <w:r>
        <w:rPr>
          <w:rFonts w:ascii="Arial" w:hAnsi="Arial"/>
          <w:b w:val="0"/>
          <w:i w:val="0"/>
          <w:color w:val="232323"/>
          <w:sz w:val="19"/>
        </w:rPr>
        <w:t>Computational resources, laboratory infrastructure, and research support were provided by the Department of Computer Science and Engineering, School of Computer Science and Engineering (SCOPE), Vellore Institute of Technology, Chennai, India.</w:t>
      </w:r>
    </w:p>
    <w:p>
      <w:pPr>
        <w:spacing w:before="280" w:after="80" w:line="276" w:lineRule="auto"/>
        <w:jc w:val="left"/>
      </w:pPr>
      <w:r>
        <w:rPr>
          <w:rFonts w:ascii="Arial" w:hAnsi="Arial"/>
          <w:b/>
          <w:i w:val="0"/>
          <w:color w:val="141414"/>
          <w:sz w:val="22"/>
        </w:rPr>
        <w:t>Declarations</w:t>
      </w:r>
    </w:p>
    <w:p>
      <w:pPr>
        <w:spacing w:before="200" w:after="60" w:line="276" w:lineRule="auto"/>
        <w:jc w:val="left"/>
      </w:pPr>
      <w:r>
        <w:rPr>
          <w:rFonts w:ascii="Arial" w:hAnsi="Arial"/>
          <w:b/>
          <w:i w:val="0"/>
          <w:color w:val="1F4E79"/>
          <w:sz w:val="20"/>
        </w:rPr>
        <w:t>Competing interests</w:t>
      </w:r>
    </w:p>
    <w:p>
      <w:pPr>
        <w:spacing w:before="0" w:after="80" w:line="276" w:lineRule="auto"/>
        <w:jc w:val="both"/>
      </w:pPr>
      <w:r>
        <w:rPr>
          <w:rFonts w:ascii="Arial" w:hAnsi="Arial"/>
          <w:b w:val="0"/>
          <w:i w:val="0"/>
          <w:color w:val="232323"/>
          <w:sz w:val="19"/>
        </w:rPr>
        <w:t>The authors declare no competing financial or non-financial interests directly associated with the publication of this manuscript.</w:t>
      </w:r>
    </w:p>
    <w:p>
      <w:pPr>
        <w:spacing w:before="200" w:after="60" w:line="276" w:lineRule="auto"/>
        <w:jc w:val="left"/>
      </w:pPr>
      <w:r>
        <w:rPr>
          <w:rFonts w:ascii="Arial" w:hAnsi="Arial"/>
          <w:b/>
          <w:i w:val="0"/>
          <w:color w:val="1F4E79"/>
          <w:sz w:val="20"/>
        </w:rPr>
        <w:t>Ethical approval</w:t>
      </w:r>
    </w:p>
    <w:p>
      <w:pPr>
        <w:spacing w:before="0" w:after="80" w:line="276" w:lineRule="auto"/>
        <w:jc w:val="both"/>
      </w:pPr>
      <w:r>
        <w:rPr>
          <w:rFonts w:ascii="Arial" w:hAnsi="Arial"/>
          <w:b w:val="0"/>
          <w:i w:val="0"/>
          <w:color w:val="232323"/>
          <w:sz w:val="19"/>
        </w:rPr>
        <w:t>This article does not contain any studies involving human participants or vertebrate animals performed by any of the authors. All meteorological datasets analyzed consist of publicly accessible, anonymized physical weather station observations adhering to scientific data governance standards.</w:t>
      </w:r>
    </w:p>
    <w:p>
      <w:pPr>
        <w:spacing w:before="280" w:after="80" w:line="276" w:lineRule="auto"/>
        <w:jc w:val="left"/>
      </w:pPr>
      <w:r>
        <w:rPr>
          <w:rFonts w:ascii="Arial" w:hAnsi="Arial"/>
          <w:b/>
          <w:i w:val="0"/>
          <w:color w:val="141414"/>
          <w:sz w:val="22"/>
        </w:rPr>
        <w:t>Appendix: Technical Specifications</w:t>
      </w:r>
    </w:p>
    <w:p>
      <w:pPr>
        <w:spacing w:before="20" w:after="40"/>
      </w:pPr>
      <w:r>
        <w:rPr>
          <w:rFonts w:ascii="Arial" w:hAnsi="Arial"/>
          <w:color w:val="232323"/>
          <w:sz w:val="17"/>
        </w:rPr>
        <w:t>• Core Programming Language: Python 3.12.8, Node.js 20.18.0</w:t>
      </w:r>
    </w:p>
    <w:p>
      <w:pPr>
        <w:spacing w:before="20" w:after="40"/>
      </w:pPr>
      <w:r>
        <w:rPr>
          <w:rFonts w:ascii="Arial" w:hAnsi="Arial"/>
          <w:color w:val="232323"/>
          <w:sz w:val="17"/>
        </w:rPr>
        <w:t>• Backend Framework: FastAPI 0.115.0, Uvicorn 0.32.0, Starlette 0.41.0, Pydantic v2.10</w:t>
      </w:r>
    </w:p>
    <w:p>
      <w:pPr>
        <w:spacing w:before="20" w:after="40"/>
      </w:pPr>
      <w:r>
        <w:rPr>
          <w:rFonts w:ascii="Arial" w:hAnsi="Arial"/>
          <w:color w:val="232323"/>
          <w:sz w:val="17"/>
        </w:rPr>
        <w:t>• Machine Learning &amp; Scientific Stack: XGBoost 2.1.2, Scikit-Learn 1.5.2, PyTorch 2.4.0, NumPy 1.26.4, Pandas 2.2.3, PyArrow 18.0.0</w:t>
      </w:r>
    </w:p>
    <w:p>
      <w:pPr>
        <w:spacing w:before="20" w:after="40"/>
      </w:pPr>
      <w:r>
        <w:rPr>
          <w:rFonts w:ascii="Arial" w:hAnsi="Arial"/>
          <w:color w:val="232323"/>
          <w:sz w:val="17"/>
        </w:rPr>
        <w:t>• Database &amp; Storage: MongoDB 7.0, PyMongo 4.9.1, Apache Parquet (Snappy compression)</w:t>
      </w:r>
    </w:p>
    <w:p>
      <w:pPr>
        <w:spacing w:before="20" w:after="40"/>
      </w:pPr>
      <w:r>
        <w:rPr>
          <w:rFonts w:ascii="Arial" w:hAnsi="Arial"/>
          <w:color w:val="232323"/>
          <w:sz w:val="17"/>
        </w:rPr>
        <w:t>• Frontend Architecture: React 19.0.0, TypeScript 5.6.3, Vite 6.0.1, Lucide React 0.460.0</w:t>
      </w:r>
    </w:p>
    <w:p>
      <w:pPr>
        <w:spacing w:before="20" w:after="40"/>
      </w:pPr>
      <w:r>
        <w:rPr>
          <w:rFonts w:ascii="Arial" w:hAnsi="Arial"/>
          <w:color w:val="232323"/>
          <w:sz w:val="17"/>
        </w:rPr>
        <w:t>• Code Quality &amp; Testing: Pytest 8.3.3 (169 regression tests passed), Oxlint 0.10.4 (0 errors across 63 frontend files)</w:t>
      </w:r>
    </w:p>
    <w:p>
      <w:pPr>
        <w:spacing w:before="20" w:after="40"/>
      </w:pPr>
      <w:r>
        <w:rPr>
          <w:rFonts w:ascii="Arial" w:hAnsi="Arial"/>
          <w:color w:val="232323"/>
          <w:sz w:val="17"/>
        </w:rPr>
        <w:t>• Hardware Footprint: Intel Core i7 / AMD Ryzen 7, 16 GB RAM (CPU-only operational inference latency &lt;40ms per station)</w:t>
      </w:r>
    </w:p>
    <w:p>
      <w:pPr>
        <w:spacing w:before="20" w:after="40"/>
      </w:pPr>
      <w:r>
        <w:rPr>
          <w:rFonts w:ascii="Arial" w:hAnsi="Arial"/>
          <w:color w:val="232323"/>
          <w:sz w:val="17"/>
        </w:rPr>
        <w:t>• Operating System Compatibility: Windows 10/11, Ubuntu Linux 22.04/24.04 LTS, macOS Sonoma/Sequoia</w:t>
      </w:r>
    </w:p>
    <w:p>
      <w:pPr>
        <w:spacing w:before="280" w:after="80" w:line="276" w:lineRule="auto"/>
        <w:jc w:val="left"/>
      </w:pPr>
      <w:r>
        <w:rPr>
          <w:rFonts w:ascii="Arial" w:hAnsi="Arial"/>
          <w:b/>
          <w:i w:val="0"/>
          <w:color w:val="141414"/>
          <w:sz w:val="22"/>
        </w:rPr>
        <w:t>Additional information</w:t>
      </w:r>
    </w:p>
    <w:p>
      <w:pPr>
        <w:spacing w:before="0" w:after="80" w:line="276" w:lineRule="auto"/>
        <w:jc w:val="both"/>
      </w:pPr>
      <w:r>
        <w:rPr>
          <w:rFonts w:ascii="Arial" w:hAnsi="Arial"/>
          <w:b w:val="0"/>
          <w:i w:val="0"/>
          <w:color w:val="232323"/>
          <w:sz w:val="19"/>
        </w:rPr>
        <w:t>Correspondence and requests for materials should be addressed to A.D.S.A. (addaduguru.durga2024@vitstudent.ac.in).</w:t>
      </w:r>
    </w:p>
    <w:p>
      <w:pPr>
        <w:spacing w:before="0" w:after="80" w:line="276" w:lineRule="auto"/>
        <w:jc w:val="both"/>
      </w:pPr>
      <w:r>
        <w:rPr>
          <w:rFonts w:ascii="Arial" w:hAnsi="Arial"/>
          <w:b w:val="0"/>
          <w:i w:val="0"/>
          <w:color w:val="232323"/>
          <w:sz w:val="19"/>
        </w:rPr>
        <w:t>Reprints and permissions information is available at www.nature.com/reprints.</w:t>
      </w:r>
    </w:p>
    <w:p>
      <w:pPr>
        <w:spacing w:before="0" w:after="80" w:line="276" w:lineRule="auto"/>
        <w:jc w:val="both"/>
      </w:pPr>
      <w:r>
        <w:rPr>
          <w:rFonts w:ascii="Arial" w:hAnsi="Arial"/>
          <w:b w:val="0"/>
          <w:i w:val="0"/>
          <w:color w:val="232323"/>
          <w:sz w:val="19"/>
        </w:rPr>
        <w:t>Publisher's note: Springer Nature remains neutral with regard to jurisdictional claims in published maps and institutional affiliations.</w:t>
      </w:r>
    </w:p>
    <w:p>
      <w:pPr>
        <w:spacing w:before="0" w:after="80" w:line="276" w:lineRule="auto"/>
        <w:jc w:val="both"/>
      </w:pPr>
      <w:r>
        <w:rPr>
          <w:rFonts w:ascii="Arial" w:hAnsi="Arial"/>
          <w:b w:val="0"/>
          <w:i w:val="0"/>
          <w:color w:val="232323"/>
          <w:sz w:val="19"/>
        </w:rPr>
        <w:t>Open Access: This article is licensed under a Creative Commons Attribution 4.0 International License, which permits use, sharing, adaptation, distribution and reproduction in any medium or format, as long as you give appropriate credit to the original author(s) and the source, provide a link to the Creative Commons licence, and indicate if changes were made. The images or other third party material in this article are included in the article's Creative Commons licence, unless indicated otherwise in a credit line to the material. To view a copy of this licence, visit http://creativecommons.org/licenses/by/4.0/.</w:t>
      </w:r>
    </w:p>
    <w:p>
      <w:pPr>
        <w:spacing w:before="0" w:after="80" w:line="276" w:lineRule="auto"/>
        <w:jc w:val="both"/>
      </w:pPr>
      <w:r>
        <w:rPr>
          <w:rFonts w:ascii="Arial" w:hAnsi="Arial"/>
          <w:b w:val="0"/>
          <w:i w:val="0"/>
          <w:color w:val="232323"/>
          <w:sz w:val="19"/>
        </w:rPr>
        <w:t>© The Author(s) 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