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MAINTENANCE &amp; EVOLUTION PLAN</w:t>
      </w:r>
    </w:p>
    <w:p>
      <w:pPr>
        <w:spacing w:after="200"/>
        <w:jc w:val="center"/>
      </w:pPr>
      <w:r>
        <w:rPr>
          <w:rFonts w:ascii="Calibri" w:cs="Calibri" w:eastAsia="Calibri" w:hAnsi="Calibri"/>
          <w:b/>
          <w:bCs/>
          <w:sz w:val="34"/>
          <w:szCs w:val="34"/>
        </w:rPr>
        <w:t xml:space="preserve">Operations, Upkeep and Roadmap</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1.3  ·  August 2026</w:t>
      </w:r>
    </w:p>
    <w:p>
      <w:pPr>
        <w:spacing w:after="160"/>
        <w:jc w:val="center"/>
      </w:pPr>
      <w:r>
        <w:rPr>
          <w:rFonts w:ascii="Calibri" w:cs="Calibri" w:eastAsia="Calibri" w:hAnsi="Calibri"/>
          <w:i/>
          <w:iCs/>
          <w:sz w:val="24"/>
          <w:szCs w:val="24"/>
        </w:rPr>
        <w:t>Companion documents: Design v1.8 · Testing Report v1.6 · Technical Debt Ledger v1.4</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Ownership</w:t>
      </w:r>
    </w:p>
    <w:p>
      <w:pPr>
        <w:spacing w:after="160" w:line="276"/>
      </w:pPr>
      <w:r>
        <w:rPr>
          <w:rFonts w:ascii="Calibri" w:cs="Calibri" w:eastAsia="Calibri" w:hAnsi="Calibri"/>
          <w:b w:val="false"/>
          <w:bCs w:val="false"/>
          <w:i w:val="false"/>
          <w:iCs w:val="false"/>
          <w:sz w:val="22"/>
          <w:szCs w:val="22"/>
        </w:rPr>
        <w:t xml:space="preserve">This plan defines how MediCore HMS is kept healthy after delivery: the routine maintenance calendar, backup and recovery, monitoring and incident response, security operations, the dependency and upgrade policy, and the evolution roadmap for Milestones 4–6. It assumes the deployment topology of DEPLOYMENT.md (containerised API, managed PostgreSQL, Vercel-hosted web) but every practice transfers to other hosts. A single named maintainer (the project owner) holds the pager in this phase; the handover section (§9) makes the project transferable.</w:t>
      </w:r>
    </w:p>
    <w:p>
      <w:pPr>
        <w:pStyle w:val="Heading1"/>
        <w:spacing w:after="200" w:before="320"/>
      </w:pPr>
      <w:r>
        <w:rPr>
          <w:rFonts w:ascii="Calibri" w:cs="Calibri" w:eastAsia="Calibri" w:hAnsi="Calibri"/>
        </w:rPr>
        <w:t xml:space="preserve">2. Operating Model</w:t>
      </w:r>
    </w:p>
    <w:p>
      <w:pPr>
        <w:pStyle w:val="ListParagraph"/>
        <w:numPr>
          <w:ilvl w:val="0"/>
          <w:numId w:val="2"/>
        </w:numPr>
        <w:spacing w:after="100" w:line="276"/>
      </w:pPr>
      <w:r>
        <w:rPr>
          <w:rFonts w:ascii="Calibri" w:cs="Calibri" w:eastAsia="Calibri" w:hAnsi="Calibri"/>
          <w:sz w:val="22"/>
          <w:szCs w:val="22"/>
        </w:rPr>
        <w:t>Source of truth: the Git repository, main branch protected by CI. Every push runs the full Gradle unit + integration suite against a PostgreSQL service, and the web production build.</w:t>
      </w:r>
    </w:p>
    <w:p>
      <w:pPr>
        <w:pStyle w:val="ListParagraph"/>
        <w:numPr>
          <w:ilvl w:val="0"/>
          <w:numId w:val="2"/>
        </w:numPr>
        <w:spacing w:after="100" w:line="276"/>
      </w:pPr>
      <w:r>
        <w:rPr>
          <w:rFonts w:ascii="Calibri" w:cs="Calibri" w:eastAsia="Calibri" w:hAnsi="Calibri"/>
          <w:sz w:val="22"/>
          <w:szCs w:val="22"/>
        </w:rPr>
        <w:t>Versioning: documents carry explicit versions with change records (SRS v1.4, Design v1.4, and so on); the application is tagged at milestone boundaries (v0.9 = M3 complete). Any change that alters requirements or architecture must land with the corresponding document bump in the same commit — this discipline held from v1.0 through the ITC integration and continues.</w:t>
      </w:r>
    </w:p>
    <w:p>
      <w:pPr>
        <w:pStyle w:val="ListParagraph"/>
        <w:numPr>
          <w:ilvl w:val="0"/>
          <w:numId w:val="2"/>
        </w:numPr>
        <w:spacing w:after="100" w:line="276"/>
      </w:pPr>
      <w:r>
        <w:rPr>
          <w:rFonts w:ascii="Calibri" w:cs="Calibri" w:eastAsia="Calibri" w:hAnsi="Calibri"/>
          <w:sz w:val="22"/>
          <w:szCs w:val="22"/>
        </w:rPr>
        <w:t xml:space="preserve">Database changes are Flyway migrations only, forward-only, never edited after they ship; the demo seed stays behind FLYWAY_LOCATIONS and is never enabled on real data.</w:t>
      </w:r>
    </w:p>
    <w:p>
      <w:pPr>
        <w:pStyle w:val="ListParagraph"/>
        <w:numPr>
          <w:ilvl w:val="0"/>
          <w:numId w:val="2"/>
        </w:numPr>
        <w:spacing w:after="100" w:line="276"/>
      </w:pPr>
      <w:r>
        <w:rPr>
          <w:rFonts w:ascii="Calibri" w:cs="Calibri" w:eastAsia="Calibri" w:hAnsi="Calibri"/>
          <w:sz w:val="22"/>
          <w:szCs w:val="22"/>
        </w:rPr>
        <w:t xml:space="preserve">The Technical Debt Ledger is reviewed at each milestone close; new debt enters with cause, impact, priority and plan completed.</w:t>
      </w:r>
    </w:p>
    <w:p>
      <w:pPr>
        <w:pStyle w:val="Heading1"/>
        <w:spacing w:after="200" w:before="320"/>
      </w:pPr>
      <w:r>
        <w:rPr>
          <w:rFonts w:ascii="Calibri" w:cs="Calibri" w:eastAsia="Calibri" w:hAnsi="Calibri"/>
        </w:rPr>
        <w:t>3. Categories of Maintenance</w:t>
      </w:r>
    </w:p>
    <w:p>
      <w:pPr>
        <w:spacing w:after="160"/>
        <w:jc w:val="center"/>
      </w:pPr>
      <w:r>
        <w:rPr>
          <w:rFonts w:ascii="Calibri" w:cs="Calibri" w:eastAsia="Calibri" w:hAnsi="Calibri"/>
          <w:i/>
          <w:iCs/>
          <w:sz w:val="24"/>
          <w:szCs w:val="24"/>
        </w:rPr>
        <w:t>Work after delivery is planned across the four recognised categories of software maintenance. The distinction matters operationally: corrective work is unplanned and interrupts, while the other three are scheduled, and a team that only budgets for the first is permanently firefighting.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Category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carried out on this system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Corrective — fixing defects found in use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reported fault is first reproduced by a failing automated test, then fixed, and the test is kept as a regression guard. This is the pattern already applied to every defect in Testing Report §6, including the account lockout that never engaged and the audit write that destroyed the record it described. Severity 1 (data loss, unauthorised access, payment credited without verification) is fixed and deployed the same day; severity 2 within the week; cosmetic issues join the next milestone.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Adaptive — keeping pace with the environment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Java tracks LTS releases; Spring Boot takes minor upgrades monthly behind CI; PostgreSQL follows the managed provider's minor updates with major versions rehearsed on a restored copy first. External change is absorbed at the boundary: the payment gateway sits behind the PaymentGateway port, so a vendor API change moves the adapter and nothing else. Hosting or platform migration is a Dockerfile concern, not an application one.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Perfective — improving what already works</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Driven by the monitoring signals in §6 rather than by taste: pending payments older than thirty minutes, API response times, database connection and storage headroom, and user feedback from the front desk. Candidate work includes moving slot materialisation off the request path (TD-01), accruing bed-days on read (TD-03), and the management dashboards deferred to M6 (TD-13).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Preventive — stopping defects before they occur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Scheduled work whose only purpose is to avoid future failure: dependency audits with security patches applied promptly — the Next.js patch that cleared two HIGH CVEs is the worked example (TD-18); rehearsed backup restores, because an untested backup is not a backup; access-list reviews with leavers deactivated; and repayment of registered technical debt at each milestone close, so the ledger shrinks rather than grows.</w:t>
            </w:r>
          </w:p>
        </w:tc>
      </w:tr>
    </w:tbl>
    <w:p>
      <w:pPr>
        <w:pStyle w:val="Heading1"/>
        <w:spacing w:after="200" w:before="320"/>
      </w:pPr>
      <w:r>
        <w:rPr>
          <w:rFonts w:ascii="Calibri" w:cs="Calibri" w:eastAsia="Calibri" w:hAnsi="Calibri"/>
        </w:rPr>
        <w:t>4. Routine Maintenance Calendar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Cadence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Tasks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Daily (automated + 5-minute glance)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Uptime check on /api/health; review payments stuck in pending (run verification via POST /api/payments/{id}/verify — the missed-callback recovery designed into the ITC integration); scan API error logs for repeated 5xx.</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Weekly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Review the audit log for anomalous access patterns (the append-only audit_log records every policy decision of consequence); pharmacy expiry report — batches expiring within 60 days flagged to the pharmacist; verify last night’s backup restored to a scratch database (see §4).</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Monthly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Apply dependency patches: npm audit for web, Gradle dependency updates for the API; review account list with the administrator (leavers deactivated, lockouts explained); check disk/connection headroom on the database plan.</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Quarterly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Restore drill: full recovery to a fresh environment, timed against the RTO; rotate SESSION_SECRET and ITC credentials; review bcrypt cost against current hardware guidance; re-run the full first-deploy checklist as a regression walk.</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Milestone close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Debt ledger review; document version audit; tag the release; update this plan’s roadmap section.</w:t>
            </w:r>
          </w:p>
        </w:tc>
      </w:tr>
    </w:tbl>
    <w:p>
      <w:pPr>
        <w:pStyle w:val="Heading1"/>
        <w:spacing w:after="200" w:before="320"/>
      </w:pPr>
      <w:r>
        <w:rPr>
          <w:rFonts w:ascii="Calibri" w:cs="Calibri" w:eastAsia="Calibri" w:hAnsi="Calibri"/>
        </w:rPr>
        <w:t>5. Backup and Recovery</w:t>
      </w:r>
    </w:p>
    <w:p>
      <w:pPr>
        <w:pStyle w:val="ListParagraph"/>
        <w:numPr>
          <w:ilvl w:val="0"/>
          <w:numId w:val="2"/>
        </w:numPr>
        <w:spacing w:after="100" w:line="276"/>
      </w:pPr>
      <w:r>
        <w:rPr>
          <w:rFonts w:ascii="Calibri" w:cs="Calibri" w:eastAsia="Calibri" w:hAnsi="Calibri"/>
          <w:sz w:val="22"/>
          <w:szCs w:val="22"/>
        </w:rPr>
        <w:t xml:space="preserve">What is backed up: the PostgreSQL database is the only stateful component — the API and web tiers are rebuilt from Git. Managed-provider point-in-time recovery is the primary mechanism; an independent nightly pg_dump to separate storage is the belt-and-braces copy (never rely on a single mechanism owned by one vendor).</w:t>
      </w:r>
    </w:p>
    <w:p>
      <w:pPr>
        <w:pStyle w:val="ListParagraph"/>
        <w:numPr>
          <w:ilvl w:val="0"/>
          <w:numId w:val="2"/>
        </w:numPr>
        <w:spacing w:after="100" w:line="276"/>
      </w:pPr>
      <w:r>
        <w:rPr>
          <w:rFonts w:ascii="Calibri" w:cs="Calibri" w:eastAsia="Calibri" w:hAnsi="Calibri"/>
          <w:sz w:val="22"/>
          <w:szCs w:val="22"/>
        </w:rPr>
        <w:t xml:space="preserve">Objectives for this deployment class: RPO ≤ 24 hours (nightly dump; PITR typically minutes), RTO ≤ 4 hours (provision database, restore dump, point the API’s DATABASE_URL, redeploy — rehearsed in the quarterly drill).</w:t>
      </w:r>
    </w:p>
    <w:p>
      <w:pPr>
        <w:pStyle w:val="ListParagraph"/>
        <w:numPr>
          <w:ilvl w:val="0"/>
          <w:numId w:val="2"/>
        </w:numPr>
        <w:spacing w:after="100" w:line="276"/>
      </w:pPr>
      <w:r>
        <w:rPr>
          <w:rFonts w:ascii="Calibri" w:cs="Calibri" w:eastAsia="Calibri" w:hAnsi="Calibri"/>
          <w:sz w:val="22"/>
          <w:szCs w:val="22"/>
        </w:rPr>
        <w:t xml:space="preserve">Restore procedure (rehearsed, not theoretical): create empty database → psql-restore the dump → run the API against it (Flyway validates the schema version) → execute the first-deploy checklist → cut traffic over. The weekly scratch-restore verifies dumps are actually restorable, which is the only property of a backup that matters.</w:t>
      </w:r>
    </w:p>
    <w:p>
      <w:pPr>
        <w:pStyle w:val="ListParagraph"/>
        <w:numPr>
          <w:ilvl w:val="0"/>
          <w:numId w:val="2"/>
        </w:numPr>
        <w:spacing w:after="100" w:line="276"/>
      </w:pPr>
      <w:r>
        <w:rPr>
          <w:rFonts w:ascii="Calibri" w:cs="Calibri" w:eastAsia="Calibri" w:hAnsi="Calibri"/>
          <w:sz w:val="22"/>
          <w:szCs w:val="22"/>
        </w:rPr>
        <w:t xml:space="preserve">What is deliberately NOT backed up: session state (users simply sign in again) and the demo seed (regenerable).</w:t>
      </w:r>
    </w:p>
    <w:p>
      <w:pPr>
        <w:pStyle w:val="Heading1"/>
        <w:spacing w:after="200" w:before="320"/>
      </w:pPr>
      <w:r>
        <w:rPr>
          <w:rFonts w:ascii="Calibri" w:cs="Calibri" w:eastAsia="Calibri" w:hAnsi="Calibri"/>
        </w:rPr>
        <w:t>6. Monitoring and Incident Response</w:t>
      </w:r>
    </w:p>
    <w:p>
      <w:pPr>
        <w:pStyle w:val="Heading2"/>
        <w:spacing w:after="160" w:before="260"/>
      </w:pPr>
      <w:r>
        <w:rPr>
          <w:rFonts w:ascii="Calibri" w:cs="Calibri" w:eastAsia="Calibri" w:hAnsi="Calibri"/>
        </w:rPr>
        <w:t>6.1 Signals</w:t>
      </w:r>
    </w:p>
    <w:p>
      <w:pPr>
        <w:pStyle w:val="ListParagraph"/>
        <w:numPr>
          <w:ilvl w:val="0"/>
          <w:numId w:val="2"/>
        </w:numPr>
        <w:spacing w:after="100" w:line="276"/>
      </w:pPr>
      <w:r>
        <w:rPr>
          <w:rFonts w:ascii="Calibri" w:cs="Calibri" w:eastAsia="Calibri" w:hAnsi="Calibri"/>
          <w:sz w:val="22"/>
          <w:szCs w:val="22"/>
        </w:rPr>
        <w:t xml:space="preserve">Liveness: /api/health polled by an external uptime monitor (free tiers sleep — the monitor doubles as a keep-warm).</w:t>
      </w:r>
    </w:p>
    <w:p>
      <w:pPr>
        <w:pStyle w:val="ListParagraph"/>
        <w:numPr>
          <w:ilvl w:val="0"/>
          <w:numId w:val="2"/>
        </w:numPr>
        <w:spacing w:after="100" w:line="276"/>
      </w:pPr>
      <w:r>
        <w:rPr>
          <w:rFonts w:ascii="Calibri" w:cs="Calibri" w:eastAsia="Calibri" w:hAnsi="Calibri"/>
          <w:sz w:val="22"/>
          <w:szCs w:val="22"/>
        </w:rPr>
        <w:t xml:space="preserve">Correctness: count of payments in pending older than 30 minutes (should be ~0 — each one is a missed callback to verify); rate of 401/403 (spikes suggest probing or a broken client); rate of 409 on booking (normal in small numbers — it is the race guard working).</w:t>
      </w:r>
    </w:p>
    <w:p>
      <w:pPr>
        <w:pStyle w:val="ListParagraph"/>
        <w:numPr>
          <w:ilvl w:val="0"/>
          <w:numId w:val="2"/>
        </w:numPr>
        <w:spacing w:after="100" w:line="276"/>
      </w:pPr>
      <w:r>
        <w:rPr>
          <w:rFonts w:ascii="Calibri" w:cs="Calibri" w:eastAsia="Calibri" w:hAnsi="Calibri"/>
          <w:sz w:val="22"/>
          <w:szCs w:val="22"/>
        </w:rPr>
        <w:t xml:space="preserve">Capacity: database connections and storage; API response times on the slot listing (the widest query).</w:t>
      </w:r>
    </w:p>
    <w:p>
      <w:pPr>
        <w:pStyle w:val="Heading2"/>
        <w:spacing w:after="160" w:before="260"/>
      </w:pPr>
      <w:r>
        <w:rPr>
          <w:rFonts w:ascii="Calibri" w:cs="Calibri" w:eastAsia="Calibri" w:hAnsi="Calibri"/>
        </w:rPr>
        <w:t>6.2 Playbooks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Incident</w:t>
            </w:r>
          </w:p>
        </w:tc>
        <w:tc>
          <w:tcPr>
            <w:tcW w:type="dxa" w:w="6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unreachable (init returns 502)</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Patients see "gateway unavailable, try again"; cash-point payments continue unaffected. No action usually needed — fail-closed design means no money state can corrupt. When the gateway returns, pending payments are settled by the daily verification sweep.</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Callback missed / payment stuck pending</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 POST /api/payments/{id}/verify (billing or the patient’s success page triggers the same). The ledger credits only on gateway-confirmed success with exact amount — verification is always safe to repeat.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failover / restore needed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Follow §4 restore procedure. Flyway validation on boot guarantees schema/app version agreement before traffic is served.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lockout wave</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audit log for source pattern; a credential-stuffing attempt shows as distributed failures. Lockouts are per-account and self-limiting; unlock legitimate users; consider tightening the rate limiter’s window (RateLimitFilter).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Stock discrepancy reported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dispense trail (dispenses table, batch-level) reconciles against physical count; qty_on_hand cannot be negative by constraint, so discrepancies are physical-world events — adjust with a correcting batch receipt and record the reason.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disputed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Nothing to restore or edit: the note is immutable by trigger, addendums carry corrections, and the audit log shows every access. Provide the extract; this is the designed medico-legal posture.</w:t>
            </w:r>
          </w:p>
        </w:tc>
      </w:tr>
    </w:tbl>
    <w:p>
      <w:pPr>
        <w:pStyle w:val="Heading1"/>
        <w:spacing w:after="200" w:before="320"/>
      </w:pPr>
      <w:r>
        <w:rPr>
          <w:rFonts w:ascii="Calibri" w:cs="Calibri" w:eastAsia="Calibri" w:hAnsi="Calibri"/>
        </w:rPr>
        <w:t>7. Security Operations</w:t>
      </w:r>
    </w:p>
    <w:p>
      <w:pPr>
        <w:pStyle w:val="ListParagraph"/>
        <w:numPr>
          <w:ilvl w:val="0"/>
          <w:numId w:val="2"/>
        </w:numPr>
        <w:spacing w:after="100" w:line="276"/>
      </w:pPr>
      <w:r>
        <w:rPr>
          <w:rFonts w:ascii="Calibri" w:cs="Calibri" w:eastAsia="Calibri" w:hAnsi="Calibri"/>
          <w:sz w:val="22"/>
          <w:szCs w:val="22"/>
        </w:rPr>
        <w:t xml:space="preserve">Secrets live only in environment variables (SESSION_SECRET, database credentials, ITC_API_KEY / ITC_MERCHANT_PRODUCT_ID / ITC_TRANSFLOW_ID); rotation quarterly and on any suspicion; the repository has been audited to contain no secret and never to have contained one.</w:t>
      </w:r>
    </w:p>
    <w:p>
      <w:pPr>
        <w:pStyle w:val="ListParagraph"/>
        <w:numPr>
          <w:ilvl w:val="0"/>
          <w:numId w:val="2"/>
        </w:numPr>
        <w:spacing w:after="100" w:line="276"/>
      </w:pPr>
      <w:r>
        <w:rPr>
          <w:rFonts w:ascii="Calibri" w:cs="Calibri" w:eastAsia="Calibri" w:hAnsi="Calibri"/>
          <w:sz w:val="22"/>
          <w:szCs w:val="22"/>
        </w:rPr>
        <w:t xml:space="preserve">Transport is TLS end to end on the cloud topology; cookies are httpOnly and same-site (the web app’s proxy keeps them first-party — if the proxy is ever bypassed, set COOKIE_SAMESITE=none with secure cookies).</w:t>
      </w:r>
    </w:p>
    <w:p>
      <w:pPr>
        <w:pStyle w:val="ListParagraph"/>
        <w:numPr>
          <w:ilvl w:val="0"/>
          <w:numId w:val="2"/>
        </w:numPr>
        <w:spacing w:after="100" w:line="276"/>
      </w:pPr>
      <w:r>
        <w:rPr>
          <w:rFonts w:ascii="Calibri" w:cs="Calibri" w:eastAsia="Calibri" w:hAnsi="Calibri"/>
          <w:sz w:val="22"/>
          <w:szCs w:val="22"/>
        </w:rPr>
        <w:t xml:space="preserve">The demo seed must be disabled (FLYWAY_LOCATIONS without db/seed) and demo accounts removed before any real-data use.</w:t>
      </w:r>
    </w:p>
    <w:p>
      <w:pPr>
        <w:pStyle w:val="ListParagraph"/>
        <w:numPr>
          <w:ilvl w:val="0"/>
          <w:numId w:val="2"/>
        </w:numPr>
        <w:spacing w:after="100" w:line="276"/>
      </w:pPr>
      <w:r>
        <w:rPr>
          <w:rFonts w:ascii="Calibri" w:cs="Calibri" w:eastAsia="Calibri" w:hAnsi="Calibri"/>
          <w:sz w:val="22"/>
          <w:szCs w:val="22"/>
        </w:rPr>
        <w:t xml:space="preserve">Access-control changes (the policy matrix) are code changes with mandatory review: the matrix is deny-by-default, and every relaxation is commented with its justification, as the billing_clerk demographics grant was.</w:t>
      </w:r>
    </w:p>
    <w:p>
      <w:pPr>
        <w:pStyle w:val="ListParagraph"/>
        <w:numPr>
          <w:ilvl w:val="0"/>
          <w:numId w:val="2"/>
        </w:numPr>
        <w:spacing w:after="100" w:line="276"/>
      </w:pPr>
      <w:r>
        <w:rPr>
          <w:rFonts w:ascii="Calibri" w:cs="Calibri" w:eastAsia="Calibri" w:hAnsi="Calibri"/>
          <w:sz w:val="22"/>
          <w:szCs w:val="22"/>
        </w:rPr>
        <w:t xml:space="preserve">The audit log is append-only at the database level; management and sys-admin can read it, no role can alter it.</w:t>
      </w:r>
    </w:p>
    <w:p>
      <w:pPr>
        <w:pStyle w:val="Heading1"/>
        <w:spacing w:after="200" w:before="320"/>
      </w:pPr>
      <w:r>
        <w:rPr>
          <w:rFonts w:ascii="Calibri" w:cs="Calibri" w:eastAsia="Calibri" w:hAnsi="Calibri"/>
        </w:rPr>
        <w:t>8. Dependency and Upgrade Policy</w:t>
      </w:r>
    </w:p>
    <w:p>
      <w:pPr>
        <w:pStyle w:val="ListParagraph"/>
        <w:numPr>
          <w:ilvl w:val="0"/>
          <w:numId w:val="2"/>
        </w:numPr>
        <w:spacing w:after="100" w:line="276"/>
      </w:pPr>
      <w:r>
        <w:rPr>
          <w:rFonts w:ascii="Calibri" w:cs="Calibri" w:eastAsia="Calibri" w:hAnsi="Calibri"/>
          <w:sz w:val="22"/>
          <w:szCs w:val="22"/>
        </w:rPr>
        <w:t xml:space="preserve">Java: track LTS (21 now); Spring Boot minor upgrades monthly with CI as the gate, major upgrades as planned work with the full checklist walk.</w:t>
      </w:r>
    </w:p>
    <w:p>
      <w:pPr>
        <w:pStyle w:val="ListParagraph"/>
        <w:numPr>
          <w:ilvl w:val="0"/>
          <w:numId w:val="2"/>
        </w:numPr>
        <w:spacing w:after="100" w:line="276"/>
      </w:pPr>
      <w:r>
        <w:rPr>
          <w:rFonts w:ascii="Calibri" w:cs="Calibri" w:eastAsia="Calibri" w:hAnsi="Calibri"/>
          <w:sz w:val="22"/>
          <w:szCs w:val="22"/>
        </w:rPr>
        <w:t xml:space="preserve">Web: Next.js/React patch-level monthly via npm audit; framework major versions only with the production build and the Playwright walk green.</w:t>
      </w:r>
    </w:p>
    <w:p>
      <w:pPr>
        <w:pStyle w:val="ListParagraph"/>
        <w:numPr>
          <w:ilvl w:val="0"/>
          <w:numId w:val="2"/>
        </w:numPr>
        <w:spacing w:after="100" w:line="276"/>
      </w:pPr>
      <w:r>
        <w:rPr>
          <w:rFonts w:ascii="Calibri" w:cs="Calibri" w:eastAsia="Calibri" w:hAnsi="Calibri"/>
          <w:sz w:val="22"/>
          <w:szCs w:val="22"/>
        </w:rPr>
        <w:t xml:space="preserve">PostgreSQL: managed-provider minor updates automatic; major version upgrades follow the restore-drill path (restore into the new version, verify, cut over).</w:t>
      </w:r>
    </w:p>
    <w:p>
      <w:pPr>
        <w:pStyle w:val="ListParagraph"/>
        <w:numPr>
          <w:ilvl w:val="0"/>
          <w:numId w:val="2"/>
        </w:numPr>
        <w:spacing w:after="100" w:line="276"/>
      </w:pPr>
      <w:r>
        <w:rPr>
          <w:rFonts w:ascii="Calibri" w:cs="Calibri" w:eastAsia="Calibri" w:hAnsi="Calibri"/>
          <w:sz w:val="22"/>
          <w:szCs w:val="22"/>
        </w:rPr>
        <w:t xml:space="preserve">The vendor dependency that matters most is the ITC API: any change notice triggers re-running the ItcResponseMapper harness against updated samples before deploying — the mapper exists precisely so vendor drift is a one-class change (DD-07).</w:t>
      </w:r>
    </w:p>
    <w:p>
      <w:pPr>
        <w:pStyle w:val="Heading1"/>
        <w:spacing w:after="200" w:before="320"/>
      </w:pPr>
      <w:r>
        <w:rPr>
          <w:rFonts w:ascii="Calibri" w:cs="Calibri" w:eastAsia="Calibri" w:hAnsi="Calibri"/>
        </w:rPr>
        <w:t>9. Evolution Roadmap (Milestones 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Milestone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Scope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Entry criteria</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Debt repaid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module (orders, processing, release-to-patient rules); family access grants (endpoints + "My family access" page); walk-in registration</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green on v0.9; ITC UAT transaction passed</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 TD-12 (TD-08 and TD-09 were delivered early, inside v0.9)</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M5</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Beds, wards and admissions (nurse ward UI, occupancy states, bed-day accrual on read); vitals recording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module stable in use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 part of TD-01 (async generation lands here)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(aggregates only: occupancy, revenue, throughput — AC-02 preserved); admin UI for accounts; reporting exports</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milestones of production audit-log data to aggregate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r>
    </w:tbl>
    <w:p>
      <w:pPr>
        <w:spacing w:after="160" w:line="276"/>
      </w:pPr>
      <w:r>
        <w:rPr>
          <w:rFonts w:ascii="Calibri" w:cs="Calibri" w:eastAsia="Calibri" w:hAnsi="Calibri"/>
          <w:b w:val="false"/>
          <w:bCs w:val="false"/>
          <w:i w:val="false"/>
          <w:iCs w:val="false"/>
          <w:sz w:val="22"/>
          <w:szCs w:val="22"/>
        </w:rPr>
        <w:t xml:space="preserve">Rule of evolution: every milestone lands with its document bumps (SRS, Design), its ledger review, and its tests in CI before the tag — the same contract v0.9 was built under.</w:t>
      </w:r>
    </w:p>
    <w:p>
      <w:pPr>
        <w:pStyle w:val="Heading1"/>
        <w:spacing w:after="200" w:before="320"/>
      </w:pPr>
      <w:r>
        <w:rPr>
          <w:rFonts w:ascii="Calibri" w:cs="Calibri" w:eastAsia="Calibri" w:hAnsi="Calibri"/>
        </w:rPr>
        <w:t>10. Handover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Asset</w:t>
            </w:r>
          </w:p>
        </w:tc>
        <w:tc>
          <w:tcPr>
            <w:tcW w:type="dxa" w:w="6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Where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Application source + history</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Git repository (M1 → deployment-pack commit trail); medicore-backend-server/ is the production backend, web/ is the front end, docs/ carries the delivered documents and browser evidence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Run/deploy anything</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DEPLOYMENT.md (compose demo, dev setup, Render+Vercel with env tables and checklist)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Requirements / architecture / estimates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SRS v1.4, Design Document v1.4 (with diagram sources), Effort Estimation v1.0</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Quality position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Testing Report v1.0 (what is proven, what is gated) + Technical Debt Ledger v1.0 (what is owed)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Document regeneration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build_*.js scripts (docx toolchain) alongside the delivered .docx files; diagrams from PlantUML sources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Credentials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Environment variables only — obtain from the deployment platform’s secret store; nothing is in the repository</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Maintenance &amp; Evolution Plan v1.3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Maintenance &amp; Evolution Plan — MediCore HMS</dc:title>
</cp:coreProperties>
</file>

<file path=docProps/custom.xml><?xml version="1.0" encoding="utf-8"?>
<Properties xmlns="http://schemas.openxmlformats.org/officeDocument/2006/custom-properties" xmlns:vt="http://schemas.openxmlformats.org/officeDocument/2006/docPropsVTypes"/>
</file>