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52"/>
          <w:szCs w:val="52"/>
        </w:rPr>
        <w:t xml:space="preserve">SOFTWARE REQUIREMENTS SPECIFICATION</w:t>
      </w:r>
    </w:p>
    <w:p>
      <w:pPr>
        <w:spacing w:after="480"/>
        <w:jc w:val="center"/>
      </w:pPr>
      <w:r>
        <w:rPr>
          <w:rFonts w:ascii="Calibri" w:cs="Calibri" w:eastAsia="Calibri" w:hAnsi="Calibri"/>
          <w:b/>
          <w:bCs/>
          <w:sz w:val="36"/>
          <w:szCs w:val="36"/>
        </w:rPr>
        <w:t xml:space="preserve">MediCore Hospital Management System (HMS)</w:t>
      </w:r>
    </w:p>
    <w:p>
      <w:pPr>
        <w:spacing w:after="160"/>
        <w:jc w:val="center"/>
      </w:pPr>
      <w:r>
        <w:rPr>
          <w:rFonts w:ascii="Calibri" w:cs="Calibri" w:eastAsia="Calibri" w:hAnsi="Calibri"/>
          <w:sz w:val="26"/>
          <w:szCs w:val="26"/>
        </w:rPr>
        <w:t>Version 1.4</w:t>
      </w:r>
    </w:p>
    <w:p>
      <w:pPr>
        <w:spacing w:after="160"/>
        <w:jc w:val="center"/>
      </w:pPr>
      <w:r>
        <w:rPr>
          <w:rFonts w:ascii="Calibri" w:cs="Calibri" w:eastAsia="Calibri" w:hAnsi="Calibri"/>
          <w:sz w:val="26"/>
          <w:szCs w:val="26"/>
        </w:rPr>
        <w:t xml:space="preserve">August 2026</w:t>
      </w:r>
    </w:p>
    <w:p>
      <w:pPr>
        <w:spacing w:after="160"/>
        <w:jc w:val="center"/>
      </w:pPr>
      <w:r>
        <w:rPr>
          <w:rFonts w:ascii="Calibri" w:cs="Calibri" w:eastAsia="Calibri" w:hAnsi="Calibri"/>
          <w:i/>
          <w:iCs/>
          <w:sz w:val="24"/>
          <w:szCs w:val="24"/>
        </w:rPr>
        <w:t>Prepared by: Kelvin Addae Kwarteng  ·  Student ID 22427564</w:t>
      </w:r>
    </w:p>
    <w:p>
      <w:pPr>
        <w:spacing w:after="160"/>
        <w:jc w:val="center"/>
      </w:pPr>
      <w:r>
        <w:rPr>
          <w:rFonts w:ascii="Calibri" w:cs="Calibri" w:eastAsia="Calibri" w:hAnsi="Calibri"/>
          <w:i/>
          <w:iCs/>
          <w:sz w:val="24"/>
          <w:szCs w:val="24"/>
        </w:rPr>
        <w:t xml:space="preserve">Prepared for: Advanced Software Engineering Project</w:t>
      </w:r>
    </w:p>
    <w:p>
      <w:pPr>
        <w:spacing w:after="800"/>
        <w:jc w:val="center"/>
      </w:pPr>
      <w:r>
        <w:rPr>
          <w:rFonts w:ascii="Calibri" w:cs="Calibri" w:eastAsia="Calibri" w:hAnsi="Calibri"/>
          <w:i/>
          <w:iCs/>
          <w:color w:val="595959"/>
          <w:sz w:val="22"/>
          <w:szCs w:val="22"/>
        </w:rPr>
        <w:t xml:space="preserve">Prepared in accordance with IEEE Std 830-1998 (adapted)</w:t>
      </w:r>
    </w:p>
    <w:p>
      <w:r>
        <w:br w:type="page"/>
      </w:r>
    </w:p>
    <w:p>
      <w:pPr>
        <w:pStyle w:val="Heading1"/>
        <w:spacing w:after="200" w:before="320"/>
      </w:pPr>
      <w:r>
        <w:rPr>
          <w:rFonts w:ascii="Calibri" w:cs="Calibri" w:eastAsia="Calibri" w:hAnsi="Calibri"/>
        </w:rPr>
        <w:t xml:space="preserve">Document Control</w:t>
      </w:r>
    </w:p>
    <w:p>
      <w:pPr>
        <w:pStyle w:val="Heading2"/>
        <w:spacing w:after="160" w:before="260"/>
      </w:pPr>
      <w:r>
        <w:rPr>
          <w:rFonts w:ascii="Calibri" w:cs="Calibri" w:eastAsia="Calibri" w:hAnsi="Calibri"/>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200"/>
        <w:gridCol w:w="2160"/>
      </w:tblGrid>
      <w:tr>
        <w:trPr>
          <w:tblHeader/>
        </w:trPr>
        <w:tc>
          <w:tcPr>
            <w:tcW w:type="dxa" w:w="14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Version</w:t>
            </w:r>
          </w:p>
        </w:tc>
        <w:tc>
          <w:tcPr>
            <w:tcW w:type="dxa" w:w="1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Date</w:t>
            </w:r>
          </w:p>
        </w:tc>
        <w:tc>
          <w:tcPr>
            <w:tcW w:type="dxa" w:w="4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Description</w:t>
            </w:r>
          </w:p>
        </w:tc>
        <w:tc>
          <w:tcPr>
            <w:tcW w:type="dxa" w:w="21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Author</w:t>
            </w:r>
          </w:p>
        </w:tc>
      </w:tr>
      <w:tr>
        <w:tc>
          <w:tcPr>
            <w:tcW w:type="dxa" w:w="1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0.1</w:t>
            </w:r>
          </w:p>
        </w:tc>
        <w:tc>
          <w:tcPr>
            <w:tcW w:type="dxa" w:w="1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Aug 2026</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Initial draft — appointment and queue scope</w:t>
            </w:r>
          </w:p>
        </w:tc>
        <w:tc>
          <w:tcPr>
            <w:tcW w:type="dxa" w:w="2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[Your Name]</w:t>
            </w:r>
          </w:p>
        </w:tc>
      </w:tr>
      <w:tr>
        <w:tc>
          <w:tcPr>
            <w:tcW w:type="dxa" w:w="1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0.5</w:t>
            </w:r>
          </w:p>
        </w:tc>
        <w:tc>
          <w:tcPr>
            <w:tcW w:type="dxa" w:w="1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Aug 2026</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Scope expanded: pharmacy, laboratory, billing and payments, facility/bed management, EMR with permission-controlled access</w:t>
            </w:r>
          </w:p>
        </w:tc>
        <w:tc>
          <w:tcPr>
            <w:tcW w:type="dxa" w:w="2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[Your Name]</w:t>
            </w:r>
          </w:p>
        </w:tc>
      </w:tr>
      <w:tr>
        <w:tc>
          <w:tcPr>
            <w:tcW w:type="dxa" w:w="1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1.0</w:t>
            </w:r>
          </w:p>
        </w:tc>
        <w:tc>
          <w:tcPr>
            <w:tcW w:type="dxa" w:w="1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Aug 2026</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Formal baseline for design and implementation</w:t>
            </w:r>
          </w:p>
        </w:tc>
        <w:tc>
          <w:tcPr>
            <w:tcW w:type="dxa" w:w="2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[Your Name]</w:t>
            </w:r>
          </w:p>
        </w:tc>
      </w:tr>
      <w:tr>
        <w:tc>
          <w:tcPr>
            <w:tcW w:type="dxa" w:w="1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1.1</w:t>
            </w:r>
          </w:p>
        </w:tc>
        <w:tc>
          <w:tcPr>
            <w:tcW w:type="dxa" w:w="1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Aug 2026</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Backend platform changed to Java 21 / Spring Boot 3 at stakeholder request (§2.4 updated); no functional or non-functional requirement changed</w:t>
            </w:r>
          </w:p>
        </w:tc>
        <w:tc>
          <w:tcPr>
            <w:tcW w:type="dxa" w:w="2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[Your Name]</w:t>
            </w:r>
          </w:p>
        </w:tc>
      </w:tr>
      <w:tr>
        <w:tc>
          <w:tcPr>
            <w:tcW w:type="dxa" w:w="1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1.2</w:t>
            </w:r>
          </w:p>
        </w:tc>
        <w:tc>
          <w:tcPr>
            <w:tcW w:type="dxa" w:w="1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Aug 2026</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 gateway changed from Paystack to ITC Payments at stakeholder request (request/callback flow); FR-BIL-03, NFR-SEC-06, §1.2, §2, §6 updated; API specification pending (Open Issue OI-5)</w:t>
            </w:r>
          </w:p>
        </w:tc>
        <w:tc>
          <w:tcPr>
            <w:tcW w:type="dxa" w:w="2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[Your Name]</w:t>
            </w:r>
          </w:p>
        </w:tc>
      </w:tr>
      <w:tr>
        <w:tc>
          <w:tcPr>
            <w:tcW w:type="dxa" w:w="1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1.3</w:t>
            </w:r>
          </w:p>
        </w:tc>
        <w:tc>
          <w:tcPr>
            <w:tcW w:type="dxa" w:w="1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Aug 2026</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ITC Transflow Checkout API Definition received and reviewed; OI-5 RESOLVED. §2.4, §2.5, §2.6 and §6.2 updated with concrete endpoints (/request-payments, callback, /check-transaction-status), UAT environment and vendor test data. FR-BIL-03 and NFR-SEC-06 unchanged — they were written gateway-agnostic and the received flow matches them</w:t>
            </w:r>
          </w:p>
        </w:tc>
        <w:tc>
          <w:tcPr>
            <w:tcW w:type="dxa" w:w="2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[Your Name]</w:t>
            </w:r>
          </w:p>
        </w:tc>
      </w:tr>
      <w:tr>
        <w:tc>
          <w:tcPr>
            <w:tcW w:type="dxa" w:w="1400"/>
            <w:tcMar>
              <w:top w:type="dxa" w:w="60"/>
              <w:left w:type="dxa" w:w="100"/>
              <w:bottom w:type="dxa" w:w="60"/>
              <w:right w:type="dxa" w:w="100"/>
            </w:tcMar>
          </w:tcPr>
          <w:p>
            <w:pPr>
              <w:spacing w:after="0" w:line="240"/>
            </w:pPr>
            <w:r>
              <w:rPr>
                <w:rFonts w:ascii="Calibri" w:cs="Calibri" w:eastAsia="Calibri" w:hAnsi="Calibri"/>
                <w:b w:val="false"/>
                <w:bCs w:val="false"/>
                <w:sz w:val="20"/>
                <w:szCs w:val="20"/>
              </w:rPr>
              <w:t>1.4</w:t>
            </w:r>
          </w:p>
        </w:tc>
        <w:tc>
          <w:tcPr>
            <w:tcW w:type="dxa" w:w="1600"/>
            <w:tcMar>
              <w:top w:type="dxa" w:w="60"/>
              <w:left w:type="dxa" w:w="100"/>
              <w:bottom w:type="dxa" w:w="60"/>
              <w:right w:type="dxa" w:w="100"/>
            </w:tcMar>
          </w:tcPr>
          <w:p>
            <w:pPr>
              <w:spacing w:after="0" w:line="240"/>
            </w:pPr>
            <w:r>
              <w:rPr>
                <w:rFonts w:ascii="Calibri" w:cs="Calibri" w:eastAsia="Calibri" w:hAnsi="Calibri"/>
                <w:b w:val="false"/>
                <w:bCs w:val="false"/>
                <w:sz w:val="20"/>
                <w:szCs w:val="20"/>
              </w:rPr>
              <w:t>Operating environment corrected to the platform actually used: both tiers deployed on Railway with managed PostgreSQL 16. No requirement changed.</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Aug 2026</w:t>
            </w:r>
          </w:p>
        </w:tc>
        <w:tc>
          <w:tcPr>
            <w:tcW w:type="dxa" w:w="2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[Your Name]</w:t>
            </w:r>
          </w:p>
        </w:tc>
      </w:tr>
    </w:tbl>
    <w:p>
      <w:pPr>
        <w:spacing w:after="160"/>
      </w:pPr>
    </w:p>
    <w:p>
      <w:pPr>
        <w:pStyle w:val="Heading2"/>
        <w:spacing w:after="160" w:before="260"/>
      </w:pPr>
      <w:r>
        <w:rPr>
          <w:rFonts w:ascii="Calibri" w:cs="Calibri" w:eastAsia="Calibri" w:hAnsi="Calibri"/>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960"/>
      </w:tblGrid>
      <w:tr>
        <w:trPr>
          <w:tblHeader/>
        </w:trPr>
        <w:tc>
          <w:tcPr>
            <w:tcW w:type="dxa" w:w="24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Role</w:t>
            </w:r>
          </w:p>
        </w:tc>
        <w:tc>
          <w:tcPr>
            <w:tcW w:type="dxa" w:w="3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Name</w:t>
            </w:r>
          </w:p>
        </w:tc>
        <w:tc>
          <w:tcPr>
            <w:tcW w:type="dxa" w:w="1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Signature</w:t>
            </w:r>
          </w:p>
        </w:tc>
        <w:tc>
          <w:tcPr>
            <w:tcW w:type="dxa" w:w="19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Date</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Project Author / Developer</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[Your Name]</w:t>
            </w:r>
          </w:p>
        </w:tc>
        <w:tc>
          <w:tcPr>
            <w:tcW w:type="dxa" w:w="1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
            </w:r>
          </w:p>
        </w:tc>
        <w:tc>
          <w:tcPr>
            <w:tcW w:type="dxa" w:w="1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Supervisor / Assessor</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[Supervisor Name]</w:t>
            </w:r>
          </w:p>
        </w:tc>
        <w:tc>
          <w:tcPr>
            <w:tcW w:type="dxa" w:w="1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
            </w:r>
          </w:p>
        </w:tc>
        <w:tc>
          <w:tcPr>
            <w:tcW w:type="dxa" w:w="1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
            </w:r>
          </w:p>
        </w:tc>
      </w:tr>
    </w:tbl>
    <w:p>
      <w:r>
        <w:br w:type="page"/>
      </w:r>
    </w:p>
    <w:p>
      <w:pPr>
        <w:pStyle w:val="Heading1"/>
        <w:spacing w:after="20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20"/>
      </w:pPr>
      <w:r>
        <w:rPr>
          <w:rFonts w:ascii="Calibri" w:cs="Calibri" w:eastAsia="Calibri" w:hAnsi="Calibri"/>
        </w:rPr>
        <w:t xml:space="preserve">1. Introduction</w:t>
      </w:r>
    </w:p>
    <w:p>
      <w:pPr>
        <w:pStyle w:val="Heading2"/>
        <w:spacing w:after="160" w:before="260"/>
      </w:pPr>
      <w:r>
        <w:rPr>
          <w:rFonts w:ascii="Calibri" w:cs="Calibri" w:eastAsia="Calibri" w:hAnsi="Calibri"/>
        </w:rPr>
        <w:t xml:space="preserve">1.1 Purpose</w:t>
      </w:r>
    </w:p>
    <w:p>
      <w:pPr>
        <w:spacing w:after="160" w:line="276"/>
      </w:pPr>
      <w:r>
        <w:rPr>
          <w:rFonts w:ascii="Calibri" w:cs="Calibri" w:eastAsia="Calibri" w:hAnsi="Calibri"/>
          <w:b w:val="false"/>
          <w:bCs w:val="false"/>
          <w:i w:val="false"/>
          <w:iCs w:val="false"/>
          <w:sz w:val="22"/>
          <w:szCs w:val="22"/>
        </w:rPr>
        <w:t xml:space="preserve">This Software Requirements Specification (SRS) defines the functional and non-functional requirements for MediCore, a web-based Hospital Management System (HMS) for small and mid-sized hospitals and polyclinics. The document serves as the authoritative agreement on system scope and behaviour between the developer and project stakeholders, and as the baseline against which design, implementation, testing, and acceptance will be conducted. It is intended for the project developer, academic assessors, and representative end-user stakeholders.</w:t>
      </w:r>
    </w:p>
    <w:p>
      <w:pPr>
        <w:pStyle w:val="Heading2"/>
        <w:spacing w:after="160" w:before="260"/>
      </w:pPr>
      <w:r>
        <w:rPr>
          <w:rFonts w:ascii="Calibri" w:cs="Calibri" w:eastAsia="Calibri" w:hAnsi="Calibri"/>
        </w:rPr>
        <w:t xml:space="preserve">1.2 Scope</w:t>
      </w:r>
    </w:p>
    <w:p>
      <w:pPr>
        <w:spacing w:after="160" w:line="276"/>
      </w:pPr>
      <w:r>
        <w:rPr>
          <w:rFonts w:ascii="Calibri" w:cs="Calibri" w:eastAsia="Calibri" w:hAnsi="Calibri"/>
          <w:b w:val="false"/>
          <w:bCs w:val="false"/>
          <w:i w:val="false"/>
          <w:iCs w:val="false"/>
          <w:sz w:val="22"/>
          <w:szCs w:val="22"/>
        </w:rPr>
        <w:t xml:space="preserve">MediCore is a role-based, multi-department hospital management platform. It replaces paper registers, manual queues, standalone cash books, and fragmented patient files with a single integrated system covering:</w:t>
      </w:r>
    </w:p>
    <w:p>
      <w:pPr>
        <w:pStyle w:val="ListParagraph"/>
        <w:numPr>
          <w:ilvl w:val="0"/>
          <w:numId w:val="2"/>
        </w:numPr>
        <w:spacing w:after="100" w:line="276"/>
      </w:pPr>
      <w:r>
        <w:rPr>
          <w:rFonts w:ascii="Calibri" w:cs="Calibri" w:eastAsia="Calibri" w:hAnsi="Calibri"/>
          <w:sz w:val="22"/>
          <w:szCs w:val="22"/>
        </w:rPr>
        <w:t xml:space="preserve">Patient registration, doctor appointment booking, slot management, and live outpatient queues.</w:t>
      </w:r>
    </w:p>
    <w:p>
      <w:pPr>
        <w:pStyle w:val="ListParagraph"/>
        <w:numPr>
          <w:ilvl w:val="0"/>
          <w:numId w:val="2"/>
        </w:numPr>
        <w:spacing w:after="100" w:line="276"/>
      </w:pPr>
      <w:r>
        <w:rPr>
          <w:rFonts w:ascii="Calibri" w:cs="Calibri" w:eastAsia="Calibri" w:hAnsi="Calibri"/>
          <w:sz w:val="22"/>
          <w:szCs w:val="22"/>
        </w:rPr>
        <w:t xml:space="preserve">Confidential Electronic Medical Records (EMR) with role-based and relationship-based access control and full audit logging.</w:t>
      </w:r>
    </w:p>
    <w:p>
      <w:pPr>
        <w:pStyle w:val="ListParagraph"/>
        <w:numPr>
          <w:ilvl w:val="0"/>
          <w:numId w:val="2"/>
        </w:numPr>
        <w:spacing w:after="100" w:line="276"/>
      </w:pPr>
      <w:r>
        <w:rPr>
          <w:rFonts w:ascii="Calibri" w:cs="Calibri" w:eastAsia="Calibri" w:hAnsi="Calibri"/>
          <w:sz w:val="22"/>
          <w:szCs w:val="22"/>
        </w:rPr>
        <w:t xml:space="preserve">Pharmacy management: drug inventory, prescriptions, dispensing workflow, and stock/expiry alerts.</w:t>
      </w:r>
    </w:p>
    <w:p>
      <w:pPr>
        <w:pStyle w:val="ListParagraph"/>
        <w:numPr>
          <w:ilvl w:val="0"/>
          <w:numId w:val="2"/>
        </w:numPr>
        <w:spacing w:after="100" w:line="276"/>
      </w:pPr>
      <w:r>
        <w:rPr>
          <w:rFonts w:ascii="Calibri" w:cs="Calibri" w:eastAsia="Calibri" w:hAnsi="Calibri"/>
          <w:sz w:val="22"/>
          <w:szCs w:val="22"/>
        </w:rPr>
        <w:t xml:space="preserve">Laboratory scheduling: test ordering by doctors, lab worklists, result entry, review, and release.</w:t>
      </w:r>
    </w:p>
    <w:p>
      <w:pPr>
        <w:pStyle w:val="ListParagraph"/>
        <w:numPr>
          <w:ilvl w:val="0"/>
          <w:numId w:val="2"/>
        </w:numPr>
        <w:spacing w:after="100" w:line="276"/>
      </w:pPr>
      <w:r>
        <w:rPr>
          <w:rFonts w:ascii="Calibri" w:cs="Calibri" w:eastAsia="Calibri" w:hAnsi="Calibri"/>
          <w:sz w:val="22"/>
          <w:szCs w:val="22"/>
        </w:rPr>
        <w:t xml:space="preserve">Billing and payments: consolidated invoicing across consultations, pharmacy, laboratory, and admissions, with online payment via the ITC Payments gateway (request/callback flow).</w:t>
      </w:r>
    </w:p>
    <w:p>
      <w:pPr>
        <w:pStyle w:val="ListParagraph"/>
        <w:numPr>
          <w:ilvl w:val="0"/>
          <w:numId w:val="2"/>
        </w:numPr>
        <w:spacing w:after="100" w:line="276"/>
      </w:pPr>
      <w:r>
        <w:rPr>
          <w:rFonts w:ascii="Calibri" w:cs="Calibri" w:eastAsia="Calibri" w:hAnsi="Calibri"/>
          <w:sz w:val="22"/>
          <w:szCs w:val="22"/>
        </w:rPr>
        <w:t xml:space="preserve">Facility and bed management: ward/room/bed hierarchy, occupancy monitoring, admission, transfer, and discharge workflows.</w:t>
      </w:r>
    </w:p>
    <w:p>
      <w:pPr>
        <w:pStyle w:val="ListParagraph"/>
        <w:numPr>
          <w:ilvl w:val="0"/>
          <w:numId w:val="2"/>
        </w:numPr>
        <w:spacing w:after="100" w:line="276"/>
      </w:pPr>
      <w:r>
        <w:rPr>
          <w:rFonts w:ascii="Calibri" w:cs="Calibri" w:eastAsia="Calibri" w:hAnsi="Calibri"/>
          <w:sz w:val="22"/>
          <w:szCs w:val="22"/>
        </w:rPr>
        <w:t xml:space="preserve">Patient-granted family access: scoped, revocable visibility of admission status and bills for designated relatives.</w:t>
      </w:r>
    </w:p>
    <w:p>
      <w:pPr>
        <w:pStyle w:val="ListParagraph"/>
        <w:numPr>
          <w:ilvl w:val="0"/>
          <w:numId w:val="2"/>
        </w:numPr>
        <w:spacing w:after="100" w:line="276"/>
      </w:pPr>
      <w:r>
        <w:rPr>
          <w:rFonts w:ascii="Calibri" w:cs="Calibri" w:eastAsia="Calibri" w:hAnsi="Calibri"/>
          <w:sz w:val="22"/>
          <w:szCs w:val="22"/>
        </w:rPr>
        <w:t xml:space="preserve">Administration and reporting: staff and department management, utilisation and revenue reports.</w:t>
      </w:r>
    </w:p>
    <w:p>
      <w:pPr>
        <w:spacing w:after="160" w:line="276"/>
      </w:pPr>
      <w:r>
        <w:rPr>
          <w:rFonts w:ascii="Calibri" w:cs="Calibri" w:eastAsia="Calibri" w:hAnsi="Calibri"/>
          <w:b w:val="false"/>
          <w:bCs w:val="false"/>
          <w:i w:val="false"/>
          <w:iCs w:val="false"/>
          <w:sz w:val="22"/>
          <w:szCs w:val="22"/>
        </w:rPr>
        <w:t xml:space="preserve">The system will NOT provide in version 1: national health insurance (NHIS) claims processing, radiology image storage (PACS), telemedicine/video consultation, SMS notifications (email only in v1), payroll/HR, or multi-hospital federation. These items are recorded in the future evolution roadmap.</w:t>
      </w:r>
    </w:p>
    <w:p>
      <w:pPr>
        <w:pStyle w:val="Heading2"/>
        <w:spacing w:after="160" w:before="260"/>
      </w:pPr>
      <w:r>
        <w:rPr>
          <w:rFonts w:ascii="Calibri" w:cs="Calibri" w:eastAsia="Calibri" w:hAnsi="Calibri"/>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Term</w:t>
            </w:r>
          </w:p>
        </w:tc>
        <w:tc>
          <w:tcPr>
            <w:tcW w:type="dxa" w:w="71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Definition</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HMS</w:t>
            </w:r>
          </w:p>
        </w:tc>
        <w:tc>
          <w:tcPr>
            <w:tcW w:type="dxa" w:w="7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Hospital Management System</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EMR</w:t>
            </w:r>
          </w:p>
        </w:tc>
        <w:tc>
          <w:tcPr>
            <w:tcW w:type="dxa" w:w="7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Electronic Medical Record — the confidential clinical record of a patient</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RBAC</w:t>
            </w:r>
          </w:p>
        </w:tc>
        <w:tc>
          <w:tcPr>
            <w:tcW w:type="dxa" w:w="7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Role-Based Access Control</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ReBAC</w:t>
            </w:r>
          </w:p>
        </w:tc>
        <w:tc>
          <w:tcPr>
            <w:tcW w:type="dxa" w:w="7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Relationship-Based Access Control — access contingent on an active care relationship (appointment, admission, referral, or ward assignment)</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OPD</w:t>
            </w:r>
          </w:p>
        </w:tc>
        <w:tc>
          <w:tcPr>
            <w:tcW w:type="dxa" w:w="7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Outpatient Department</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UAT</w:t>
            </w:r>
          </w:p>
        </w:tc>
        <w:tc>
          <w:tcPr>
            <w:tcW w:type="dxa" w:w="7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User Acceptance Testing</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SRS</w:t>
            </w:r>
          </w:p>
        </w:tc>
        <w:tc>
          <w:tcPr>
            <w:tcW w:type="dxa" w:w="7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Software Requirements Specification</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MoSCoW</w:t>
            </w:r>
          </w:p>
        </w:tc>
        <w:tc>
          <w:tcPr>
            <w:tcW w:type="dxa" w:w="7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Prioritisation scheme: Must have, Should have, Could have, Won’t have (this release)</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Slot</w:t>
            </w:r>
          </w:p>
        </w:tc>
        <w:tc>
          <w:tcPr>
            <w:tcW w:type="dxa" w:w="7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bookable time interval generated from a clinician’s working schedule</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Access Grant</w:t>
            </w:r>
          </w:p>
        </w:tc>
        <w:tc>
          <w:tcPr>
            <w:tcW w:type="dxa" w:w="7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patient-authorised, scoped, time-limited permission allowing a family member to view specific data</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ITC Payments</w:t>
            </w:r>
          </w:p>
        </w:tc>
        <w:tc>
          <w:tcPr>
            <w:tcW w:type="dxa" w:w="7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Transflow Checkout gateway by IT Consortium (Ghana): hosted checkout page supporting mobile money (all Ghanaian networks) and cards; request → redirect → callback flow with server-side status verification</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Audit Log</w:t>
            </w:r>
          </w:p>
        </w:tc>
        <w:tc>
          <w:tcPr>
            <w:tcW w:type="dxa" w:w="7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Immutable record of who accessed or modified which data and when</w:t>
            </w:r>
          </w:p>
        </w:tc>
      </w:tr>
    </w:tbl>
    <w:p>
      <w:pPr>
        <w:pStyle w:val="Heading2"/>
        <w:spacing w:after="160" w:before="260"/>
      </w:pPr>
      <w:r>
        <w:rPr>
          <w:rFonts w:ascii="Calibri" w:cs="Calibri" w:eastAsia="Calibri" w:hAnsi="Calibri"/>
        </w:rPr>
        <w:t xml:space="preserve">1.4 References</w:t>
      </w:r>
    </w:p>
    <w:p>
      <w:pPr>
        <w:pStyle w:val="ListParagraph"/>
        <w:numPr>
          <w:ilvl w:val="0"/>
          <w:numId w:val="2"/>
        </w:numPr>
        <w:spacing w:after="100" w:line="276"/>
      </w:pPr>
      <w:r>
        <w:rPr>
          <w:rFonts w:ascii="Calibri" w:cs="Calibri" w:eastAsia="Calibri" w:hAnsi="Calibri"/>
          <w:sz w:val="22"/>
          <w:szCs w:val="22"/>
        </w:rPr>
        <w:t xml:space="preserve">IEEE Std 830-1998, Recommended Practice for Software Requirements Specifications.</w:t>
      </w:r>
    </w:p>
    <w:p>
      <w:pPr>
        <w:pStyle w:val="ListParagraph"/>
        <w:numPr>
          <w:ilvl w:val="0"/>
          <w:numId w:val="2"/>
        </w:numPr>
        <w:spacing w:after="100" w:line="276"/>
      </w:pPr>
      <w:r>
        <w:rPr>
          <w:rFonts w:ascii="Calibri" w:cs="Calibri" w:eastAsia="Calibri" w:hAnsi="Calibri"/>
          <w:sz w:val="22"/>
          <w:szCs w:val="22"/>
        </w:rPr>
        <w:t xml:space="preserve">Advanced Software Engineering Project Requirements (course brief), 2026.</w:t>
      </w:r>
    </w:p>
    <w:p>
      <w:pPr>
        <w:pStyle w:val="ListParagraph"/>
        <w:numPr>
          <w:ilvl w:val="0"/>
          <w:numId w:val="2"/>
        </w:numPr>
        <w:spacing w:after="100" w:line="276"/>
      </w:pPr>
      <w:r>
        <w:rPr>
          <w:rFonts w:ascii="Calibri" w:cs="Calibri" w:eastAsia="Calibri" w:hAnsi="Calibri"/>
          <w:sz w:val="22"/>
          <w:szCs w:val="22"/>
        </w:rPr>
        <w:t xml:space="preserve">Ghana Data Protection Act, 2012 (Act 843) — guiding principles for personal and health data handling.</w:t>
      </w:r>
    </w:p>
    <w:p>
      <w:pPr>
        <w:pStyle w:val="ListParagraph"/>
        <w:numPr>
          <w:ilvl w:val="0"/>
          <w:numId w:val="2"/>
        </w:numPr>
        <w:spacing w:after="100" w:line="276"/>
      </w:pPr>
      <w:r>
        <w:rPr>
          <w:rFonts w:ascii="Calibri" w:cs="Calibri" w:eastAsia="Calibri" w:hAnsi="Calibri"/>
          <w:sz w:val="22"/>
          <w:szCs w:val="22"/>
        </w:rPr>
        <w:t xml:space="preserve">Transflow Checkout Payment — API Definition, IT Consortium (confidential; received Aug 2026).</w:t>
      </w:r>
    </w:p>
    <w:p>
      <w:pPr>
        <w:pStyle w:val="ListParagraph"/>
        <w:numPr>
          <w:ilvl w:val="0"/>
          <w:numId w:val="2"/>
        </w:numPr>
        <w:spacing w:after="100" w:line="276"/>
      </w:pPr>
      <w:r>
        <w:rPr>
          <w:rFonts w:ascii="Calibri" w:cs="Calibri" w:eastAsia="Calibri" w:hAnsi="Calibri"/>
          <w:sz w:val="22"/>
          <w:szCs w:val="22"/>
        </w:rPr>
        <w:t xml:space="preserve">OWASP Top 10 (2021) — baseline for security requirements.</w:t>
      </w:r>
    </w:p>
    <w:p>
      <w:pPr>
        <w:pStyle w:val="Heading2"/>
        <w:spacing w:after="160" w:before="260"/>
      </w:pPr>
      <w:r>
        <w:rPr>
          <w:rFonts w:ascii="Calibri" w:cs="Calibri" w:eastAsia="Calibri" w:hAnsi="Calibri"/>
        </w:rPr>
        <w:t xml:space="preserve">1.5 Overview of the Document</w:t>
      </w:r>
    </w:p>
    <w:p>
      <w:pPr>
        <w:spacing w:after="160" w:line="276"/>
      </w:pPr>
      <w:r>
        <w:rPr>
          <w:rFonts w:ascii="Calibri" w:cs="Calibri" w:eastAsia="Calibri" w:hAnsi="Calibri"/>
          <w:b w:val="false"/>
          <w:bCs w:val="false"/>
          <w:i w:val="false"/>
          <w:iCs w:val="false"/>
          <w:sz w:val="22"/>
          <w:szCs w:val="22"/>
        </w:rPr>
        <w:t xml:space="preserve">Section 2 gives an overall description of the product, its users, constraints, and assumptions. Section 3 specifies functional requirements by module. Section 4 defines the access-control model and permission matrix. Section 5 specifies non-functional requirements. Section 6 defines external interfaces. Section 7 records requirement prioritisation and phasing. Appendices list hospital departments and open issues.</w:t>
      </w:r>
    </w:p>
    <w:p>
      <w:r>
        <w:br w:type="page"/>
      </w:r>
    </w:p>
    <w:p>
      <w:pPr>
        <w:pStyle w:val="Heading1"/>
        <w:spacing w:after="200" w:before="320"/>
      </w:pPr>
      <w:r>
        <w:rPr>
          <w:rFonts w:ascii="Calibri" w:cs="Calibri" w:eastAsia="Calibri" w:hAnsi="Calibri"/>
        </w:rPr>
        <w:t xml:space="preserve">2. Overall Description</w:t>
      </w:r>
    </w:p>
    <w:p>
      <w:pPr>
        <w:pStyle w:val="Heading2"/>
        <w:spacing w:after="160" w:before="260"/>
      </w:pPr>
      <w:r>
        <w:rPr>
          <w:rFonts w:ascii="Calibri" w:cs="Calibri" w:eastAsia="Calibri" w:hAnsi="Calibri"/>
        </w:rPr>
        <w:t xml:space="preserve">2.1 Product Perspective</w:t>
      </w:r>
    </w:p>
    <w:p>
      <w:pPr>
        <w:spacing w:after="160" w:line="276"/>
      </w:pPr>
      <w:r>
        <w:rPr>
          <w:rFonts w:ascii="Calibri" w:cs="Calibri" w:eastAsia="Calibri" w:hAnsi="Calibri"/>
          <w:b w:val="false"/>
          <w:bCs w:val="false"/>
          <w:i w:val="false"/>
          <w:iCs w:val="false"/>
          <w:sz w:val="22"/>
          <w:szCs w:val="22"/>
        </w:rPr>
        <w:t xml:space="preserve">MediCore is a new, self-contained web application composed of a browser-based front end, a REST API back end, and a relational database. It integrates with two external services: the ITC Payments gateway and a transactional email service for notifications and receipts. The system is multi-user and role-aware: a single deployment serves management, clinical staff, support departments, patients, and authorised family members, each seeing only the functions and data their role and relationships permit.</w:t>
      </w:r>
    </w:p>
    <w:p>
      <w:pPr>
        <w:pStyle w:val="Heading2"/>
        <w:spacing w:after="160" w:before="260"/>
      </w:pPr>
      <w:r>
        <w:rPr>
          <w:rFonts w:ascii="Calibri" w:cs="Calibri" w:eastAsia="Calibri" w:hAnsi="Calibri"/>
        </w:rPr>
        <w:t xml:space="preserve">2.2 Problem Statement</w:t>
      </w:r>
    </w:p>
    <w:p>
      <w:pPr>
        <w:spacing w:after="160" w:line="276"/>
      </w:pPr>
      <w:r>
        <w:rPr>
          <w:rFonts w:ascii="Calibri" w:cs="Calibri" w:eastAsia="Calibri" w:hAnsi="Calibri"/>
          <w:b w:val="false"/>
          <w:bCs w:val="false"/>
          <w:i w:val="false"/>
          <w:iCs w:val="false"/>
          <w:sz w:val="22"/>
          <w:szCs w:val="22"/>
        </w:rPr>
        <w:t xml:space="preserve">Small and mid-sized hospitals commonly operate with paper appointment registers, manual queue calling, handwritten prescriptions, ledger-based billing, and physical patient folders. The consequences are long and unpredictable patient waits, lost or inaccessible medical histories, medication stock-outs and expiry losses, revenue leakage from untracked charges, no visibility of bed availability during admissions, and no controlled way for staff or relatives to access patient information. MediCore addresses these problems with an integrated, access-controlled digital platform.</w:t>
      </w:r>
    </w:p>
    <w:p>
      <w:pPr>
        <w:pStyle w:val="Heading2"/>
        <w:spacing w:after="160" w:before="260"/>
      </w:pPr>
      <w:r>
        <w:rPr>
          <w:rFonts w:ascii="Calibri" w:cs="Calibri" w:eastAsia="Calibri" w:hAnsi="Calibri"/>
        </w:rPr>
        <w:t xml:space="preserve">2.3 Stakeholders and User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User Class / Stakeholder</w:t>
            </w:r>
          </w:p>
        </w:tc>
        <w:tc>
          <w:tcPr>
            <w:tcW w:type="dxa" w:w="69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Description and Interest</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Hospital Management</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Oversees operations and finances. Uses aggregate dashboards: revenue, occupancy, utilisation, no-show rates. Does not access individual clinical records.</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Doctor (Clinician)</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Consults patients, writes diagnoses and prescriptions, orders lab tests, reviews and releases results, admits and discharges patients. Accesses full records of own patients only.</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Nurse</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Delivers ward care. Views care-relevant record subset (vitals, allergies, care plan) for patients in assigned ward; updates vitals and bed status.</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Pharmacist</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Manages drug inventory and dispenses prescriptions. Sees prescriptions and allergy flags, not diagnoses.</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Laboratory Technician</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Processes ordered tests, enters results; cannot view clinical notes.</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Receptionist / Records Officer</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Registers patients, books/checks in appointments, manages OPD queue.</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Billing Clerk / Cashier</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Generates invoices, records payments, tracks outstanding balances.</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Patient</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Books appointments, views own records, prescriptions, released results, bills; pays online; grants/revokes family access.</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Family Member (Grantee)</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Views only data within an active access grant (e.g., admission status, bills). No default access.</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System Administrator</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Manages user accounts, roles, departments, schedules, and system configuration. Access to configuration, not clinical content.</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Hospital Owner (Business Sponsor)</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Non-user stakeholder; interested in cost, ROI, and regulatory compliance.</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Regulator / Data Protection Authority</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Indirect stakeholder; system must support lawful, auditable handling of health data.</w:t>
            </w:r>
          </w:p>
        </w:tc>
      </w:tr>
    </w:tbl>
    <w:p>
      <w:pPr>
        <w:pStyle w:val="Heading2"/>
        <w:spacing w:after="160" w:before="260"/>
      </w:pPr>
      <w:r>
        <w:rPr>
          <w:rFonts w:ascii="Calibri" w:cs="Calibri" w:eastAsia="Calibri" w:hAnsi="Calibri"/>
        </w:rPr>
        <w:t xml:space="preserve">2.4 Operating Environment</w:t>
      </w:r>
    </w:p>
    <w:p>
      <w:pPr>
        <w:pStyle w:val="ListParagraph"/>
        <w:numPr>
          <w:ilvl w:val="0"/>
          <w:numId w:val="2"/>
        </w:numPr>
        <w:spacing w:after="100" w:line="276"/>
      </w:pPr>
      <w:r>
        <w:rPr>
          <w:rFonts w:ascii="Calibri" w:cs="Calibri" w:eastAsia="Calibri" w:hAnsi="Calibri"/>
          <w:sz w:val="22"/>
          <w:szCs w:val="22"/>
        </w:rPr>
        <w:t xml:space="preserve">Client: modern evergreen browsers (Chrome, Edge, Firefox, Safari) on desktop and mobile; responsive layout targeting 360 px width and above.</w:t>
      </w:r>
    </w:p>
    <w:p>
      <w:pPr>
        <w:pStyle w:val="ListParagraph"/>
        <w:numPr>
          <w:ilvl w:val="0"/>
          <w:numId w:val="2"/>
        </w:numPr>
        <w:spacing w:after="100" w:line="276"/>
      </w:pPr>
      <w:r>
        <w:rPr>
          <w:rFonts w:ascii="Calibri" w:cs="Calibri" w:eastAsia="Calibri" w:hAnsi="Calibri"/>
          <w:sz w:val="22"/>
          <w:szCs w:val="22"/>
        </w:rPr>
        <w:t>Front end: React (Next.js App Router), containerised and deployed on Railway. (Vercel remains a supported alternative for the web tier; the deployment guide documents both.)</w:t>
      </w:r>
    </w:p>
    <w:p>
      <w:pPr>
        <w:pStyle w:val="ListParagraph"/>
        <w:numPr>
          <w:ilvl w:val="0"/>
          <w:numId w:val="2"/>
        </w:numPr>
        <w:spacing w:after="100" w:line="276"/>
      </w:pPr>
      <w:r>
        <w:rPr>
          <w:rFonts w:ascii="Calibri" w:cs="Calibri" w:eastAsia="Calibri" w:hAnsi="Calibri"/>
          <w:sz w:val="22"/>
          <w:szCs w:val="22"/>
        </w:rPr>
        <w:t>Back end: Java 21 / Spring Boot 3 REST API (Spring Web, Spring Security, Spring Data JPA/Hibernate, Flyway migrations), packaged as a Docker container and deployed on Railway.</w:t>
      </w:r>
    </w:p>
    <w:p>
      <w:pPr>
        <w:pStyle w:val="ListParagraph"/>
        <w:numPr>
          <w:ilvl w:val="0"/>
          <w:numId w:val="2"/>
        </w:numPr>
        <w:spacing w:after="100" w:line="276"/>
      </w:pPr>
      <w:r>
        <w:rPr>
          <w:rFonts w:ascii="Calibri" w:cs="Calibri" w:eastAsia="Calibri" w:hAnsi="Calibri"/>
          <w:sz w:val="22"/>
          <w:szCs w:val="22"/>
        </w:rPr>
        <w:t>Database: PostgreSQL 16 (managed instance on Railway).</w:t>
      </w:r>
    </w:p>
    <w:p>
      <w:pPr>
        <w:pStyle w:val="ListParagraph"/>
        <w:numPr>
          <w:ilvl w:val="0"/>
          <w:numId w:val="2"/>
        </w:numPr>
        <w:spacing w:after="100" w:line="276"/>
      </w:pPr>
      <w:r>
        <w:rPr>
          <w:rFonts w:ascii="Calibri" w:cs="Calibri" w:eastAsia="Calibri" w:hAnsi="Calibri"/>
          <w:sz w:val="22"/>
          <w:szCs w:val="22"/>
        </w:rPr>
        <w:t xml:space="preserve">Third-party services: ITC Transflow Checkout gateway — UAT environment https://apisuat.itcsrvc.com/checkout for assessment, LIVE https://apis.itcsrvc.com/checkout for production; transactional email provider (e.g., Resend/SendGrid).</w:t>
      </w:r>
    </w:p>
    <w:p>
      <w:pPr>
        <w:pStyle w:val="Heading2"/>
        <w:spacing w:after="160" w:before="260"/>
      </w:pPr>
      <w:r>
        <w:rPr>
          <w:rFonts w:ascii="Calibri" w:cs="Calibri" w:eastAsia="Calibri" w:hAnsi="Calibri"/>
        </w:rPr>
        <w:t xml:space="preserve">2.5 Design and Implementation Constraints</w:t>
      </w:r>
    </w:p>
    <w:p>
      <w:pPr>
        <w:pStyle w:val="ListParagraph"/>
        <w:numPr>
          <w:ilvl w:val="0"/>
          <w:numId w:val="2"/>
        </w:numPr>
        <w:spacing w:after="100" w:line="276"/>
      </w:pPr>
      <w:r>
        <w:rPr>
          <w:rFonts w:ascii="Calibri" w:cs="Calibri" w:eastAsia="Calibri" w:hAnsi="Calibri"/>
          <w:sz w:val="22"/>
          <w:szCs w:val="22"/>
        </w:rPr>
        <w:t xml:space="preserve">Single developer, one academic term; scope is phased accordingly (Section 7) based on Use Case Points estimation.</w:t>
      </w:r>
    </w:p>
    <w:p>
      <w:pPr>
        <w:pStyle w:val="ListParagraph"/>
        <w:numPr>
          <w:ilvl w:val="0"/>
          <w:numId w:val="2"/>
        </w:numPr>
        <w:spacing w:after="100" w:line="276"/>
      </w:pPr>
      <w:r>
        <w:rPr>
          <w:rFonts w:ascii="Calibri" w:cs="Calibri" w:eastAsia="Calibri" w:hAnsi="Calibri"/>
          <w:sz w:val="22"/>
          <w:szCs w:val="22"/>
        </w:rPr>
        <w:t xml:space="preserve">Zero/low-cost hosting tiers must suffice; cold starts on free tiers are accepted and documented.</w:t>
      </w:r>
    </w:p>
    <w:p>
      <w:pPr>
        <w:pStyle w:val="ListParagraph"/>
        <w:numPr>
          <w:ilvl w:val="0"/>
          <w:numId w:val="2"/>
        </w:numPr>
        <w:spacing w:after="100" w:line="276"/>
      </w:pPr>
      <w:r>
        <w:rPr>
          <w:rFonts w:ascii="Calibri" w:cs="Calibri" w:eastAsia="Calibri" w:hAnsi="Calibri"/>
          <w:sz w:val="22"/>
          <w:szCs w:val="22"/>
        </w:rPr>
        <w:t xml:space="preserve">Payments run against the ITC UAT environment for assessment (vendor-provided test cards and small mobile-money amounts, e.g. GHS 0.10); no real money movement.</w:t>
      </w:r>
    </w:p>
    <w:p>
      <w:pPr>
        <w:pStyle w:val="ListParagraph"/>
        <w:numPr>
          <w:ilvl w:val="0"/>
          <w:numId w:val="2"/>
        </w:numPr>
        <w:spacing w:after="100" w:line="276"/>
      </w:pPr>
      <w:r>
        <w:rPr>
          <w:rFonts w:ascii="Calibri" w:cs="Calibri" w:eastAsia="Calibri" w:hAnsi="Calibri"/>
          <w:sz w:val="22"/>
          <w:szCs w:val="22"/>
        </w:rPr>
        <w:t xml:space="preserve">All personal and health data handling must follow data-minimisation and access-control principles consistent with the Ghana Data Protection Act.</w:t>
      </w:r>
    </w:p>
    <w:p>
      <w:pPr>
        <w:pStyle w:val="ListParagraph"/>
        <w:numPr>
          <w:ilvl w:val="0"/>
          <w:numId w:val="2"/>
        </w:numPr>
        <w:spacing w:after="100" w:line="276"/>
      </w:pPr>
      <w:r>
        <w:rPr>
          <w:rFonts w:ascii="Calibri" w:cs="Calibri" w:eastAsia="Calibri" w:hAnsi="Calibri"/>
          <w:sz w:val="22"/>
          <w:szCs w:val="22"/>
        </w:rPr>
        <w:t xml:space="preserve">Source code managed in Git with a remote repository; conventional commit history maintained as evidence of process.</w:t>
      </w:r>
    </w:p>
    <w:p>
      <w:pPr>
        <w:pStyle w:val="ListParagraph"/>
        <w:numPr>
          <w:ilvl w:val="0"/>
          <w:numId w:val="2"/>
        </w:numPr>
        <w:spacing w:after="100" w:line="276"/>
      </w:pPr>
      <w:r>
        <w:rPr>
          <w:rFonts w:ascii="Calibri" w:cs="Calibri" w:eastAsia="Calibri" w:hAnsi="Calibri"/>
          <w:sz w:val="22"/>
          <w:szCs w:val="22"/>
        </w:rPr>
        <w:t xml:space="preserve">Email is the sole notification channel in v1; SMS deferred to Phase 3.</w:t>
      </w:r>
    </w:p>
    <w:p>
      <w:pPr>
        <w:pStyle w:val="Heading2"/>
        <w:spacing w:after="160" w:before="260"/>
      </w:pPr>
      <w:r>
        <w:rPr>
          <w:rFonts w:ascii="Calibri" w:cs="Calibri" w:eastAsia="Calibri" w:hAnsi="Calibri"/>
        </w:rPr>
        <w:t xml:space="preserve">2.6 Assumptions and Dependencies</w:t>
      </w:r>
    </w:p>
    <w:p>
      <w:pPr>
        <w:pStyle w:val="ListParagraph"/>
        <w:numPr>
          <w:ilvl w:val="0"/>
          <w:numId w:val="2"/>
        </w:numPr>
        <w:spacing w:after="100" w:line="276"/>
      </w:pPr>
      <w:r>
        <w:rPr>
          <w:rFonts w:ascii="Calibri" w:cs="Calibri" w:eastAsia="Calibri" w:hAnsi="Calibri"/>
          <w:sz w:val="22"/>
          <w:szCs w:val="22"/>
        </w:rPr>
        <w:t xml:space="preserve">The hospital has reliable internet at reception, pharmacy, laboratory, and wards.</w:t>
      </w:r>
    </w:p>
    <w:p>
      <w:pPr>
        <w:pStyle w:val="ListParagraph"/>
        <w:numPr>
          <w:ilvl w:val="0"/>
          <w:numId w:val="2"/>
        </w:numPr>
        <w:spacing w:after="100" w:line="276"/>
      </w:pPr>
      <w:r>
        <w:rPr>
          <w:rFonts w:ascii="Calibri" w:cs="Calibri" w:eastAsia="Calibri" w:hAnsi="Calibri"/>
          <w:sz w:val="22"/>
          <w:szCs w:val="22"/>
        </w:rPr>
        <w:t xml:space="preserve">Patients booking online have an email address; walk-in patients without email are registered by reception.</w:t>
      </w:r>
    </w:p>
    <w:p>
      <w:pPr>
        <w:pStyle w:val="ListParagraph"/>
        <w:numPr>
          <w:ilvl w:val="0"/>
          <w:numId w:val="2"/>
        </w:numPr>
        <w:spacing w:after="100" w:line="276"/>
      </w:pPr>
      <w:r>
        <w:rPr>
          <w:rFonts w:ascii="Calibri" w:cs="Calibri" w:eastAsia="Calibri" w:hAnsi="Calibri"/>
          <w:sz w:val="22"/>
          <w:szCs w:val="22"/>
        </w:rPr>
        <w:t xml:space="preserve">Drug catalogue, test catalogue, tariffs, and ward/room/bed inventory are supplied by the hospital during setup (seeded demo data for assessment).</w:t>
      </w:r>
    </w:p>
    <w:p>
      <w:pPr>
        <w:pStyle w:val="ListParagraph"/>
        <w:numPr>
          <w:ilvl w:val="0"/>
          <w:numId w:val="2"/>
        </w:numPr>
        <w:spacing w:after="100" w:line="276"/>
      </w:pPr>
      <w:r>
        <w:rPr>
          <w:rFonts w:ascii="Calibri" w:cs="Calibri" w:eastAsia="Calibri" w:hAnsi="Calibri"/>
          <w:sz w:val="22"/>
          <w:szCs w:val="22"/>
        </w:rPr>
        <w:t xml:space="preserve">The ITC gateway (UAT and LIVE) and the email provider remain available; merchant credentials (apiKey, merchantProductId, transflowId) are issued by ITC before UAT payment testing.</w:t>
      </w:r>
    </w:p>
    <w:p>
      <w:pPr>
        <w:pStyle w:val="ListParagraph"/>
        <w:numPr>
          <w:ilvl w:val="0"/>
          <w:numId w:val="2"/>
        </w:numPr>
        <w:spacing w:after="100" w:line="276"/>
      </w:pPr>
      <w:r>
        <w:rPr>
          <w:rFonts w:ascii="Calibri" w:cs="Calibri" w:eastAsia="Calibri" w:hAnsi="Calibri"/>
          <w:sz w:val="22"/>
          <w:szCs w:val="22"/>
        </w:rPr>
        <w:t xml:space="preserve">Consent for family access is given by the patient in-system, or recorded by an administrator for minors or incapacitated patients per hospital policy.</w:t>
      </w:r>
    </w:p>
    <w:p>
      <w:r>
        <w:br w:type="page"/>
      </w:r>
    </w:p>
    <w:p>
      <w:pPr>
        <w:pStyle w:val="Heading1"/>
        <w:spacing w:after="200" w:before="320"/>
      </w:pPr>
      <w:r>
        <w:rPr>
          <w:rFonts w:ascii="Calibri" w:cs="Calibri" w:eastAsia="Calibri" w:hAnsi="Calibri"/>
        </w:rPr>
        <w:t xml:space="preserve">3. Specific Requirements — Functional</w:t>
      </w:r>
    </w:p>
    <w:p>
      <w:pPr>
        <w:spacing w:after="160" w:line="276"/>
      </w:pPr>
      <w:r>
        <w:rPr>
          <w:rFonts w:ascii="Calibri" w:cs="Calibri" w:eastAsia="Calibri" w:hAnsi="Calibri"/>
          <w:b w:val="false"/>
          <w:bCs w:val="false"/>
          <w:i w:val="false"/>
          <w:iCs w:val="false"/>
          <w:sz w:val="22"/>
          <w:szCs w:val="22"/>
        </w:rPr>
        <w:t xml:space="preserve">Requirements are uniquely identified (module prefix + number), stated in the form “The system shall …”, and prioritised using MoSCoW. Priorities map to delivery phases in Section 7.</w:t>
      </w:r>
    </w:p>
    <w:p>
      <w:pPr>
        <w:pStyle w:val="Heading2"/>
        <w:spacing w:after="160" w:before="260"/>
      </w:pPr>
      <w:r>
        <w:rPr>
          <w:rFonts w:ascii="Calibri" w:cs="Calibri" w:eastAsia="Calibri" w:hAnsi="Calibri"/>
        </w:rPr>
        <w:t xml:space="preserve">3.1 Authentication, Accounts and Access Control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authenticate all users with email/username and password before granting access to any protected function.</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store passwords only as salted adaptive hashes (bcrypt or argon2); plaintext passwords shall never be stored or logged.</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assign each user exactly one primary role (Management, Doctor, Nurse, Pharmacist, Lab Technician, Receptionist, Billing Clerk, Patient, Family Grantee, System Administrator) which determines the default permission set.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enforce authorisation on every API endpoint server-side; client-side hiding of controls shall not be the sole enforcement mechanism.</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FR-AUTH-05</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enforce relationship-based access for clinical data: a doctor may access a patient’s EMR only while an active care relationship exists (booked/attended appointment, active admission under their care, or referral).</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FR-AUTH-06</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lock an account for a configurable period after 5 consecutive failed login attempts and record the event in the audit log.</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FR-AUTH-07</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provide secure password reset via time-limited, single-use email tokens.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FR-AUTH-08</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expire user sessions after a configurable period of inactivity (default 30 minutes for staff, 15 minutes for shared terminals).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FR-AUTH-09</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support an emergency “break-glass” access mode allowing a doctor to open a non-assigned patient’s record in a medical emergency; every break-glass access shall require a typed justification and shall be prominently flagged in the audit log for management review.</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Could</w:t>
            </w:r>
          </w:p>
        </w:tc>
      </w:tr>
    </w:tbl>
    <w:p>
      <w:pPr>
        <w:pStyle w:val="Heading2"/>
        <w:spacing w:after="160" w:before="260"/>
      </w:pPr>
      <w:r>
        <w:rPr>
          <w:rFonts w:ascii="Calibri" w:cs="Calibri" w:eastAsia="Calibri" w:hAnsi="Calibri"/>
        </w:rPr>
        <w:t xml:space="preserve">3.2 Patient Registration and Management (PAT)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FR-PAT-01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patients to self-register with name, date of birth, sex, phone, email, and address, creating a unique patient identifier.</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FR-PAT-02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reception staff to register walk-in patients, including patients without an email address.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FR-PAT-03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detect potential duplicate patients at registration (matching name + date of birth or phone) and prompt the registrar to confirm or merge.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FR-PAT-04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maintain a patient demographic profile editable by the patient (contact details) and by records staff (all demographic fields), with all changes audit-logged.</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FR-PAT-05</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record next-of-kin/emergency contact details for each patient.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bl>
    <w:p>
      <w:pPr>
        <w:pStyle w:val="Heading2"/>
        <w:spacing w:after="160" w:before="260"/>
      </w:pPr>
      <w:r>
        <w:rPr>
          <w:rFonts w:ascii="Calibri" w:cs="Calibri" w:eastAsia="Calibri" w:hAnsi="Calibri"/>
        </w:rPr>
        <w:t xml:space="preserve">3.3 Appointments, Scheduling and Queue Management (APT)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administrators to define working schedules per doctor (days, start/end times, slot duration, department, consultation room).</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automatically generate bookable slots from doctor schedules and prevent overlapping slots for the same doctor.</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patients to browse departments and doctors, view available slots, and book an appointment.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prevent double-booking: a slot shall be bookable by exactly one patient, enforced with a database-level constraint and transactional booking.</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FR-APT-05</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patients to cancel or reschedule an appointment up to a configurable cutoff (default 2 hours before the slot).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FR-APT-06</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send an email confirmation at booking and a reminder 24 hours before the appointment.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FR-APT-07</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reception to check in an arriving patient, placing them in the department’s live queue with statuses Waiting → In Consultation → Completed (or No-show).</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FR-APT-08</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display a live queue dashboard per department showing position and status, updating without manual page refresh (polling at ≤ 15 s or push).</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FR-APT-09</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reception to insert walk-in patients into the queue and to reorder the queue for triage reasons, with reorder actions audit-logged.</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FR-APT-10</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automatically mark appointments as No-show if not checked in within a configurable grace period after the slot end, feeding the no-show report.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bl>
    <w:p>
      <w:pPr>
        <w:pStyle w:val="Heading2"/>
        <w:spacing w:after="160" w:before="260"/>
      </w:pPr>
      <w:r>
        <w:rPr>
          <w:rFonts w:ascii="Calibri" w:cs="Calibri" w:eastAsia="Calibri" w:hAnsi="Calibri"/>
        </w:rPr>
        <w:t xml:space="preserve">3.4 Electronic Medical Records (EMR)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maintain a confidential medical record per patient comprising consultation notes, diagnoses, allergies, vitals, prescriptions, lab orders/results, and admission history.</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a doctor to create a consultation note (complaint, examination findings, diagnosis, plan) linked to the triggering appointment or admission.</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make consultation notes immutable after sign-off; corrections shall be made by dated addendum, never by silent edit.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nurses to record vitals (temperature, blood pressure, pulse, respiration, SpO2, weight) for patients in their assigned ward or in triage.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FR-EMR-05</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maintain a structured allergy list per patient, visible to doctors, nurses, and pharmacists wherever medication is prescribed or dispensed.</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FR-EMR-06</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restrict every read and write of EMR content according to the permission matrix in Section 4, and shall write an audit-log entry (user, patient, data category, action, timestamp) for each access.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FR-EMR-07</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patients to view their own released records: diagnoses, prescriptions, released lab results, and visit history.</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FR-EMR-08</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doctors to refer a patient to another doctor/department, which establishes a care relationship for the receiving clinician.</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bl>
    <w:p>
      <w:pPr>
        <w:pStyle w:val="Heading2"/>
        <w:spacing w:after="160" w:before="260"/>
      </w:pPr>
      <w:r>
        <w:rPr>
          <w:rFonts w:ascii="Calibri" w:cs="Calibri" w:eastAsia="Calibri" w:hAnsi="Calibri"/>
        </w:rPr>
        <w:t xml:space="preserve">3.5 Pharmacy Management (PHM)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maintain a drug catalogue (generic name, brand, form, strength, unit price, reorder level, controlled-drug flag).</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track drug stock in batches with quantity, batch number, and expiry date; dispensing shall consume stock First-Expiry-First-Out (FEFO).</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doctors to create electronic prescriptions (drug, dose, frequency, duration, quantity) from a consultation; prescriptions shall appear in the pharmacy dispensing queue.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display the patient’s allergy list to the pharmacist during dispensing and warn when a prescribed drug matches a recorded allergy.</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FR-PHM-05</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upon dispensing, decrement stock atomically and post the corresponding charges to the patient’s invoice.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FR-PHM-06</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alert pharmacy staff when stock falls below reorder level and when batches are within 60 days of expiry.</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FR-PHM-07</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record stock receipts (purchases/restocks) with supplier, quantity, batch, expiry, and cost.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FR-PHM-08</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require a second authorised confirmation (pharmacist + doctor flag) before dispensing drugs marked as controlled.</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FR-PHM-09</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partial dispensing when stock is insufficient, recording the outstanding balance of the prescription.</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Could</w:t>
            </w:r>
          </w:p>
        </w:tc>
      </w:tr>
    </w:tbl>
    <w:p>
      <w:pPr>
        <w:pStyle w:val="Heading2"/>
        <w:spacing w:after="160" w:before="260"/>
      </w:pPr>
      <w:r>
        <w:rPr>
          <w:rFonts w:ascii="Calibri" w:cs="Calibri" w:eastAsia="Calibri" w:hAnsi="Calibri"/>
        </w:rPr>
        <w:t xml:space="preserve">3.6 Laboratory Scheduling and Results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FR-LAB-01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maintain a test catalogue (test name, specimen type, price, turnaround time, department).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FR-LAB-02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doctors to order one or more tests for a patient from a consultation or admission; orders shall appear on the laboratory worklist.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FR-LAB-03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schedule lab visits using the same slot engine as appointments where a test requires a timed visit (e.g., fasting samples).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FR-LAB-04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lab technicians to update order status (Ordered → Sample Collected → In Progress → Result Entered) and to enter structured results with reference ranges.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FR-LAB-05</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require the ordering doctor (or a doctor in the same department) to review results before they are released to the patient portal.</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FR-LAB-06</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post lab test charges to the patient’s invoice at ordering time.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FR-LAB-07</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flag results outside reference ranges visually for the reviewing doctor.</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Could</w:t>
            </w:r>
          </w:p>
        </w:tc>
      </w:tr>
    </w:tbl>
    <w:p>
      <w:pPr>
        <w:pStyle w:val="Heading2"/>
        <w:spacing w:after="160" w:before="260"/>
      </w:pPr>
      <w:r>
        <w:rPr>
          <w:rFonts w:ascii="Calibri" w:cs="Calibri" w:eastAsia="Calibri" w:hAnsi="Calibri"/>
        </w:rPr>
        <w:t xml:space="preserve">3.7 Billing and Payments (BIL)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maintain one consolidated invoice per patient visit/admission, aggregating line items from consultations, pharmacy, laboratory, and bed charges.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post charges automatically at the source event: consultation fee at check-in, drug charges at dispensing, test charges at ordering, bed charges accrued daily during admission.</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integrate the ITC Payments gateway (request/callback flow) to accept online payments, verifying every transaction server-side via the gateway’s status/verification API before marking an invoice paid. The integration shall be implemented behind a PaymentGateway interface so gateway specifics remain isolated (see Design DD-07).</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billing clerks to record offline payments (cash, POS) against an invoice.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FR-BIL-05</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support partial payments and shall track invoice status (Draft, Issued, Partially Paid, Paid, Void).</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FR-BIL-06</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generate a printable/downloadable receipt for every payment and email it to the patient where an email exists.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FR-BIL-07</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restrict voiding of invoices or payments to Management, with a mandatory reason captured in the audit log.</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FR-BIL-08</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provide an outstanding-balances view for billing staff and per-patient balance visibility to the patient and authorised family grantees.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bl>
    <w:p>
      <w:pPr>
        <w:pStyle w:val="Heading2"/>
        <w:spacing w:after="160" w:before="260"/>
      </w:pPr>
      <w:r>
        <w:rPr>
          <w:rFonts w:ascii="Calibri" w:cs="Calibri" w:eastAsia="Calibri" w:hAnsi="Calibri"/>
        </w:rPr>
        <w:t xml:space="preserve">3.8 Facility and Bed Management (FAC)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FR-FAC-01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model the facility as Wards → Rooms → Beds, each bed carrying a status: Available, Reserved, Occupied, Cleaning, Maintenance.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FR-FAC-02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provide a live occupancy dashboard per ward showing bed statuses and current occupants (identity visible only to clinical roles of that ward).</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FR-FAC-03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doctors to admit a patient, and nurses/reception to assign the patient to an available bed; assignment shall set the bed to Occupied atomically, preventing double allocation.</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FR-FAC-04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support patient transfer between beds/wards and discharge, releasing the bed to Cleaning and closing daily bed-charge accrual.</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FR-FAC-05</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accrue bed charges per occupied day at the ward’s tariff and post them to the admission invoice.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FR-FAC-06</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provide occupancy-rate and average-length-of-stay reports to Management.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FR-FAC-07</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maintenance staff/administrators to take beds out of service and return them, with reasons recorded.</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Could</w:t>
            </w:r>
          </w:p>
        </w:tc>
      </w:tr>
    </w:tbl>
    <w:p>
      <w:pPr>
        <w:pStyle w:val="Heading2"/>
        <w:spacing w:after="160" w:before="260"/>
      </w:pPr>
      <w:r>
        <w:rPr>
          <w:rFonts w:ascii="Calibri" w:cs="Calibri" w:eastAsia="Calibri" w:hAnsi="Calibri"/>
        </w:rPr>
        <w:t xml:space="preserve">3.9 Family Access Grants (FAM)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FR-FAM-01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a patient to grant a named family member scoped access, selecting from: admission status, billing/invoices, appointment schedule. Clinical notes and diagnoses shall not be grantable in v1.</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FR-FAM-02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Each access grant shall carry an expiry date and shall be revocable by the patient at any time with immediate effect.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FR-FAM-03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an administrator to record a guardian grant for minors or incapacitated patients, citing the authorising policy; such grants shall be flagged distinctly in the audit log.</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FR-FAM-04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log every access by a family grantee, and the patient shall be able to view a history of who accessed their information.</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bl>
    <w:p>
      <w:pPr>
        <w:pStyle w:val="Heading2"/>
        <w:spacing w:after="160" w:before="260"/>
      </w:pPr>
      <w:r>
        <w:rPr>
          <w:rFonts w:ascii="Calibri" w:cs="Calibri" w:eastAsia="Calibri" w:hAnsi="Calibri"/>
        </w:rPr>
        <w:t xml:space="preserve">3.10 Administration, Reporting and Notifications (ADM)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FR-ADM-01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administrators to manage departments, staff accounts, role assignments, tariffs, drug and test catalogues, and ward/room/bed inventory.</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FR-ADM-02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provide Management dashboards: appointments per day/department, no-show rate, revenue by department, pharmacy sales, occupancy rate. Dashboards shall show aggregates only, never individual clinical detail.</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FR-ADM-03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send transactional emails for: booking confirmation, appointment reminder, password reset, payment receipt, and result-released notification.</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FR-ADM-04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provide a searchable audit-log viewer to Management and the System Administrator, filterable by user, patient, action, and date range.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FR-ADM-05</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support data export of reports to CSV.</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Could</w:t>
            </w:r>
          </w:p>
        </w:tc>
      </w:tr>
    </w:tbl>
    <w:p>
      <w:r>
        <w:br w:type="page"/>
      </w:r>
    </w:p>
    <w:p>
      <w:pPr>
        <w:pStyle w:val="Heading1"/>
        <w:spacing w:after="200" w:before="320"/>
      </w:pPr>
      <w:r>
        <w:rPr>
          <w:rFonts w:ascii="Calibri" w:cs="Calibri" w:eastAsia="Calibri" w:hAnsi="Calibri"/>
        </w:rPr>
        <w:t xml:space="preserve">4. Access-Control Model and Permission Matrix</w:t>
      </w:r>
    </w:p>
    <w:p>
      <w:pPr>
        <w:spacing w:after="160" w:line="276"/>
      </w:pPr>
      <w:r>
        <w:rPr>
          <w:rFonts w:ascii="Calibri" w:cs="Calibri" w:eastAsia="Calibri" w:hAnsi="Calibri"/>
          <w:b w:val="false"/>
          <w:bCs w:val="false"/>
          <w:i w:val="false"/>
          <w:iCs w:val="false"/>
          <w:sz w:val="22"/>
          <w:szCs w:val="22"/>
        </w:rPr>
        <w:t xml:space="preserve">MediCore combines Role-Based Access Control (RBAC) with Relationship-Based Access Control (ReBAC). A role defines the maximum capability set; an active relationship (appointment, admission under care, ward assignment, referral, or access grant) is additionally required for any access to an individual patient’s data. All enforcement occurs server-side (FR-AUTH-04), and all clinical-data access is audit-logged (FR-EMR-06).</w:t>
      </w:r>
    </w:p>
    <w:p>
      <w:pPr>
        <w:pStyle w:val="Heading2"/>
        <w:spacing w:after="160" w:before="260"/>
      </w:pPr>
      <w:r>
        <w:rPr>
          <w:rFonts w:ascii="Calibri" w:cs="Calibri" w:eastAsia="Calibri" w:hAnsi="Calibri"/>
        </w:rPr>
        <w:t xml:space="preserve">4.1 Permission Matrix</w:t>
      </w:r>
    </w:p>
    <w:p>
      <w:pPr>
        <w:spacing w:after="160" w:line="276"/>
      </w:pPr>
      <w:r>
        <w:rPr>
          <w:rFonts w:ascii="Calibri" w:cs="Calibri" w:eastAsia="Calibri" w:hAnsi="Calibri"/>
          <w:b w:val="false"/>
          <w:bCs w:val="false"/>
          <w:i w:val="false"/>
          <w:iCs w:val="false"/>
          <w:sz w:val="22"/>
          <w:szCs w:val="22"/>
        </w:rPr>
        <w:t xml:space="preserve">Legend: ✓ = permitted · R = read-only · P = partial/scoped · ✗ = denied. “Own patients” means patients with an active care relationship.</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700"/>
        <w:gridCol w:w="1005"/>
        <w:gridCol w:w="1005"/>
        <w:gridCol w:w="1005"/>
        <w:gridCol w:w="1005"/>
        <w:gridCol w:w="1005"/>
        <w:gridCol w:w="1005"/>
        <w:gridCol w:w="1005"/>
        <w:gridCol w:w="1005"/>
      </w:tblGrid>
      <w:tr>
        <w:trPr>
          <w:tblHeader/>
        </w:trPr>
        <w:tc>
          <w:tcPr>
            <w:tcW w:type="dxa" w:w="1700"/>
            <w:shd w:fill="D9E2F3" w:val="clear"/>
            <w:tcMar>
              <w:top w:type="dxa" w:w="40"/>
              <w:left w:type="dxa" w:w="70"/>
              <w:bottom w:type="dxa" w:w="40"/>
              <w:right w:type="dxa" w:w="70"/>
            </w:tcMar>
          </w:tcPr>
          <w:p>
            <w:pPr>
              <w:spacing w:after="0" w:line="220"/>
            </w:pPr>
            <w:r>
              <w:rPr>
                <w:rFonts w:ascii="Calibri" w:cs="Calibri" w:eastAsia="Calibri" w:hAnsi="Calibri"/>
                <w:b/>
                <w:bCs/>
                <w:sz w:val="16"/>
                <w:szCs w:val="16"/>
              </w:rPr>
              <w:t xml:space="preserve">Data / Action</w:t>
            </w:r>
          </w:p>
        </w:tc>
        <w:tc>
          <w:tcPr>
            <w:tcW w:type="dxa" w:w="1005"/>
            <w:shd w:fill="D9E2F3" w:val="clear"/>
            <w:tcMar>
              <w:top w:type="dxa" w:w="40"/>
              <w:left w:type="dxa" w:w="70"/>
              <w:bottom w:type="dxa" w:w="40"/>
              <w:right w:type="dxa" w:w="70"/>
            </w:tcMar>
          </w:tcPr>
          <w:p>
            <w:pPr>
              <w:spacing w:after="0" w:line="220"/>
            </w:pPr>
            <w:r>
              <w:rPr>
                <w:rFonts w:ascii="Calibri" w:cs="Calibri" w:eastAsia="Calibri" w:hAnsi="Calibri"/>
                <w:b/>
                <w:bCs/>
                <w:sz w:val="16"/>
                <w:szCs w:val="16"/>
              </w:rPr>
              <w:t xml:space="preserve">Manage-ment</w:t>
            </w:r>
          </w:p>
        </w:tc>
        <w:tc>
          <w:tcPr>
            <w:tcW w:type="dxa" w:w="1005"/>
            <w:shd w:fill="D9E2F3" w:val="clear"/>
            <w:tcMar>
              <w:top w:type="dxa" w:w="40"/>
              <w:left w:type="dxa" w:w="70"/>
              <w:bottom w:type="dxa" w:w="40"/>
              <w:right w:type="dxa" w:w="70"/>
            </w:tcMar>
          </w:tcPr>
          <w:p>
            <w:pPr>
              <w:spacing w:after="0" w:line="220"/>
            </w:pPr>
            <w:r>
              <w:rPr>
                <w:rFonts w:ascii="Calibri" w:cs="Calibri" w:eastAsia="Calibri" w:hAnsi="Calibri"/>
                <w:b/>
                <w:bCs/>
                <w:sz w:val="16"/>
                <w:szCs w:val="16"/>
              </w:rPr>
              <w:t xml:space="preserve">Doctor</w:t>
            </w:r>
          </w:p>
        </w:tc>
        <w:tc>
          <w:tcPr>
            <w:tcW w:type="dxa" w:w="1005"/>
            <w:shd w:fill="D9E2F3" w:val="clear"/>
            <w:tcMar>
              <w:top w:type="dxa" w:w="40"/>
              <w:left w:type="dxa" w:w="70"/>
              <w:bottom w:type="dxa" w:w="40"/>
              <w:right w:type="dxa" w:w="70"/>
            </w:tcMar>
          </w:tcPr>
          <w:p>
            <w:pPr>
              <w:spacing w:after="0" w:line="220"/>
            </w:pPr>
            <w:r>
              <w:rPr>
                <w:rFonts w:ascii="Calibri" w:cs="Calibri" w:eastAsia="Calibri" w:hAnsi="Calibri"/>
                <w:b/>
                <w:bCs/>
                <w:sz w:val="16"/>
                <w:szCs w:val="16"/>
              </w:rPr>
              <w:t xml:space="preserve">Nurse</w:t>
            </w:r>
          </w:p>
        </w:tc>
        <w:tc>
          <w:tcPr>
            <w:tcW w:type="dxa" w:w="1005"/>
            <w:shd w:fill="D9E2F3" w:val="clear"/>
            <w:tcMar>
              <w:top w:type="dxa" w:w="40"/>
              <w:left w:type="dxa" w:w="70"/>
              <w:bottom w:type="dxa" w:w="40"/>
              <w:right w:type="dxa" w:w="70"/>
            </w:tcMar>
          </w:tcPr>
          <w:p>
            <w:pPr>
              <w:spacing w:after="0" w:line="220"/>
            </w:pPr>
            <w:r>
              <w:rPr>
                <w:rFonts w:ascii="Calibri" w:cs="Calibri" w:eastAsia="Calibri" w:hAnsi="Calibri"/>
                <w:b/>
                <w:bCs/>
                <w:sz w:val="16"/>
                <w:szCs w:val="16"/>
              </w:rPr>
              <w:t xml:space="preserve">Pharma-cist</w:t>
            </w:r>
          </w:p>
        </w:tc>
        <w:tc>
          <w:tcPr>
            <w:tcW w:type="dxa" w:w="1005"/>
            <w:shd w:fill="D9E2F3" w:val="clear"/>
            <w:tcMar>
              <w:top w:type="dxa" w:w="40"/>
              <w:left w:type="dxa" w:w="70"/>
              <w:bottom w:type="dxa" w:w="40"/>
              <w:right w:type="dxa" w:w="70"/>
            </w:tcMar>
          </w:tcPr>
          <w:p>
            <w:pPr>
              <w:spacing w:after="0" w:line="220"/>
            </w:pPr>
            <w:r>
              <w:rPr>
                <w:rFonts w:ascii="Calibri" w:cs="Calibri" w:eastAsia="Calibri" w:hAnsi="Calibri"/>
                <w:b/>
                <w:bCs/>
                <w:sz w:val="16"/>
                <w:szCs w:val="16"/>
              </w:rPr>
              <w:t xml:space="preserve">Lab Tech</w:t>
            </w:r>
          </w:p>
        </w:tc>
        <w:tc>
          <w:tcPr>
            <w:tcW w:type="dxa" w:w="1005"/>
            <w:shd w:fill="D9E2F3" w:val="clear"/>
            <w:tcMar>
              <w:top w:type="dxa" w:w="40"/>
              <w:left w:type="dxa" w:w="70"/>
              <w:bottom w:type="dxa" w:w="40"/>
              <w:right w:type="dxa" w:w="70"/>
            </w:tcMar>
          </w:tcPr>
          <w:p>
            <w:pPr>
              <w:spacing w:after="0" w:line="220"/>
            </w:pPr>
            <w:r>
              <w:rPr>
                <w:rFonts w:ascii="Calibri" w:cs="Calibri" w:eastAsia="Calibri" w:hAnsi="Calibri"/>
                <w:b/>
                <w:bCs/>
                <w:sz w:val="16"/>
                <w:szCs w:val="16"/>
              </w:rPr>
              <w:t xml:space="preserve">Billing Clerk</w:t>
            </w:r>
          </w:p>
        </w:tc>
        <w:tc>
          <w:tcPr>
            <w:tcW w:type="dxa" w:w="1005"/>
            <w:shd w:fill="D9E2F3" w:val="clear"/>
            <w:tcMar>
              <w:top w:type="dxa" w:w="40"/>
              <w:left w:type="dxa" w:w="70"/>
              <w:bottom w:type="dxa" w:w="40"/>
              <w:right w:type="dxa" w:w="70"/>
            </w:tcMar>
          </w:tcPr>
          <w:p>
            <w:pPr>
              <w:spacing w:after="0" w:line="220"/>
            </w:pPr>
            <w:r>
              <w:rPr>
                <w:rFonts w:ascii="Calibri" w:cs="Calibri" w:eastAsia="Calibri" w:hAnsi="Calibri"/>
                <w:b/>
                <w:bCs/>
                <w:sz w:val="16"/>
                <w:szCs w:val="16"/>
              </w:rPr>
              <w:t xml:space="preserve">Patient</w:t>
            </w:r>
          </w:p>
        </w:tc>
        <w:tc>
          <w:tcPr>
            <w:tcW w:type="dxa" w:w="1005"/>
            <w:shd w:fill="D9E2F3" w:val="clear"/>
            <w:tcMar>
              <w:top w:type="dxa" w:w="40"/>
              <w:left w:type="dxa" w:w="70"/>
              <w:bottom w:type="dxa" w:w="40"/>
              <w:right w:type="dxa" w:w="70"/>
            </w:tcMar>
          </w:tcPr>
          <w:p>
            <w:pPr>
              <w:spacing w:after="0" w:line="220"/>
            </w:pPr>
            <w:r>
              <w:rPr>
                <w:rFonts w:ascii="Calibri" w:cs="Calibri" w:eastAsia="Calibri" w:hAnsi="Calibri"/>
                <w:b/>
                <w:bCs/>
                <w:sz w:val="16"/>
                <w:szCs w:val="16"/>
              </w:rPr>
              <w:t xml:space="preserve">Family Grantee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Full medical record</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 (aggregates only)</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 own patients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P: vitals, allergies, care plan (assigned ward)</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own</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Consultation notes / diagnoses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 own patients (write; addendum after sign-off)</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own</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Allergies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(during dispensing)</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own</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Prescriptions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Write (own patients)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(assigned ward)</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 dispense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Prices only</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own</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Lab orders / results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Order, review, release (own patients)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Enter/edit until release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Prices only</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own, after release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Vitals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(own patients)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Write (assigned ward/triage)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own</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Invoices / payments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 void (with reason)</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Pharmacy sales only</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 create, record payments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 pay own</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 pay, if granted</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Bed occupancy (identity)</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Aggregate only</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 own patients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 own ward</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Admission status only, if granted</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Admission / discharge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Admit, discharge (own patients)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Assign bed, transfer (own ward)</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own status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status, if granted</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Drug inventory</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(valuation reports)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(availability)</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 manage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Staff &amp; config management</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 (via Sys Admin)</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Audit log</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own access history</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bl>
    <w:p>
      <w:pPr>
        <w:spacing w:after="160"/>
      </w:pPr>
    </w:p>
    <w:p>
      <w:pPr>
        <w:pStyle w:val="Heading2"/>
        <w:spacing w:after="160" w:before="260"/>
      </w:pPr>
      <w:r>
        <w:rPr>
          <w:rFonts w:ascii="Calibri" w:cs="Calibri" w:eastAsia="Calibri" w:hAnsi="Calibri"/>
        </w:rPr>
        <w:t xml:space="preserve">4.2 Access-Control Rules (normative)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 role except Doctor (own patients) and the Patient themselves may read consultation notes or diagnoses.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Management dashboards shall be computed from aggregates; no drill-down to identifiable clinical records shall exist for the Management role.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nurse’s clinical visibility is bounded by current ward assignment; reassignment updates visibility immediately.</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Lab results become visible to the patient only after doctor release (FR-LAB-05).</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AC-05</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Family grantee access is strictly bounded by the grant’s scope and expiry; revocation takes effect on the next request.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AC-06</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Every access decision shall be enforced in a single shared authorisation layer (policy middleware), not re-implemented per endpoint.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bl>
    <w:p>
      <w:r>
        <w:br w:type="page"/>
      </w:r>
    </w:p>
    <w:p>
      <w:pPr>
        <w:pStyle w:val="Heading1"/>
        <w:spacing w:after="200" w:before="320"/>
      </w:pPr>
      <w:r>
        <w:rPr>
          <w:rFonts w:ascii="Calibri" w:cs="Calibri" w:eastAsia="Calibri" w:hAnsi="Calibri"/>
        </w:rPr>
        <w:t xml:space="preserve">5. Non-Functional Requirements</w:t>
      </w:r>
    </w:p>
    <w:p>
      <w:pPr>
        <w:pStyle w:val="Heading2"/>
        <w:spacing w:after="160" w:before="260"/>
      </w:pPr>
      <w:r>
        <w:rPr>
          <w:rFonts w:ascii="Calibri" w:cs="Calibri" w:eastAsia="Calibri" w:hAnsi="Calibri"/>
        </w:rPr>
        <w:t xml:space="preserve">5.1 Security (SEC)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NFR-SEC-01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All traffic shall use HTTPS/TLS; the application shall set security headers (HSTS, CSP, X-Content-Type-Options).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NFR-SEC-02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validate and sanitise all input server-side and use parameterised queries/ORM exclusively, mitigating OWASP Top 10 risks (injection, XSS, broken access control, CSRF).</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NFR-SEC-03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Authorisation shall be deny-by-default: any endpoint without an explicit policy shall reject requests.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NFR-SEC-04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audit log shall be append-only at the application level; no API shall exist to modify or delete audit entries.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NFR-SEC-05</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Secrets (database credentials, API keys) shall be stored in environment variables/secret stores, never in source control.</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NFR-SEC-06</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 gateway callback handling shall verify transaction authenticity and amount server-side, via an independent status query to the gateway, before crediting any invoice; the callback alone shall never credit a payment.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NFR-SEC-07</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Rate limiting shall be applied to authentication and payment endpoints.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bl>
    <w:p>
      <w:pPr>
        <w:pStyle w:val="Heading2"/>
        <w:spacing w:after="160" w:before="260"/>
      </w:pPr>
      <w:r>
        <w:rPr>
          <w:rFonts w:ascii="Calibri" w:cs="Calibri" w:eastAsia="Calibri" w:hAnsi="Calibri"/>
        </w:rPr>
        <w:t xml:space="preserve">5.2 Privacy and Compliance (PRV)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NFR-PRV-01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apply data minimisation: each role’s API responses shall exclude fields that role is not permitted to see (no over-fetching filtered only in the UI).</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NFR-PRV-02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Handling of personal and health data shall be consistent with the principles of the Ghana Data Protection Act, 2012 (Act 843): lawful purpose, consent for family disclosure, security safeguards, and accountability via audit.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NFR-PRV-03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Demo/assessment deployments shall contain synthetic data only; no real patient data shall be entered.</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bl>
    <w:p>
      <w:pPr>
        <w:pStyle w:val="Heading2"/>
        <w:spacing w:after="160" w:before="260"/>
      </w:pPr>
      <w:r>
        <w:rPr>
          <w:rFonts w:ascii="Calibri" w:cs="Calibri" w:eastAsia="Calibri" w:hAnsi="Calibri"/>
        </w:rPr>
        <w:t xml:space="preserve">5.3 Performance and Capacity (PER)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NFR-PER-01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Interactive API reads shall respond within 500 ms at the 95th percentile under the reference load (50 concurrent users), excluding free-tier cold starts.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NFR-PER-02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Booking and dispensing transactions shall complete within 2 s end-to-end at the 95th percentile.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NFR-PER-03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queue dashboard shall reflect state changes within 15 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NFR-PER-04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be sized for a reference hospital of ~20 clinicians, ~60 staff, ~40 beds, and ~300 outpatient visits/day without redesign.</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bl>
    <w:p>
      <w:pPr>
        <w:pStyle w:val="Heading2"/>
        <w:spacing w:after="160" w:before="260"/>
      </w:pPr>
      <w:r>
        <w:rPr>
          <w:rFonts w:ascii="Calibri" w:cs="Calibri" w:eastAsia="Calibri" w:hAnsi="Calibri"/>
        </w:rPr>
        <w:t xml:space="preserve">5.4 Availability and Reliability (AVL)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NFR-AVL-01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Target availability is 99% monthly for the production deployment, acknowledging free-tier hosting limits; outages of the payment or email provider shall degrade gracefully (queued retries, clear user messaging) rather than corrupt state.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NFR-AVL-02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Automated daily database backups shall be retained for at least 7 days, with a documented restore procedure.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NFR-AVL-03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All multi-step state changes (booking, dispensing, bed assignment, payment crediting) shall be transactional; partial writes shall not be observable.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bl>
    <w:p>
      <w:pPr>
        <w:pStyle w:val="Heading2"/>
        <w:spacing w:after="160" w:before="260"/>
      </w:pPr>
      <w:r>
        <w:rPr>
          <w:rFonts w:ascii="Calibri" w:cs="Calibri" w:eastAsia="Calibri" w:hAnsi="Calibri"/>
        </w:rPr>
        <w:t xml:space="preserve">5.5 Usability and Accessibility (USA)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NFR-USA-01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UI shall be responsive from 360 px (mobile) to desktop widths.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NFR-USA-02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UI shall meet WCAG 2.1 AA essentials: keyboard navigability, labelled form controls, sufficient colour contrast, and status messages not conveyed by colour alone.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NFR-USA-03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first-time receptionist shall be able to register a patient and check them into a queue within 3 minutes using the user manual.</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NFR-USA-04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Destructive or sensitive actions (void invoice, discharge, revoke grant) shall require explicit confirmation.</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bl>
    <w:p>
      <w:pPr>
        <w:pStyle w:val="Heading2"/>
        <w:spacing w:after="160" w:before="260"/>
      </w:pPr>
      <w:r>
        <w:rPr>
          <w:rFonts w:ascii="Calibri" w:cs="Calibri" w:eastAsia="Calibri" w:hAnsi="Calibri"/>
        </w:rPr>
        <w:t xml:space="preserve">5.6 Maintainability and Portability (MNT)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NFR-MNT-01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codebase shall separate concerns (routing, policy/authorisation layer, services, data access) to keep the authorisation logic centrally testable (supports AC-06).</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NFR-MNT-02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Unit-test coverage of core business logic (slot generation, double-booking prevention, FEFO stock consumption, invoice aggregation, permission checks) shall be at least 70%.</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NFR-MNT-03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Database schema changes shall be applied via versioned migrations.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NFR-MNT-04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technical-debt ledger shall be maintained throughout development (Cause → Impact → Priority → Proposed Resolution) as required by the project brief.</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NFR-MNT-05</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application shall run locally with a single documented setup path (env template + seed script) for assessor verification.</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bl>
    <w:p>
      <w:r>
        <w:br w:type="page"/>
      </w:r>
    </w:p>
    <w:p>
      <w:pPr>
        <w:pStyle w:val="Heading1"/>
        <w:spacing w:after="200" w:before="320"/>
      </w:pPr>
      <w:r>
        <w:rPr>
          <w:rFonts w:ascii="Calibri" w:cs="Calibri" w:eastAsia="Calibri" w:hAnsi="Calibri"/>
        </w:rPr>
        <w:t xml:space="preserve">6. External Interface Requirements</w:t>
      </w:r>
    </w:p>
    <w:p>
      <w:pPr>
        <w:pStyle w:val="Heading2"/>
        <w:spacing w:after="160" w:before="260"/>
      </w:pPr>
      <w:r>
        <w:rPr>
          <w:rFonts w:ascii="Calibri" w:cs="Calibri" w:eastAsia="Calibri" w:hAnsi="Calibri"/>
        </w:rPr>
        <w:t xml:space="preserve">6.1 User Interfaces</w:t>
      </w:r>
    </w:p>
    <w:p>
      <w:pPr>
        <w:pStyle w:val="ListParagraph"/>
        <w:numPr>
          <w:ilvl w:val="0"/>
          <w:numId w:val="2"/>
        </w:numPr>
        <w:spacing w:after="100" w:line="276"/>
      </w:pPr>
      <w:r>
        <w:rPr>
          <w:rFonts w:ascii="Calibri" w:cs="Calibri" w:eastAsia="Calibri" w:hAnsi="Calibri"/>
          <w:sz w:val="22"/>
          <w:szCs w:val="22"/>
        </w:rPr>
        <w:t xml:space="preserve">Patient portal: registration/login, booking, my records, my bills, pay online, family access management.</w:t>
      </w:r>
    </w:p>
    <w:p>
      <w:pPr>
        <w:pStyle w:val="ListParagraph"/>
        <w:numPr>
          <w:ilvl w:val="0"/>
          <w:numId w:val="2"/>
        </w:numPr>
        <w:spacing w:after="100" w:line="276"/>
      </w:pPr>
      <w:r>
        <w:rPr>
          <w:rFonts w:ascii="Calibri" w:cs="Calibri" w:eastAsia="Calibri" w:hAnsi="Calibri"/>
          <w:sz w:val="22"/>
          <w:szCs w:val="22"/>
        </w:rPr>
        <w:t xml:space="preserve">Reception console: registration, check-in, live queue board.</w:t>
      </w:r>
    </w:p>
    <w:p>
      <w:pPr>
        <w:pStyle w:val="ListParagraph"/>
        <w:numPr>
          <w:ilvl w:val="0"/>
          <w:numId w:val="2"/>
        </w:numPr>
        <w:spacing w:after="100" w:line="276"/>
      </w:pPr>
      <w:r>
        <w:rPr>
          <w:rFonts w:ascii="Calibri" w:cs="Calibri" w:eastAsia="Calibri" w:hAnsi="Calibri"/>
          <w:sz w:val="22"/>
          <w:szCs w:val="22"/>
        </w:rPr>
        <w:t xml:space="preserve">Doctor workspace: today’s list, consultation form, prescriptions, lab orders/review, admissions.</w:t>
      </w:r>
    </w:p>
    <w:p>
      <w:pPr>
        <w:pStyle w:val="ListParagraph"/>
        <w:numPr>
          <w:ilvl w:val="0"/>
          <w:numId w:val="2"/>
        </w:numPr>
        <w:spacing w:after="100" w:line="276"/>
      </w:pPr>
      <w:r>
        <w:rPr>
          <w:rFonts w:ascii="Calibri" w:cs="Calibri" w:eastAsia="Calibri" w:hAnsi="Calibri"/>
          <w:sz w:val="22"/>
          <w:szCs w:val="22"/>
        </w:rPr>
        <w:t xml:space="preserve">Nurse ward view: ward occupancy, vitals entry, bed status updates.</w:t>
      </w:r>
    </w:p>
    <w:p>
      <w:pPr>
        <w:pStyle w:val="ListParagraph"/>
        <w:numPr>
          <w:ilvl w:val="0"/>
          <w:numId w:val="2"/>
        </w:numPr>
        <w:spacing w:after="100" w:line="276"/>
      </w:pPr>
      <w:r>
        <w:rPr>
          <w:rFonts w:ascii="Calibri" w:cs="Calibri" w:eastAsia="Calibri" w:hAnsi="Calibri"/>
          <w:sz w:val="22"/>
          <w:szCs w:val="22"/>
        </w:rPr>
        <w:t xml:space="preserve">Pharmacy console: dispensing queue, inventory, alerts.</w:t>
      </w:r>
    </w:p>
    <w:p>
      <w:pPr>
        <w:pStyle w:val="ListParagraph"/>
        <w:numPr>
          <w:ilvl w:val="0"/>
          <w:numId w:val="2"/>
        </w:numPr>
        <w:spacing w:after="100" w:line="276"/>
      </w:pPr>
      <w:r>
        <w:rPr>
          <w:rFonts w:ascii="Calibri" w:cs="Calibri" w:eastAsia="Calibri" w:hAnsi="Calibri"/>
          <w:sz w:val="22"/>
          <w:szCs w:val="22"/>
        </w:rPr>
        <w:t xml:space="preserve">Laboratory worklist: order statuses, result entry.</w:t>
      </w:r>
    </w:p>
    <w:p>
      <w:pPr>
        <w:pStyle w:val="ListParagraph"/>
        <w:numPr>
          <w:ilvl w:val="0"/>
          <w:numId w:val="2"/>
        </w:numPr>
        <w:spacing w:after="100" w:line="276"/>
      </w:pPr>
      <w:r>
        <w:rPr>
          <w:rFonts w:ascii="Calibri" w:cs="Calibri" w:eastAsia="Calibri" w:hAnsi="Calibri"/>
          <w:sz w:val="22"/>
          <w:szCs w:val="22"/>
        </w:rPr>
        <w:t xml:space="preserve">Billing console: invoices, payments, outstanding balances.</w:t>
      </w:r>
    </w:p>
    <w:p>
      <w:pPr>
        <w:pStyle w:val="ListParagraph"/>
        <w:numPr>
          <w:ilvl w:val="0"/>
          <w:numId w:val="2"/>
        </w:numPr>
        <w:spacing w:after="100" w:line="276"/>
      </w:pPr>
      <w:r>
        <w:rPr>
          <w:rFonts w:ascii="Calibri" w:cs="Calibri" w:eastAsia="Calibri" w:hAnsi="Calibri"/>
          <w:sz w:val="22"/>
          <w:szCs w:val="22"/>
        </w:rPr>
        <w:t xml:space="preserve">Management dashboard: KPIs and reports (aggregate only).</w:t>
      </w:r>
    </w:p>
    <w:p>
      <w:pPr>
        <w:pStyle w:val="ListParagraph"/>
        <w:numPr>
          <w:ilvl w:val="0"/>
          <w:numId w:val="2"/>
        </w:numPr>
        <w:spacing w:after="100" w:line="276"/>
      </w:pPr>
      <w:r>
        <w:rPr>
          <w:rFonts w:ascii="Calibri" w:cs="Calibri" w:eastAsia="Calibri" w:hAnsi="Calibri"/>
          <w:sz w:val="22"/>
          <w:szCs w:val="22"/>
        </w:rPr>
        <w:t xml:space="preserve">Administration console: users, roles, departments, catalogues, facility inventory.</w:t>
      </w:r>
    </w:p>
    <w:p>
      <w:pPr>
        <w:pStyle w:val="Heading2"/>
        <w:spacing w:after="160" w:before="260"/>
      </w:pPr>
      <w:r>
        <w:rPr>
          <w:rFonts w:ascii="Calibri" w:cs="Calibri" w:eastAsia="Calibri" w:hAnsi="Calibri"/>
        </w:rPr>
        <w:t xml:space="preserve">6.2 Software Interfaces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360"/>
      </w:tblGrid>
      <w:tr>
        <w:trPr>
          <w:tblHeader/>
        </w:trPr>
        <w:tc>
          <w:tcPr>
            <w:tcW w:type="dxa" w:w="2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Interface</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Purpose</w:t>
            </w:r>
          </w:p>
        </w:tc>
        <w:tc>
          <w:tcPr>
            <w:tcW w:type="dxa" w:w="33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Notes</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ITC Transflow Checkout API</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POST /request-payments returns transactionReference + checkoutUrl (patient is redirected); callback POSTed to /api/payments/callback (refNo = transactionReference; always answered with HTTP 200 per spec); POST /check-transaction-status verifies server-side before any credit (success = outer 200 and data.responseCode = 01, exact amount match)</w:t>
            </w:r>
          </w:p>
        </w:tc>
        <w:tc>
          <w:tcPr>
            <w:tcW w:type="dxa" w:w="33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Accessed only through the PaymentGateway adapter (DD-07); body-level auth: apiKey, merchantProductId, transflowId</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Transactional email API</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Confirmations, reminders, receipts, password resets, result notifications</w:t>
            </w:r>
          </w:p>
        </w:tc>
        <w:tc>
          <w:tcPr>
            <w:tcW w:type="dxa" w:w="33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Fire-and-retry with logging; provider-agnostic adapter</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PostgreSQL</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Primary data store</w:t>
            </w:r>
          </w:p>
        </w:tc>
        <w:tc>
          <w:tcPr>
            <w:tcW w:type="dxa" w:w="33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Accessed only through the API’s data layer; versioned migrations</w:t>
            </w:r>
          </w:p>
        </w:tc>
      </w:tr>
    </w:tbl>
    <w:p>
      <w:pPr>
        <w:spacing w:after="160"/>
      </w:pPr>
    </w:p>
    <w:p>
      <w:pPr>
        <w:pStyle w:val="Heading2"/>
        <w:spacing w:after="160" w:before="260"/>
      </w:pPr>
      <w:r>
        <w:rPr>
          <w:rFonts w:ascii="Calibri" w:cs="Calibri" w:eastAsia="Calibri" w:hAnsi="Calibri"/>
        </w:rPr>
        <w:t xml:space="preserve">6.3 Communications Interfaces</w:t>
      </w:r>
    </w:p>
    <w:p>
      <w:pPr>
        <w:spacing w:after="160" w:line="276"/>
      </w:pPr>
      <w:r>
        <w:rPr>
          <w:rFonts w:ascii="Calibri" w:cs="Calibri" w:eastAsia="Calibri" w:hAnsi="Calibri"/>
          <w:b w:val="false"/>
          <w:bCs w:val="false"/>
          <w:i w:val="false"/>
          <w:iCs w:val="false"/>
          <w:sz w:val="22"/>
          <w:szCs w:val="22"/>
        </w:rPr>
        <w:t xml:space="preserve">All client–server communication uses HTTPS (REST, JSON). Callbacks from ITC Payments are received on a dedicated endpoint and verified via an independent server-side status query before processing.</w:t>
      </w:r>
    </w:p>
    <w:p>
      <w:r>
        <w:br w:type="page"/>
      </w:r>
    </w:p>
    <w:p>
      <w:pPr>
        <w:pStyle w:val="Heading1"/>
        <w:spacing w:after="200" w:before="320"/>
      </w:pPr>
      <w:r>
        <w:rPr>
          <w:rFonts w:ascii="Calibri" w:cs="Calibri" w:eastAsia="Calibri" w:hAnsi="Calibri"/>
        </w:rPr>
        <w:t xml:space="preserve">7. Requirement Prioritisation and Delivery Phasing</w:t>
      </w:r>
    </w:p>
    <w:p>
      <w:pPr>
        <w:spacing w:after="160" w:line="276"/>
      </w:pPr>
      <w:r>
        <w:rPr>
          <w:rFonts w:ascii="Calibri" w:cs="Calibri" w:eastAsia="Calibri" w:hAnsi="Calibri"/>
          <w:b w:val="false"/>
          <w:bCs w:val="false"/>
          <w:i w:val="false"/>
          <w:iCs w:val="false"/>
          <w:sz w:val="22"/>
          <w:szCs w:val="22"/>
        </w:rPr>
        <w:t xml:space="preserve">Prioritisation uses MoSCoW and is driven by the project’s Use Case Points effort estimation (documented separately per the project brief): the full requirement set exceeds a single-developer term, so delivery is phased. Phase 1 constitutes the fully implemented, deployed deliverable; Phases 2–3 are designed and roadmapped.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000"/>
        <w:gridCol w:w="2660"/>
      </w:tblGrid>
      <w:tr>
        <w:trPr>
          <w:tblHeader/>
        </w:trPr>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Phase</w:t>
            </w:r>
          </w:p>
        </w:tc>
        <w:tc>
          <w:tcPr>
            <w:tcW w:type="dxa" w:w="50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Contents</w:t>
            </w:r>
          </w:p>
        </w:tc>
        <w:tc>
          <w:tcPr>
            <w:tcW w:type="dxa" w:w="26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Status in this project</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Phase 1 (v1.0) — implement &amp; deploy</w:t>
            </w:r>
          </w:p>
        </w:tc>
        <w:tc>
          <w:tcPr>
            <w:tcW w:type="dxa" w:w="50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AUTH (Must items), PAT, APT, EMR core, PHM (Must items), LAB core workflow (order → result → release), BIL with ITC Payments (test mode), FAC (Must items), ADM dashboards &amp; emails</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Built, tested, deployed live</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Phase 2 (v1.1)</w:t>
            </w:r>
          </w:p>
        </w:tc>
        <w:tc>
          <w:tcPr>
            <w:tcW w:type="dxa" w:w="50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FAM family access grants, lab visit scheduling (FR-LAB-03), duplicate-patient merge, break-glass access, controlled-drug double confirmation, audit-log viewer enhancements, CSV export</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Designed; requirements &amp; diagrams delivered; scheduled in roadmap</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Phase 3 (v2.0)</w:t>
            </w:r>
          </w:p>
        </w:tc>
        <w:tc>
          <w:tcPr>
            <w:tcW w:type="dxa" w:w="50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NHIS/insurance claims, SMS notifications, radiology imaging workflow, analytics warehouse, multi-branch support</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Roadmap only (future evolution plan)</w:t>
            </w:r>
          </w:p>
        </w:tc>
      </w:tr>
    </w:tbl>
    <w:p>
      <w:pPr>
        <w:spacing w:after="160"/>
      </w:pPr>
    </w:p>
    <w:p>
      <w:pPr>
        <w:spacing w:after="160" w:line="276"/>
      </w:pPr>
      <w:r>
        <w:rPr>
          <w:rFonts w:ascii="Calibri" w:cs="Calibri" w:eastAsia="Calibri" w:hAnsi="Calibri"/>
          <w:b w:val="false"/>
          <w:bCs w:val="false"/>
          <w:i w:val="false"/>
          <w:iCs w:val="false"/>
          <w:sz w:val="22"/>
          <w:szCs w:val="22"/>
        </w:rPr>
        <w:t xml:space="preserve">Traceability: each implemented feature, test case, and technical-debt item shall reference requirement IDs from this document, ensuring end-to-end traceability from requirement to test evidence as required by the project brief.</w:t>
      </w:r>
    </w:p>
    <w:p>
      <w:pPr>
        <w:pStyle w:val="Heading1"/>
        <w:spacing w:after="200" w:before="320"/>
      </w:pPr>
      <w:r>
        <w:rPr>
          <w:rFonts w:ascii="Calibri" w:cs="Calibri" w:eastAsia="Calibri" w:hAnsi="Calibri"/>
        </w:rPr>
        <w:t xml:space="preserve">8. Acceptance Criteria (Summary)</w:t>
      </w:r>
    </w:p>
    <w:p>
      <w:pPr>
        <w:pStyle w:val="ListParagraph"/>
        <w:numPr>
          <w:ilvl w:val="0"/>
          <w:numId w:val="2"/>
        </w:numPr>
        <w:spacing w:after="100" w:line="276"/>
      </w:pPr>
      <w:r>
        <w:rPr>
          <w:rFonts w:ascii="Calibri" w:cs="Calibri" w:eastAsia="Calibri" w:hAnsi="Calibri"/>
          <w:sz w:val="22"/>
          <w:szCs w:val="22"/>
        </w:rPr>
        <w:t xml:space="preserve">All Phase 1 “Must” requirements demonstrably pass their mapped functional tests in the deployed environment.</w:t>
      </w:r>
    </w:p>
    <w:p>
      <w:pPr>
        <w:pStyle w:val="ListParagraph"/>
        <w:numPr>
          <w:ilvl w:val="0"/>
          <w:numId w:val="2"/>
        </w:numPr>
        <w:spacing w:after="100" w:line="276"/>
      </w:pPr>
      <w:r>
        <w:rPr>
          <w:rFonts w:ascii="Calibri" w:cs="Calibri" w:eastAsia="Calibri" w:hAnsi="Calibri"/>
          <w:sz w:val="22"/>
          <w:szCs w:val="22"/>
        </w:rPr>
        <w:t xml:space="preserve">Permission matrix verified by negative tests: each denied cell in Section 4.1 has at least one automated or documented manual test proving denial.</w:t>
      </w:r>
    </w:p>
    <w:p>
      <w:pPr>
        <w:pStyle w:val="ListParagraph"/>
        <w:numPr>
          <w:ilvl w:val="0"/>
          <w:numId w:val="2"/>
        </w:numPr>
        <w:spacing w:after="100" w:line="276"/>
      </w:pPr>
      <w:r>
        <w:rPr>
          <w:rFonts w:ascii="Calibri" w:cs="Calibri" w:eastAsia="Calibri" w:hAnsi="Calibri"/>
          <w:sz w:val="22"/>
          <w:szCs w:val="22"/>
        </w:rPr>
        <w:t xml:space="preserve">A complete patient journey succeeds end-to-end in production: register → book → check in → consult → prescribe → dispense → lab order → result release → invoice → sandbox payment → receipt.</w:t>
      </w:r>
    </w:p>
    <w:p>
      <w:pPr>
        <w:pStyle w:val="ListParagraph"/>
        <w:numPr>
          <w:ilvl w:val="0"/>
          <w:numId w:val="2"/>
        </w:numPr>
        <w:spacing w:after="100" w:line="276"/>
      </w:pPr>
      <w:r>
        <w:rPr>
          <w:rFonts w:ascii="Calibri" w:cs="Calibri" w:eastAsia="Calibri" w:hAnsi="Calibri"/>
          <w:sz w:val="22"/>
          <w:szCs w:val="22"/>
        </w:rPr>
        <w:t xml:space="preserve">An admission journey succeeds: admit → bed assign → daily charge accrual → transfer → discharge → final invoice.</w:t>
      </w:r>
    </w:p>
    <w:p>
      <w:pPr>
        <w:pStyle w:val="ListParagraph"/>
        <w:numPr>
          <w:ilvl w:val="0"/>
          <w:numId w:val="2"/>
        </w:numPr>
        <w:spacing w:after="100" w:line="276"/>
      </w:pPr>
      <w:r>
        <w:rPr>
          <w:rFonts w:ascii="Calibri" w:cs="Calibri" w:eastAsia="Calibri" w:hAnsi="Calibri"/>
          <w:sz w:val="22"/>
          <w:szCs w:val="22"/>
        </w:rPr>
        <w:t xml:space="preserve">Audit log demonstrably records EMR access, queue reordering, invoice voiding, and (if enabled) break-glass events.</w:t>
      </w:r>
    </w:p>
    <w:p>
      <w:r>
        <w:br w:type="page"/>
      </w:r>
    </w:p>
    <w:p>
      <w:pPr>
        <w:pStyle w:val="Heading1"/>
        <w:spacing w:after="200" w:before="320"/>
      </w:pPr>
      <w:r>
        <w:rPr>
          <w:rFonts w:ascii="Calibri" w:cs="Calibri" w:eastAsia="Calibri" w:hAnsi="Calibri"/>
        </w:rPr>
        <w:t xml:space="preserve">Appendix A — Hospital Departments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160"/>
      </w:tblGrid>
      <w:tr>
        <w:trPr>
          <w:tblHeader/>
        </w:trPr>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Department</w:t>
            </w:r>
          </w:p>
        </w:tc>
        <w:tc>
          <w:tcPr>
            <w:tcW w:type="dxa" w:w="34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Type</w:t>
            </w:r>
          </w:p>
        </w:tc>
        <w:tc>
          <w:tcPr>
            <w:tcW w:type="dxa" w:w="31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System Touchpoints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OPD / General Medicine</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Clinical</w:t>
            </w:r>
          </w:p>
        </w:tc>
        <w:tc>
          <w:tcPr>
            <w:tcW w:type="dxa" w:w="3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Appointments, queue, consultations, referrals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Pediatrics</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Clinical</w:t>
            </w:r>
          </w:p>
        </w:tc>
        <w:tc>
          <w:tcPr>
            <w:tcW w:type="dxa" w:w="3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Appointments, consultations, guardian access grants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Obstetrics &amp; Gynaecology</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Clinical</w:t>
            </w:r>
          </w:p>
        </w:tc>
        <w:tc>
          <w:tcPr>
            <w:tcW w:type="dxa" w:w="3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Appointments, admissions, ward beds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Surgery</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Clinical</w:t>
            </w:r>
          </w:p>
        </w:tc>
        <w:tc>
          <w:tcPr>
            <w:tcW w:type="dxa" w:w="3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Admissions, bed management, post-op notes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Emergency</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Clinical</w:t>
            </w:r>
          </w:p>
        </w:tc>
        <w:tc>
          <w:tcPr>
            <w:tcW w:type="dxa" w:w="3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Walk-in queue insertion/triage reorder, admissions, break-glass access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Laboratory</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Diagnostic</w:t>
            </w:r>
          </w:p>
        </w:tc>
        <w:tc>
          <w:tcPr>
            <w:tcW w:type="dxa" w:w="3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Orders, worklist, results, release, charges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Radiology</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Diagnostic</w:t>
            </w:r>
          </w:p>
        </w:tc>
        <w:tc>
          <w:tcPr>
            <w:tcW w:type="dxa" w:w="3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Shares lab-order workflow in Phase 3 (imaging out of scope v1)</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Pharmacy</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Support</w:t>
            </w:r>
          </w:p>
        </w:tc>
        <w:tc>
          <w:tcPr>
            <w:tcW w:type="dxa" w:w="3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Inventory, dispensing, alerts, charges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Nursing / Wards</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Support</w:t>
            </w:r>
          </w:p>
        </w:tc>
        <w:tc>
          <w:tcPr>
            <w:tcW w:type="dxa" w:w="3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Vitals, bed statuses, transfers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Billing &amp; Finance</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Support</w:t>
            </w:r>
          </w:p>
        </w:tc>
        <w:tc>
          <w:tcPr>
            <w:tcW w:type="dxa" w:w="3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Invoices, payments, outstanding balances, voids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Administration / Records</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Support</w:t>
            </w:r>
          </w:p>
        </w:tc>
        <w:tc>
          <w:tcPr>
            <w:tcW w:type="dxa" w:w="3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Registration, user &amp; catalogue management, audit review</w:t>
            </w:r>
          </w:p>
        </w:tc>
      </w:tr>
    </w:tbl>
    <w:p>
      <w:pPr>
        <w:spacing w:after="160"/>
      </w:pPr>
    </w:p>
    <w:p>
      <w:pPr>
        <w:pStyle w:val="Heading1"/>
        <w:spacing w:after="200" w:before="320"/>
      </w:pPr>
      <w:r>
        <w:rPr>
          <w:rFonts w:ascii="Calibri" w:cs="Calibri" w:eastAsia="Calibri" w:hAnsi="Calibri"/>
        </w:rPr>
        <w:t xml:space="preserve">Appendix B — Open Issues</w:t>
      </w:r>
    </w:p>
    <w:p>
      <w:pPr>
        <w:pStyle w:val="ListParagraph"/>
        <w:numPr>
          <w:ilvl w:val="0"/>
          <w:numId w:val="2"/>
        </w:numPr>
        <w:spacing w:after="100" w:line="276"/>
      </w:pPr>
      <w:r>
        <w:rPr>
          <w:rFonts w:ascii="Calibri" w:cs="Calibri" w:eastAsia="Calibri" w:hAnsi="Calibri"/>
          <w:sz w:val="22"/>
          <w:szCs w:val="22"/>
        </w:rPr>
        <w:t xml:space="preserve">Confirm hospital policy wording for guardian grants (FR-FAM-03) with supervisor.</w:t>
      </w:r>
    </w:p>
    <w:p>
      <w:pPr>
        <w:pStyle w:val="ListParagraph"/>
        <w:numPr>
          <w:ilvl w:val="0"/>
          <w:numId w:val="2"/>
        </w:numPr>
        <w:spacing w:after="100" w:line="276"/>
      </w:pPr>
      <w:r>
        <w:rPr>
          <w:rFonts w:ascii="Calibri" w:cs="Calibri" w:eastAsia="Calibri" w:hAnsi="Calibri"/>
          <w:sz w:val="22"/>
          <w:szCs w:val="22"/>
        </w:rPr>
        <w:t xml:space="preserve">Decide session strategy (JWT with short expiry + refresh vs. server sessions) during design; record decision in the design document.</w:t>
      </w:r>
    </w:p>
    <w:p>
      <w:pPr>
        <w:pStyle w:val="ListParagraph"/>
        <w:numPr>
          <w:ilvl w:val="0"/>
          <w:numId w:val="2"/>
        </w:numPr>
        <w:spacing w:after="100" w:line="276"/>
      </w:pPr>
      <w:r>
        <w:rPr>
          <w:rFonts w:ascii="Calibri" w:cs="Calibri" w:eastAsia="Calibri" w:hAnsi="Calibri"/>
          <w:sz w:val="22"/>
          <w:szCs w:val="22"/>
        </w:rPr>
        <w:t xml:space="preserve">Confirm whether Emergency department requires break-glass (FR-AUTH-09) in Phase 1 UAT feedback.</w:t>
      </w:r>
    </w:p>
    <w:p>
      <w:pPr>
        <w:pStyle w:val="ListParagraph"/>
        <w:numPr>
          <w:ilvl w:val="0"/>
          <w:numId w:val="2"/>
        </w:numPr>
        <w:spacing w:after="100" w:line="276"/>
      </w:pPr>
      <w:r>
        <w:rPr>
          <w:rFonts w:ascii="Calibri" w:cs="Calibri" w:eastAsia="Calibri" w:hAnsi="Calibri"/>
          <w:sz w:val="22"/>
          <w:szCs w:val="22"/>
        </w:rPr>
        <w:t xml:space="preserve">Validate reference load (NFR-PER-04) against assessor expectations.</w:t>
      </w:r>
    </w:p>
    <w:p>
      <w:pPr>
        <w:pStyle w:val="ListParagraph"/>
        <w:numPr>
          <w:ilvl w:val="0"/>
          <w:numId w:val="2"/>
        </w:numPr>
        <w:spacing w:after="100" w:line="276"/>
      </w:pPr>
      <w:r>
        <w:rPr>
          <w:rFonts w:ascii="Calibri" w:cs="Calibri" w:eastAsia="Calibri" w:hAnsi="Calibri"/>
          <w:sz w:val="22"/>
          <w:szCs w:val="22"/>
        </w:rPr>
        <w:t xml:space="preserve">OI-5 (RESOLVED Aug 2026): the ITC Transflow Checkout API Definition was received; endpoints, body-level authentication, callback semantics (always answer HTTP 200) and UAT test data are now specified in §6.2 and implemented behind the PaymentGateway adapter (Design DD-07).</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MediCore HMS — SRS v1.4    ·    Kelvin Addae Kwarteng (22427564)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pPr>
    <w:rPr>
      <w:rFonts w:ascii="Calibri" w:cs="Calibri" w:eastAsia="Calibri" w:hAnsi="Calibri"/>
      <w:b/>
      <w:bCs/>
      <w:color w:val="1F3864"/>
      <w:sz w:val="32"/>
      <w:szCs w:val="32"/>
    </w:rPr>
  </w:style>
  <w:style w:type="paragraph" w:styleId="Heading2">
    <w:name w:val="Heading 2"/>
    <w:basedOn w:val="Normal"/>
    <w:next w:val="Normal"/>
    <w:qFormat/>
    <w:pPr>
      <w:spacing w:after="160" w:before="260"/>
    </w:pPr>
    <w:rPr>
      <w:rFonts w:ascii="Calibri" w:cs="Calibri" w:eastAsia="Calibri" w:hAnsi="Calibri"/>
      <w:b/>
      <w:bCs/>
      <w:color w:val="2E5395"/>
      <w:sz w:val="26"/>
      <w:szCs w:val="26"/>
    </w:rPr>
  </w:style>
  <w:style w:type="paragraph" w:styleId="Heading3">
    <w:name w:val="Heading 3"/>
    <w:basedOn w:val="Normal"/>
    <w:next w:val="Normal"/>
    <w:qFormat/>
    <w:pPr>
      <w:spacing w:after="140" w:before="220"/>
    </w:pPr>
    <w:rPr>
      <w:rFonts w:ascii="Calibri" w:cs="Calibri" w:eastAsia="Calibri" w:hAnsi="Calibri"/>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Kelvin Addae Kwarteng (22427564)</dc:creator>
  <cp:lastModifiedBy>Kelvin Addae Kwarteng (22427564)</cp:lastModifiedBy>
  <cp:revision>1</cp:revision>
  <dcterms:created xsi:type="dcterms:W3CDTF">2026-08-14T13:41:15.129Z</dcterms:created>
  <dcterms:modified xsi:type="dcterms:W3CDTF">2026-08-14T13:41:15.141Z</dcterms:modified>
  <dc:title>Software Requirements Specification — MediCore HMS</dc:title>
</cp:coreProperties>
</file>

<file path=docProps/custom.xml><?xml version="1.0" encoding="utf-8"?>
<Properties xmlns="http://schemas.openxmlformats.org/officeDocument/2006/custom-properties" xmlns:vt="http://schemas.openxmlformats.org/officeDocument/2006/docPropsVTypes"/>
</file>