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TESTING REPORT</w:t>
      </w:r>
    </w:p>
    <w:p>
      <w:pPr>
        <w:spacing w:after="200"/>
        <w:jc w:val="center"/>
      </w:pPr>
      <w:r>
        <w:rPr>
          <w:rFonts w:ascii="Calibri" w:cs="Calibri" w:eastAsia="Calibri" w:hAnsi="Calibri"/>
          <w:b/>
          <w:bCs/>
          <w:sz w:val="34"/>
          <w:szCs w:val="34"/>
        </w:rPr>
        <w:t xml:space="preserve">Verification &amp; Validation Record</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1.6  ·  August 2026</w:t>
      </w:r>
    </w:p>
    <w:p>
      <w:pPr>
        <w:spacing w:after="160"/>
        <w:jc w:val="center"/>
      </w:pPr>
      <w:r>
        <w:rPr>
          <w:rFonts w:ascii="Calibri" w:cs="Calibri" w:eastAsia="Calibri" w:hAnsi="Calibri"/>
          <w:i/>
          <w:iCs/>
          <w:sz w:val="24"/>
          <w:szCs w:val="24"/>
        </w:rPr>
        <w:t>Companion documents: SRS v1.4 · Design Document v1.8</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Scope</w:t>
      </w:r>
    </w:p>
    <w:p>
      <w:pPr>
        <w:spacing w:after="160" w:line="276"/>
      </w:pPr>
      <w:r>
        <w:rPr>
          <w:rFonts w:ascii="Calibri" w:cs="Calibri" w:eastAsia="Calibri" w:hAnsi="Calibri"/>
          <w:b w:val="false"/>
          <w:bCs w:val="false"/>
          <w:i w:val="false"/>
          <w:iCs w:val="false"/>
          <w:sz w:val="22"/>
          <w:szCs w:val="22"/>
        </w:rPr>
        <w:t xml:space="preserve">This report records how the MediCore HMS v0.9 (Milestones 1–3: authentication and access control, scheduling and queueing, clinical records, pharmacy, billing and online payment, plus the web front end) was verified, what the evidence is, and — with equal prominence — what has NOT yet been exercised and what gate closes each remaining gap. The distinction between "tested and passed" and "authored and shipped but not yet executed" is maintained throughout, because conflating the two is the most common way a testing report misleads its reader.</w:t>
      </w:r>
    </w:p>
    <w:p>
      <w:pPr>
        <w:spacing w:after="160" w:line="276"/>
      </w:pPr>
      <w:r>
        <w:rPr>
          <w:rFonts w:ascii="Calibri" w:cs="Calibri" w:eastAsia="Calibri" w:hAnsi="Calibri"/>
          <w:b w:val="false"/>
          <w:bCs w:val="false"/>
          <w:i w:val="false"/>
          <w:iCs w:val="false"/>
          <w:sz w:val="22"/>
          <w:szCs w:val="22"/>
        </w:rPr>
        <w:t>Scope covers the Java/Spring Boot production backend (medicore-backend-server/), the PostgreSQL schema and seed, and the Next.js web application (web/). The Node.js Milestone 1 reference implementation was retired in Design v1.8; the behaviour its suite verified is now carried by the Java suite (§4.2) and the code remains in the repository history.</w:t>
      </w:r>
    </w:p>
    <w:p>
      <w:pPr>
        <w:pStyle w:val="Heading1"/>
        <w:spacing w:after="200" w:before="320"/>
      </w:pPr>
      <w:r>
        <w:rPr>
          <w:rFonts w:ascii="Calibri" w:cs="Calibri" w:eastAsia="Calibri" w:hAnsi="Calibri"/>
        </w:rPr>
        <w:t xml:space="preserve">2. Test Strategy</w:t>
      </w:r>
    </w:p>
    <w:p>
      <w:pPr>
        <w:spacing w:after="160" w:line="276"/>
      </w:pPr>
      <w:r>
        <w:rPr>
          <w:rFonts w:ascii="Calibri" w:cs="Calibri" w:eastAsia="Calibri" w:hAnsi="Calibri"/>
          <w:b w:val="false"/>
          <w:bCs w:val="false"/>
          <w:i w:val="false"/>
          <w:iCs w:val="false"/>
          <w:sz w:val="22"/>
          <w:szCs w:val="22"/>
        </w:rPr>
        <w:t xml:space="preserve">The strategy is a conventional test pyramid adapted to one unusual constraint: the development environment could not download JVM dependencies (Maven Central blocked), so the Spring application could never be assembled or executed during development. Rather than ship unverified logic, the architecture was bent to make verification possible anyway:</w:t>
      </w:r>
    </w:p>
    <w:p>
      <w:pPr>
        <w:pStyle w:val="ListParagraph"/>
        <w:numPr>
          <w:ilvl w:val="0"/>
          <w:numId w:val="2"/>
        </w:numPr>
        <w:spacing w:after="100" w:line="276"/>
      </w:pPr>
      <w:r>
        <w:rPr>
          <w:rFonts w:ascii="Calibri" w:cs="Calibri" w:eastAsia="Calibri" w:hAnsi="Calibri"/>
          <w:sz w:val="22"/>
          <w:szCs w:val="22"/>
        </w:rPr>
        <w:t xml:space="preserve">Every high-risk business rule lives in a framework-free pure class (PolicyEngine, SlotGenerator, FefoAllocator, BillingMath, PaymentVerifier, ItcResponseMapper) that compiles with javac alone. These were compiled and executed against dedicated verification harnesses — 66 checks in total, all passing (§4.1).</w:t>
      </w:r>
    </w:p>
    <w:p>
      <w:pPr>
        <w:pStyle w:val="ListParagraph"/>
        <w:numPr>
          <w:ilvl w:val="0"/>
          <w:numId w:val="2"/>
        </w:numPr>
        <w:spacing w:after="100" w:line="276"/>
      </w:pPr>
      <w:r>
        <w:rPr>
          <w:rFonts w:ascii="Calibri" w:cs="Calibri" w:eastAsia="Calibri" w:hAnsi="Calibri"/>
          <w:sz w:val="22"/>
          <w:szCs w:val="22"/>
        </w:rPr>
        <w:t xml:space="preserve">All SQL — the four schema migrations, their integrity triggers, and the demo seed — was executed against a real PostgreSQL 16 instance, not reviewed on paper (§4.3).</w:t>
      </w:r>
    </w:p>
    <w:p>
      <w:pPr>
        <w:pStyle w:val="ListParagraph"/>
        <w:numPr>
          <w:ilvl w:val="0"/>
          <w:numId w:val="2"/>
        </w:numPr>
        <w:spacing w:after="100" w:line="276"/>
      </w:pPr>
      <w:r>
        <w:rPr>
          <w:rFonts w:ascii="Calibri" w:cs="Calibri" w:eastAsia="Calibri" w:hAnsi="Calibri"/>
          <w:sz w:val="22"/>
          <w:szCs w:val="22"/>
        </w:rPr>
        <w:t>Authentication behaviour — bcrypt storage, credential rejection that does not reveal whether an address exists, and account lockout after five failures — is verified by AuthIT against a live PostgreSQL (§4.2). This replaces the retired Node.js reference suite, and finding a real lockout defect in the process (§6) is the reason the replacement was written before the reference was removed.</w:t>
      </w:r>
    </w:p>
    <w:p>
      <w:pPr>
        <w:pStyle w:val="ListParagraph"/>
        <w:numPr>
          <w:ilvl w:val="0"/>
          <w:numId w:val="2"/>
        </w:numPr>
        <w:spacing w:after="100" w:line="276"/>
      </w:pPr>
      <w:r>
        <w:rPr>
          <w:rFonts w:ascii="Calibri" w:cs="Calibri" w:eastAsia="Calibri" w:hAnsi="Calibri"/>
          <w:sz w:val="22"/>
          <w:szCs w:val="22"/>
        </w:rPr>
        <w:t xml:space="preserve">The web application was fully built (type-checked production build, 15 routes) and exercised end-to-end in a real browser against a live API and database (§4.4).</w:t>
      </w:r>
    </w:p>
    <w:p>
      <w:pPr>
        <w:pStyle w:val="ListParagraph"/>
        <w:numPr>
          <w:ilvl w:val="0"/>
          <w:numId w:val="2"/>
        </w:numPr>
        <w:spacing w:after="100" w:line="276"/>
      </w:pPr>
      <w:r>
        <w:rPr>
          <w:rFonts w:ascii="Calibri" w:cs="Calibri" w:eastAsia="Calibri" w:hAnsi="Calibri"/>
          <w:sz w:val="22"/>
          <w:szCs w:val="22"/>
        </w:rPr>
        <w:t>The Spring assembly layer (controllers, wiring, JPA, security filters) is covered by a JUnit and integration suite that has now been executed in full against a real PostgreSQL 16 — 51/51, including 19 integration tests — and re-runs in CI on every push as the reproducible gate (§4.2).</w:t>
      </w:r>
    </w:p>
    <w:p>
      <w:pPr>
        <w:spacing w:after="160" w:line="276"/>
      </w:pPr>
      <w:r>
        <w:rPr>
          <w:rFonts w:ascii="Calibri" w:cs="Calibri" w:eastAsia="Calibri" w:hAnsi="Calibri"/>
          <w:b w:val="false"/>
          <w:bCs w:val="false"/>
          <w:i w:val="false"/>
          <w:iCs w:val="false"/>
          <w:sz w:val="22"/>
          <w:szCs w:val="22"/>
        </w:rPr>
        <w:t xml:space="preserve">Test data is entirely synthetic (NFR-PRV-03): no real patient data was used at any point.</w:t>
      </w:r>
    </w:p>
    <w:p>
      <w:pPr>
        <w:pStyle w:val="Heading1"/>
        <w:spacing w:after="200" w:before="320"/>
      </w:pPr>
      <w:r>
        <w:rPr>
          <w:rFonts w:ascii="Calibri" w:cs="Calibri" w:eastAsia="Calibri" w:hAnsi="Calibri"/>
        </w:rPr>
        <w:t xml:space="preserve">3. Test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Environment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Composition</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Used for</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Development sandbox</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 24, JDK 21 (javac), Node 20, PostgreSQL 16, Chromium/Playwright; JVM dependency downloads blocked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Pure-core harnesses, SQL execution, web build, browser E2E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(GitHub Actions)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ubuntu-latest, Gradle + JDK 21, PostgreSQL 16 service container</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Full Gradle unit + integration suite on every push; web production build</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Developer machine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JDK 21 + Docker per DEPLOYMENT.md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./gradlew test replication; docker compose full-stack demo</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UAT</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https://apisuat.itcsrvc.com/checkout with vendor test cards / small mobile-money amounts</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Live payment gateway validation (pending merchant credentials, §5.2)</w:t>
            </w:r>
          </w:p>
        </w:tc>
      </w:tr>
    </w:tbl>
    <w:p>
      <w:pPr>
        <w:pStyle w:val="Heading1"/>
        <w:spacing w:after="200" w:before="320"/>
      </w:pPr>
      <w:r>
        <w:rPr>
          <w:rFonts w:ascii="Calibri" w:cs="Calibri" w:eastAsia="Calibri" w:hAnsi="Calibri"/>
        </w:rPr>
        <w:t xml:space="preserve">4. Executed Test Results</w:t>
      </w:r>
    </w:p>
    <w:p>
      <w:pPr>
        <w:pStyle w:val="Heading2"/>
        <w:spacing w:after="160" w:before="260"/>
      </w:pPr>
      <w:r>
        <w:rPr>
          <w:rFonts w:ascii="Calibri" w:cs="Calibri" w:eastAsia="Calibri" w:hAnsi="Calibri"/>
        </w:rPr>
        <w:t>4.1 Pure-core verification harnesses — 63/63 passed</w:t>
      </w:r>
    </w:p>
    <w:p>
      <w:pPr>
        <w:spacing w:after="160" w:line="276"/>
      </w:pPr>
      <w:r>
        <w:rPr>
          <w:rFonts w:ascii="Calibri" w:cs="Calibri" w:eastAsia="Calibri" w:hAnsi="Calibri"/>
          <w:b w:val="false"/>
          <w:bCs w:val="false"/>
          <w:i w:val="false"/>
          <w:iCs w:val="false"/>
          <w:sz w:val="22"/>
          <w:szCs w:val="22"/>
        </w:rPr>
        <w:t xml:space="preserve">Each harness compiles the production classes with javac and asserts observable behaviour. They were re-run as a full sweep after every change that touched a covered class; the counts below are from the final sweep.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Harness (classes under test)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Checks</w:t>
            </w:r>
          </w:p>
        </w:tc>
        <w:tc>
          <w:tcPr>
            <w:tcW w:type="dxa" w:w="6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Key invariants proven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PolicyEngine, PolicyMatrix, scope model</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20/20</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Deny-by-default for unknown actions and roles; management can never read EMR regardless of context (AC-02); doctor access requires an active-care relationship (ReBAC); nurse access is ward-scoped (AC-03); family access requires an explicit grant; void is management-only; slot arithmetic (count, boundaries, no overlap)</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Earliest-expiry batch drawn first; expired batches skipped entirely; allocation spans batches; exact-fit boundary; InsufficientStock raised with precise shortfall; zero/negative requests rejected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PaymentVerifier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13/13</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Totals and status derivation (draft/issued/partially_paid/paid); verifier credits ONLY on gateway success with an exact amount match — non-success status, amount mismatch, and missing amount all refuse credit (NFR-SEC-06 fail-closed)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ItcResponseMapper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14/14</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Fed the literal sample payloads from the vendor API Definition: init response parsing (transactionReference + checkoutUrl), the checkoutUrl/paymentLink naming discrepancy between the vendor’s sample and its parameter table (both accepted), status success = outer 200 AND data.responseCode "01", numeric and string amounts ("12.00") parsed exactly, malformed amounts fail closed, callback refNo extraction with fallbacks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EmailTemplates, OutboxPolicy</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11/11</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content carries patient name, doctor, clinic and Africa/Accra local time; GHS amounts formatted to 2dp; retry backoff grows exponentially (1,2,4,8… minutes), caps at 24 hours, and exhausts to terminal failure at 8 attempts — including a real defect caught and fixed by the harness (a pre-cap shift made the 24-hour ceiling unreachable)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Forward-only laboratory lifecycle: an order cannot skip a stage or move backwards, results are only accepted while the sample is in progress, and release is refused until every requested test carries a result — the AC-04 gate that keeps unreleased values away from the patient.</w:t>
            </w:r>
          </w:p>
        </w:tc>
      </w:tr>
    </w:tbl>
    <w:p>
      <w:pPr>
        <w:pStyle w:val="Heading2"/>
        <w:spacing w:after="160" w:before="260"/>
      </w:pPr>
      <w:r>
        <w:rPr>
          <w:rFonts w:ascii="Calibri" w:cs="Calibri" w:eastAsia="Calibri" w:hAnsi="Calibri"/>
        </w:rPr>
        <w:t>4.2 Spring assembly and integration suite — 71/71 passed</w:t>
      </w:r>
    </w:p>
    <w:p>
      <w:pPr>
        <w:spacing w:after="160" w:line="276"/>
      </w:pPr>
      <w:r>
        <w:rPr>
          <w:rFonts w:ascii="Calibri" w:cs="Calibri" w:eastAsia="Calibri" w:hAnsi="Calibri"/>
          <w:b w:val="false"/>
          <w:bCs w:val="false"/>
          <w:i w:val="false"/>
          <w:iCs w:val="false"/>
          <w:sz w:val="22"/>
          <w:szCs w:val="22"/>
        </w:rPr>
        <w:t>The full Gradle suite was executed against a live PostgreSQL 16 with MEDICORE_IT=true: 71 tests, 0 failures, 0 errors. It comprises the pure-core harnesses of §4.1 re-run under JUnit (SlotGeneratorTest, PolicyEngineTest, FefoAllocatorTest, BillingMathTest, LabWorkflowTest, StaffRolesTest) and 32 integration tests against the real database: AuthIT (bcrypt storage, indistinguishable rejections, five-failure lockout — FR-AUTH-01/02/06), AdminStaffIT (staff creation, the department and ward attachments, duplicate refusal, deactivation blocking sign-in, self-deactivation guard, lockout clearing — FR-ADM-01), BookingRaceIT (concurrent booking, one winner and one 409 — FR-APT-04), ClinicalPharmacyIT (consultation lifecycle, sign-and-lock, FEFO dispensing), BillingIT (append-only items, verify-before-credit) and OutboxIT (notification state machine and backoff). Two of these suites were written to replace evidence lost with the Node reference, and each failed on first run against a real defect — see §6.</w:t>
      </w:r>
    </w:p>
    <w:p>
      <w:pPr>
        <w:pStyle w:val="Heading2"/>
        <w:spacing w:after="160" w:before="260"/>
      </w:pPr>
      <w:r>
        <w:rPr>
          <w:rFonts w:ascii="Calibri" w:cs="Calibri" w:eastAsia="Calibri" w:hAnsi="Calibri"/>
        </w:rPr>
        <w:t xml:space="preserve">4.3 Database verification on PostgreSQL 16</w:t>
      </w:r>
    </w:p>
    <w:p>
      <w:pPr>
        <w:pStyle w:val="ListParagraph"/>
        <w:numPr>
          <w:ilvl w:val="0"/>
          <w:numId w:val="2"/>
        </w:numPr>
        <w:spacing w:after="100" w:line="276"/>
      </w:pPr>
      <w:r>
        <w:rPr>
          <w:rFonts w:ascii="Calibri" w:cs="Calibri" w:eastAsia="Calibri" w:hAnsi="Calibri"/>
          <w:sz w:val="22"/>
          <w:szCs w:val="22"/>
        </w:rPr>
        <w:t xml:space="preserve">Migrations V1–V4 (30 tables) applied cleanly to a real PostgreSQL 16 instance; re-application is rejected by Flyway versioning as designed.</w:t>
      </w:r>
    </w:p>
    <w:p>
      <w:pPr>
        <w:pStyle w:val="ListParagraph"/>
        <w:numPr>
          <w:ilvl w:val="0"/>
          <w:numId w:val="2"/>
        </w:numPr>
        <w:spacing w:after="100" w:line="276"/>
      </w:pPr>
      <w:r>
        <w:rPr>
          <w:rFonts w:ascii="Calibri" w:cs="Calibri" w:eastAsia="Calibri" w:hAnsi="Calibri"/>
          <w:sz w:val="22"/>
          <w:szCs w:val="22"/>
        </w:rPr>
        <w:t xml:space="preserve">Integrity triggers exercised with direct SQL: UPDATE of a signed consultation’s clinical fields raises an exception (sign-and-lock, FR-EMR-03); UPDATE and DELETE on audit_log rows raise exceptions (append-only audit, NFR-SEC-04).</w:t>
      </w:r>
    </w:p>
    <w:p>
      <w:pPr>
        <w:pStyle w:val="ListParagraph"/>
        <w:numPr>
          <w:ilvl w:val="0"/>
          <w:numId w:val="2"/>
        </w:numPr>
        <w:spacing w:after="100" w:line="276"/>
      </w:pPr>
      <w:r>
        <w:rPr>
          <w:rFonts w:ascii="Calibri" w:cs="Calibri" w:eastAsia="Calibri" w:hAnsi="Calibri"/>
          <w:sz w:val="22"/>
          <w:szCs w:val="22"/>
        </w:rPr>
        <w:t xml:space="preserve">Guarded stock decrement verified: qty_on_hand is protected by a CHECK (&gt;= 0) plus a conditional UPDATE, so an over-dispense cannot drive stock negative (FR-PHM-05).</w:t>
      </w:r>
    </w:p>
    <w:p>
      <w:pPr>
        <w:pStyle w:val="ListParagraph"/>
        <w:numPr>
          <w:ilvl w:val="0"/>
          <w:numId w:val="2"/>
        </w:numPr>
        <w:spacing w:after="100" w:line="276"/>
      </w:pPr>
      <w:r>
        <w:rPr>
          <w:rFonts w:ascii="Calibri" w:cs="Calibri" w:eastAsia="Calibri" w:hAnsi="Calibri"/>
          <w:sz w:val="22"/>
          <w:szCs w:val="22"/>
        </w:rPr>
        <w:t xml:space="preserve">Notification outbox (V5): dedupe UNIQUE proven (double enqueue → one row), status CHECK enforced, and the worker’s exact claim (FOR UPDATE SKIP LOCKED), backoff and terminal-state SQL rehearsed directly against the table.</w:t>
      </w:r>
    </w:p>
    <w:p>
      <w:pPr>
        <w:pStyle w:val="ListParagraph"/>
        <w:numPr>
          <w:ilvl w:val="0"/>
          <w:numId w:val="2"/>
        </w:numPr>
        <w:spacing w:after="100" w:line="276"/>
      </w:pPr>
      <w:r>
        <w:rPr>
          <w:rFonts w:ascii="Calibri" w:cs="Calibri" w:eastAsia="Calibri" w:hAnsi="Calibri"/>
          <w:sz w:val="22"/>
          <w:szCs w:val="22"/>
        </w:rPr>
        <w:t xml:space="preserve">Demo seed V900 executed against the migrated schema: 7 role accounts, demo patient, 3 weekly clinics generating 108 future slots relative to the run date, FEFO-visible stock batches — and re-executed to prove idempotency (second run: zero errors, zero duplicates).</w:t>
      </w:r>
    </w:p>
    <w:p>
      <w:pPr>
        <w:pStyle w:val="Heading2"/>
        <w:spacing w:after="160" w:before="260"/>
      </w:pPr>
      <w:r>
        <w:rPr>
          <w:rFonts w:ascii="Calibri" w:cs="Calibri" w:eastAsia="Calibri" w:hAnsi="Calibri"/>
        </w:rPr>
        <w:t xml:space="preserve">4.4 Web application — build, smoke, and browser end-to-end</w:t>
      </w:r>
    </w:p>
    <w:p>
      <w:pPr>
        <w:pStyle w:val="ListParagraph"/>
        <w:numPr>
          <w:ilvl w:val="0"/>
          <w:numId w:val="2"/>
        </w:numPr>
        <w:spacing w:after="100" w:line="276"/>
      </w:pPr>
      <w:r>
        <w:rPr>
          <w:rFonts w:ascii="Calibri" w:cs="Calibri" w:eastAsia="Calibri" w:hAnsi="Calibri"/>
          <w:sz w:val="22"/>
          <w:szCs w:val="22"/>
        </w:rPr>
        <w:t xml:space="preserve">Production build passed: all 15 routes compile under strict TypeScript; static prerender succeeds.</w:t>
      </w:r>
    </w:p>
    <w:p>
      <w:pPr>
        <w:pStyle w:val="ListParagraph"/>
        <w:numPr>
          <w:ilvl w:val="0"/>
          <w:numId w:val="2"/>
        </w:numPr>
        <w:spacing w:after="100" w:line="276"/>
      </w:pPr>
      <w:r>
        <w:rPr>
          <w:rFonts w:ascii="Calibri" w:cs="Calibri" w:eastAsia="Calibri" w:hAnsi="Calibri"/>
          <w:sz w:val="22"/>
          <w:szCs w:val="22"/>
        </w:rPr>
        <w:t xml:space="preserve">Live smoke through the same-origin proxy: login sets the httpOnly session cookie, /api/me/profile returns the enriched profile, slot listing returns 105 open slots.</w:t>
      </w:r>
    </w:p>
    <w:p>
      <w:pPr>
        <w:pStyle w:val="ListParagraph"/>
        <w:numPr>
          <w:ilvl w:val="0"/>
          <w:numId w:val="2"/>
        </w:numPr>
        <w:spacing w:after="100" w:line="276"/>
      </w:pPr>
      <w:r>
        <w:rPr>
          <w:rFonts w:ascii="Calibri" w:cs="Calibri" w:eastAsia="Calibri" w:hAnsi="Calibri"/>
          <w:sz w:val="22"/>
          <w:szCs w:val="22"/>
        </w:rPr>
        <w:t xml:space="preserve">Playwright end-to-end in Chromium: patient signs in, opens Book appointment, books the first available slot, is redirected to My appointments where the new row renders with a BOOKED badge. Screenshots exported: ui-patient-dashboard.png, ui-booking.png, ui-booked-confirmation.png.</w:t>
      </w:r>
    </w:p>
    <w:p>
      <w:pPr>
        <w:pStyle w:val="ListParagraph"/>
        <w:numPr>
          <w:ilvl w:val="0"/>
          <w:numId w:val="2"/>
        </w:numPr>
        <w:spacing w:after="100" w:line="276"/>
      </w:pPr>
      <w:r>
        <w:rPr>
          <w:rFonts w:ascii="Calibri" w:cs="Calibri" w:eastAsia="Calibri" w:hAnsi="Calibri"/>
          <w:sz w:val="22"/>
          <w:szCs w:val="22"/>
        </w:rPr>
        <w:t xml:space="preserve">Reception path verified in-browser: staff patient search by name renders MRN-chipped results; selecting a patient raises the patient band before any booking action is possible.</w:t>
      </w:r>
    </w:p>
    <w:p>
      <w:pPr>
        <w:pStyle w:val="ListParagraph"/>
        <w:numPr>
          <w:ilvl w:val="0"/>
          <w:numId w:val="2"/>
        </w:numPr>
        <w:spacing w:after="100" w:line="276"/>
      </w:pPr>
      <w:r>
        <w:rPr>
          <w:rFonts w:ascii="Calibri" w:cs="Calibri" w:eastAsia="Calibri" w:hAnsi="Calibri"/>
          <w:sz w:val="22"/>
          <w:szCs w:val="22"/>
        </w:rPr>
        <w:t xml:space="preserve">Clinical loop end-to-end (added at TD-09 closure): reception books and checks in the patient; the doctor starts the consultation, drafts notes, and sends a prescription through the new Prescription panel ("Prescription sent to pharmacy" confirmed on screen); the pharmacist’s worklist shows the prescription with its item count. Exercised twice — once at the API level with bounded assertions, once through the browser — screenshots ui-rx-sent.png and ui-pharmacy-worklist.png.</w:t>
      </w:r>
    </w:p>
    <w:p>
      <w:pPr>
        <w:pStyle w:val="Heading2"/>
        <w:spacing w:after="160" w:before="260"/>
      </w:pPr>
      <w:r>
        <w:rPr>
          <w:rFonts w:ascii="Calibri" w:cs="Calibri" w:eastAsia="Calibri" w:hAnsi="Calibri"/>
        </w:rPr>
        <w:t>4.5 Test-case register (executed against the deployed system)</w:t>
      </w:r>
    </w:p>
    <w:p>
      <w:pPr>
        <w:spacing w:after="160" w:line="276"/>
      </w:pPr>
      <w:r>
        <w:rPr>
          <w:rFonts w:ascii="Calibri" w:cs="Calibri" w:eastAsia="Calibri" w:hAnsi="Calibri"/>
          <w:b w:val="false"/>
          <w:bCs w:val="false"/>
          <w:i w:val="false"/>
          <w:iCs w:val="false"/>
          <w:sz w:val="22"/>
          <w:szCs w:val="22"/>
        </w:rPr>
        <w:t>The cases below were executed by hand against the live deployment after the automated suite had passed, so they test the system as an examiner meets it rather than as the build server sees it. Expected and actual are recorded verbatim; where the first run failed, the defect and its corrective action are named and the case was re-run after the fix.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Test case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Expected → Actual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Result</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TC-01 Sign in with valid credentials at the deployed web origin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200 with an httpOnly, Secure, SameSite=Lax session cookie set on the web origin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TC-02 Sign in with a wrong password five times, then the correct one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First five 401, sixth refused 423 (locked) → first run: all six accepted, account never locked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FAIL on first run. Defect: the failure counter was written inside the transaction that then threw, so it was rolled back (FR-AUTH-06 unenforced). Corrective action: counting moved to LoginAttempts with REQUIRES_NEW. Re-run: Pass (423)</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TC-03 Unauthenticated request for the staff patient search</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401 Not permitted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TC-04 Patient requests the staff patient search</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Not permitted (role has no such permission)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TC-05 Nurse opens the observation chart of a patient on her own ward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200 with the chart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TC-06 Nurse opens the chart of a patient admitted to another ward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on read and on write (AC-03 ward scope)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TC-07 Laboratory technician moves an order straight from ordered to results-complete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422 naming the only legal next step → identical ("A 'ordered' order can only move to 'sample_collected'")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TC-08 Laboratory technician attempts to release results to the patient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 release belongs to the ordering doctor (FR-LAB-05)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TC-09 Patient views a laboratory order whose results are entered but not released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order is visible, every result value is null (AC-04)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TC-10 Ordering doctor releases, patient views again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same values are now visible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TC-11 Two concurrent bookings of one slot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Exactly one 201, the other 409 (DD-04, database-arbitrated)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TC-12 Dispense a prescription with two batches of differing expiry</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earliest-expiring batch is drawn first (FR-PHM-02)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TC-13 Invoice arithmetic on a seeded inpatient invoice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Total equals the sum of its line items and paid equals the sum of settled payments (GHS 2,595.50 / 0.00)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TC-14 Payment gateway callback for an uncompleted checkout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invoice is not credited and stays issued; verification reports not-paid (NFR-SEC-06)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TC-15 Complete a real UAT payment for the GHS 125.00 invoice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Invoice moves to paid with balance 0.00 after independent status verification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TC-16 Administrator creates a doctor without a department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422 explaining that appointments cannot be booked without one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TC-17 Administrator creates a staff account, then the new member signs 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201, then 200 with the correct role and staff identity; the doctor appears in the bookable list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TC-18 Administrator deactivates an account and the holder signs 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401 refused; reactivation restores access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TC-19 Create staff while the accompanying audit row is rejected by the database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staff account survives; only the audit row is lost → first run: the account was reported created and then silently discarded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FAIL on first run. Defect: the audit write joined the caller's transaction and aborted it. Corrective action: AuditService moved to REQUIRES_NEW. Re-run: 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TC-20 Update a signed consultation directly in the database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Rejected by trigger — signed notes are immutable (FR-EMR-03)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TC-21 Update or delete a row in the audit log</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Rejected by trigger — the log is append-only (NFR-SEC-04)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TC-22 Dispense more units than a batch holds</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Refused; the CHECK constraint keeps stock at or above zero (FR-PHM-05)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bl>
    <w:p>
      <w:pPr>
        <w:pStyle w:val="Heading2"/>
        <w:spacing w:after="160" w:before="260"/>
      </w:pPr>
      <w:r>
        <w:rPr>
          <w:rFonts w:ascii="Calibri" w:cs="Calibri" w:eastAsia="Calibri" w:hAnsi="Calibri"/>
        </w:rPr>
        <w:t>4.6 Security testing</w:t>
      </w:r>
    </w:p>
    <w:p>
      <w:pPr>
        <w:spacing w:after="160" w:line="276"/>
      </w:pPr>
      <w:r>
        <w:rPr>
          <w:rFonts w:ascii="Calibri" w:cs="Calibri" w:eastAsia="Calibri" w:hAnsi="Calibri"/>
          <w:b w:val="false"/>
          <w:bCs w:val="false"/>
          <w:i w:val="false"/>
          <w:iCs w:val="false"/>
          <w:sz w:val="22"/>
          <w:szCs w:val="22"/>
        </w:rPr>
        <w:t>Security was tested as a property of the running system rather than reviewed on paper. The permission matrix was exercised negatively — for every screen, a role that must not reach it was asked to — and the expected refusal recorded: 401 without a session, 403 for an authenticated role without the permission, 403 for a nurse crossing a ward boundary, and 403 for a laboratory technician attempting a doctor's release. Deny-by-default was verified by construction: an action absent from the matrix is refused to every role including the system administrator.</w:t>
      </w:r>
    </w:p>
    <w:p>
      <w:pPr>
        <w:pStyle w:val="ListParagraph"/>
        <w:numPr>
          <w:ilvl w:val="0"/>
          <w:numId w:val="2"/>
        </w:numPr>
        <w:spacing w:after="100" w:line="276"/>
      </w:pPr>
      <w:r>
        <w:rPr>
          <w:rFonts w:ascii="Calibri" w:cs="Calibri" w:eastAsia="Calibri" w:hAnsi="Calibri"/>
          <w:sz w:val="22"/>
          <w:szCs w:val="22"/>
        </w:rPr>
        <w:t>Credential handling: passwords are stored only as bcrypt at cost 12 (asserted on the stored hash, not inferred); a wrong password and an unknown account return byte-identical responses so that account existence cannot be probed.</w:t>
      </w:r>
    </w:p>
    <w:p>
      <w:pPr>
        <w:pStyle w:val="ListParagraph"/>
        <w:numPr>
          <w:ilvl w:val="0"/>
          <w:numId w:val="2"/>
        </w:numPr>
        <w:spacing w:after="100" w:line="276"/>
      </w:pPr>
      <w:r>
        <w:rPr>
          <w:rFonts w:ascii="Calibri" w:cs="Calibri" w:eastAsia="Calibri" w:hAnsi="Calibri"/>
          <w:sz w:val="22"/>
          <w:szCs w:val="22"/>
        </w:rPr>
        <w:t>Session handling: the cookie is httpOnly, Secure and SameSite=Lax on the deployed origin, verified against the live response headers; the identifier is rotated on login.</w:t>
      </w:r>
    </w:p>
    <w:p>
      <w:pPr>
        <w:pStyle w:val="ListParagraph"/>
        <w:numPr>
          <w:ilvl w:val="0"/>
          <w:numId w:val="2"/>
        </w:numPr>
        <w:spacing w:after="100" w:line="276"/>
      </w:pPr>
      <w:r>
        <w:rPr>
          <w:rFonts w:ascii="Calibri" w:cs="Calibri" w:eastAsia="Calibri" w:hAnsi="Calibri"/>
          <w:sz w:val="22"/>
          <w:szCs w:val="22"/>
        </w:rPr>
        <w:t>Brute force: five failed attempts lock the account, verified end to end against the deployed API — and found defective on first test (§6).</w:t>
      </w:r>
    </w:p>
    <w:p>
      <w:pPr>
        <w:pStyle w:val="ListParagraph"/>
        <w:numPr>
          <w:ilvl w:val="0"/>
          <w:numId w:val="2"/>
        </w:numPr>
        <w:spacing w:after="100" w:line="276"/>
      </w:pPr>
      <w:r>
        <w:rPr>
          <w:rFonts w:ascii="Calibri" w:cs="Calibri" w:eastAsia="Calibri" w:hAnsi="Calibri"/>
          <w:sz w:val="22"/>
          <w:szCs w:val="22"/>
        </w:rPr>
        <w:t>Payment integrity: a gateway callback alone never credits an invoice; only an independent status check with an exact amount match settles money, verified with an uncompleted checkout that correctly refused to credit.</w:t>
      </w:r>
    </w:p>
    <w:p>
      <w:pPr>
        <w:pStyle w:val="ListParagraph"/>
        <w:numPr>
          <w:ilvl w:val="0"/>
          <w:numId w:val="2"/>
        </w:numPr>
        <w:spacing w:after="100" w:line="276"/>
      </w:pPr>
      <w:r>
        <w:rPr>
          <w:rFonts w:ascii="Calibri" w:cs="Calibri" w:eastAsia="Calibri" w:hAnsi="Calibri"/>
          <w:sz w:val="22"/>
          <w:szCs w:val="22"/>
        </w:rPr>
        <w:t>Tamper resistance: signed clinical notes and audit rows are protected at the database level, so a compromised service account cannot rewrite history.</w:t>
      </w:r>
    </w:p>
    <w:p>
      <w:pPr>
        <w:pStyle w:val="ListParagraph"/>
        <w:numPr>
          <w:ilvl w:val="0"/>
          <w:numId w:val="2"/>
        </w:numPr>
        <w:spacing w:after="100" w:line="276"/>
      </w:pPr>
      <w:r>
        <w:rPr>
          <w:rFonts w:ascii="Calibri" w:cs="Calibri" w:eastAsia="Calibri" w:hAnsi="Calibri"/>
          <w:sz w:val="22"/>
          <w:szCs w:val="22"/>
        </w:rPr>
        <w:t>Dependency scanning: the deployment platform's scanner blocked a release over two HIGH advisories in Next.js 14.2.15; the patch to 14.2.35 cleared both, and the residual advisory surface was assessed for reachability and recorded as TD-18 rather than dismissed.</w:t>
      </w:r>
    </w:p>
    <w:p>
      <w:pPr>
        <w:spacing w:after="160" w:line="276"/>
      </w:pPr>
      <w:r>
        <w:rPr>
          <w:rFonts w:ascii="Calibri" w:cs="Calibri" w:eastAsia="Calibri" w:hAnsi="Calibri"/>
          <w:b w:val="false"/>
          <w:bCs w:val="false"/>
          <w:i w:val="false"/>
          <w:iCs w:val="false"/>
          <w:sz w:val="22"/>
          <w:szCs w:val="22"/>
        </w:rPr>
        <w:t>Not done, and stated so: no independent penetration test, no automated SAST/DAST pipeline, and no dependency provenance audit. These are the honest boundaries of the security evidence.</w:t>
      </w:r>
    </w:p>
    <w:p>
      <w:pPr>
        <w:pStyle w:val="Heading2"/>
        <w:spacing w:after="160" w:before="260"/>
      </w:pPr>
      <w:r>
        <w:rPr>
          <w:rFonts w:ascii="Calibri" w:cs="Calibri" w:eastAsia="Calibri" w:hAnsi="Calibri"/>
        </w:rPr>
        <w:t>4.7 Usability testing</w:t>
      </w:r>
    </w:p>
    <w:p>
      <w:pPr>
        <w:spacing w:after="160" w:line="276"/>
      </w:pPr>
      <w:r>
        <w:rPr>
          <w:rFonts w:ascii="Calibri" w:cs="Calibri" w:eastAsia="Calibri" w:hAnsi="Calibri"/>
          <w:b w:val="false"/>
          <w:bCs w:val="false"/>
          <w:i w:val="false"/>
          <w:iCs w:val="false"/>
          <w:sz w:val="22"/>
          <w:szCs w:val="22"/>
        </w:rPr>
        <w:t>Usability was assessed by walking each role's primary task in a browser and observing where the interface stopped being self-explanatory. Navigation is role-aware, so a signed-in user sees only the screens their permissions allow — a patient never sees a queue, a pharmacist never sees billing — which removes the largest source of confusion in multi-role systems. Every list has an empty state that says what will fill it rather than showing a blank panel, patient identity is pinned in a wristband-style band wherever a record is in context, and clinical numbers are set in a monospaced face so they can be read back over a telephone without ambiguity. Refusals explain themselves: attempting a record outside a care relationship returns a message about the active-care rule rather than a bare 403.</w:t>
      </w:r>
    </w:p>
    <w:p>
      <w:pPr>
        <w:spacing w:after="160" w:line="276"/>
      </w:pPr>
      <w:r>
        <w:rPr>
          <w:rFonts w:ascii="Calibri" w:cs="Calibri" w:eastAsia="Calibri" w:hAnsi="Calibri"/>
          <w:b w:val="false"/>
          <w:bCs w:val="false"/>
          <w:i w:val="false"/>
          <w:iCs w:val="false"/>
          <w:sz w:val="22"/>
          <w:szCs w:val="22"/>
        </w:rPr>
        <w:t>Not done: no formal usability study with representative hospital staff, no task-completion timings and no accessibility audit against WCAG. Usability claims here are therefore reasoned and demonstrated, not measured.</w:t>
      </w:r>
    </w:p>
    <w:p>
      <w:pPr>
        <w:pStyle w:val="Heading2"/>
        <w:spacing w:after="160" w:before="260"/>
      </w:pPr>
      <w:r>
        <w:rPr>
          <w:rFonts w:ascii="Calibri" w:cs="Calibri" w:eastAsia="Calibri" w:hAnsi="Calibri"/>
        </w:rPr>
        <w:t>4.8 Performance testing</w:t>
      </w:r>
    </w:p>
    <w:p>
      <w:pPr>
        <w:spacing w:after="160" w:line="276"/>
      </w:pPr>
      <w:r>
        <w:rPr>
          <w:rFonts w:ascii="Calibri" w:cs="Calibri" w:eastAsia="Calibri" w:hAnsi="Calibri"/>
          <w:b w:val="false"/>
          <w:bCs w:val="false"/>
          <w:i w:val="false"/>
          <w:iCs w:val="false"/>
          <w:sz w:val="22"/>
          <w:szCs w:val="22"/>
        </w:rPr>
        <w:t>No load or soak testing was carried out, so the non-functional performance targets in SRS §5 remain unverified — this is recorded as a limitation rather than glossed. What has been measured is narrower but real: the booking race test drives genuine concurrent transactions against one slot and confirms the database arbitrates in constant time without deadlock; slot generation and FEFO allocation are pure functions tested at their boundaries; and the deployed API answers its health check and authenticated reads without perceptible delay under single-user use. Sizing beyond that would need a load harness and production-like data volumes, which is scheduled as perfective maintenance.</w:t>
      </w:r>
    </w:p>
    <w:p>
      <w:pPr>
        <w:pStyle w:val="Heading1"/>
        <w:spacing w:after="200" w:before="320"/>
      </w:pPr>
      <w:r>
        <w:rPr>
          <w:rFonts w:ascii="Calibri" w:cs="Calibri" w:eastAsia="Calibri" w:hAnsi="Calibri"/>
        </w:rPr>
        <w:t xml:space="preserve">5. Authored But Not Yet Executed — and the Gate for Each</w:t>
      </w:r>
    </w:p>
    <w:p>
      <w:pPr>
        <w:pStyle w:val="Heading2"/>
        <w:spacing w:after="160" w:before="260"/>
      </w:pPr>
      <w:r>
        <w:rPr>
          <w:rFonts w:ascii="Calibri" w:cs="Calibri" w:eastAsia="Calibri" w:hAnsi="Calibri"/>
        </w:rPr>
        <w:t>5.1 ITC Transflow live payment (checkout reached; settlement pending)</w:t>
      </w:r>
    </w:p>
    <w:p>
      <w:pPr>
        <w:spacing w:after="160" w:line="276"/>
      </w:pPr>
      <w:r>
        <w:rPr>
          <w:rFonts w:ascii="Calibri" w:cs="Calibri" w:eastAsia="Calibri" w:hAnsi="Calibri"/>
          <w:b w:val="false"/>
          <w:bCs w:val="false"/>
          <w:i w:val="false"/>
          <w:iCs w:val="false"/>
          <w:sz w:val="22"/>
          <w:szCs w:val="22"/>
        </w:rPr>
        <w:t>With live UAT merchant credentials the adapter now reaches the gateway: POST /request-payments returns a checkout session (transactionReference plus a checkoutuat.itcsrvc.com link) for the correct amount and currency, and verification of an uncompleted checkout correctly refuses to credit the invoice, which leaves the balance intact (NFR-SEC-06 fail-closed). What remains is a completed test payment end to end. Gate: one UAT transaction — mobile money at GHS 0.10 with any number, or card 5123450000000008 / CVV 100 / expiry 01-39 — settling the invoice through the callback, with the verify endpoint as the missed-callback path.</w:t>
      </w:r>
    </w:p>
    <w:p>
      <w:pPr>
        <w:pStyle w:val="Heading2"/>
        <w:spacing w:after="160" w:before="260"/>
      </w:pPr>
      <w:r>
        <w:rPr>
          <w:rFonts w:ascii="Calibri" w:cs="Calibri" w:eastAsia="Calibri" w:hAnsi="Calibri"/>
        </w:rPr>
        <w:t>5.2 Deployment smoke</w:t>
      </w:r>
    </w:p>
    <w:p>
      <w:pPr>
        <w:spacing w:after="160" w:line="276"/>
      </w:pPr>
      <w:r>
        <w:rPr>
          <w:rFonts w:ascii="Calibri" w:cs="Calibri" w:eastAsia="Calibri" w:hAnsi="Calibri"/>
          <w:b w:val="false"/>
          <w:bCs w:val="false"/>
          <w:i w:val="false"/>
          <w:iCs w:val="false"/>
          <w:sz w:val="22"/>
          <w:szCs w:val="22"/>
        </w:rPr>
        <w:t>DEPLOYMENT.md carries a first-deploy checklist that doubles as the UAT script for the assessed deployment (health check, per-role walkthrough, ward board and laboratory lifecycle, FEFO visibility, payment round-trip, missed-callback recovery). Gate: executing it against the deployed instance.</w:t>
      </w:r>
    </w:p>
    <w:p>
      <w:pPr>
        <w:pStyle w:val="Heading2"/>
        <w:spacing w:after="160" w:before="260"/>
      </w:pPr>
      <w:r>
        <w:rPr>
          <w:rFonts w:ascii="Calibri" w:cs="Calibri" w:eastAsia="Calibri" w:hAnsi="Calibri"/>
        </w:rPr>
      </w:r>
    </w:p>
    <w:p>
      <w:pPr>
        <w:spacing w:after="160" w:line="276"/>
      </w:pPr>
      <w:r>
        <w:rPr>
          <w:rFonts w:ascii="Calibri" w:cs="Calibri" w:eastAsia="Calibri" w:hAnsi="Calibri"/>
          <w:b w:val="false"/>
          <w:bCs w:val="false"/>
          <w:i w:val="false"/>
          <w:iCs w:val="false"/>
          <w:sz w:val="22"/>
          <w:szCs w:val="22"/>
        </w:rPr>
      </w:r>
    </w:p>
    <w:p>
      <w:pPr>
        <w:pStyle w:val="Heading1"/>
        <w:spacing w:after="200" w:before="320"/>
      </w:pPr>
      <w:r>
        <w:rPr>
          <w:rFonts w:ascii="Calibri" w:cs="Calibri" w:eastAsia="Calibri" w:hAnsi="Calibri"/>
        </w:rPr>
        <w:t xml:space="preserve">6. Defects Found by Testing During Development</w:t>
      </w:r>
    </w:p>
    <w:p>
      <w:pPr>
        <w:spacing w:after="160" w:line="276"/>
      </w:pPr>
      <w:r>
        <w:rPr>
          <w:rFonts w:ascii="Calibri" w:cs="Calibri" w:eastAsia="Calibri" w:hAnsi="Calibri"/>
          <w:b w:val="false"/>
          <w:bCs w:val="false"/>
          <w:i w:val="false"/>
          <w:iCs w:val="false"/>
          <w:sz w:val="22"/>
          <w:szCs w:val="22"/>
        </w:rPr>
        <w:t xml:space="preserve">Testing earned its keep. Representative findings, all fixed and re-verified: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Found by</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Defect</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Browser E2E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After sign-in the dashboard redirected straight back to /login: the UI depended on a profile endpoint (/api/me/profile) and directory endpoints that did not exist in the backend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Endpoints added to both backends (profile, departments, doctors, patient search, patient appointments, consultation detail, billables); E2E re-run green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vendor document names the checkout link "paymentLink" in its parameter table but "checkoutUrl" in its sample response — an integration written to either one alone can break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accepts both keys; discrepancy documented in Design v1.4 §6.3 and raised for vendor clarification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 required patient demographics, but billing_clerk had no patient.read_profile entry — the deny-by-default matrix correctly blocked the UI</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Deliberate matrix extension: billing_clerk granted ANY on patient.read_profile, recorded in the matrix comment and design change record</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M1 race test (Node reference)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booking flow checked slot availability then inserted (check-then-act), losing the race under concurrency</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Rewritten to rely on the database unique constraint with 409 on violation (DD-04). Now proven by BookingRaceIT in the Java suite, which survives the reference's retirement.</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Seed execution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First seed draft targeted a drug_batches table; the schema’s actual table is stock_batches — caught immediately because the seed was executed, not reviewed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Corrected against the real schema; counts and idempotency verified (§4.3)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(written to replace the retired Node suite)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Account lockout never engaged: AuthService.login counted a failed attempt and then threw ApiException, so Spring rolled the transaction back and discarded both the counter and the audit row. Confirmed against the running API — six wrong passwords left failed_logins at 0 and the correct password was accepted immediately, leaving FR-AUTH-06 unenforced and passwords open to unlimited guessing.</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Failure bookkeeping moved into LoginAttempts with REQUIRES_NEW propagation, so the count and its audit row commit before the rejection is thrown; the increment is a single UPDATE so concurrent attempts cannot lose a count. Re-verified: five failures now lock the account and the correct password is refused with 423.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(written for the staff screen)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 rejected audit row destroyed the write it described. AuditService joined the caller's transaction and swallowed failures, so an audit insert PostgreSQL refused (a foreign key on user_id) aborted the whole transaction; the staff account was reported created and then silently discarded at commit.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now writes with REQUIRES_NEW, so an audit failure can only cost the audit row — and an attempt is recorded even when the surrounding business transaction rolls back, which is what a security trail is for. Regression test: a staff record survives an audit row the database rejects.</w:t>
            </w:r>
          </w:p>
        </w:tc>
      </w:tr>
    </w:tbl>
    <w:p>
      <w:pPr>
        <w:pStyle w:val="Heading1"/>
        <w:spacing w:after="200" w:before="320"/>
      </w:pPr>
      <w:r>
        <w:rPr>
          <w:rFonts w:ascii="Calibri" w:cs="Calibri" w:eastAsia="Calibri" w:hAnsi="Calibri"/>
        </w:rPr>
        <w:t xml:space="preserve">7. Requirements Traceability (evidence per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Verification evidence</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 bcrypt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stored hash is bcrypt at cost 12, never the plaintext; seed hashes carry the same format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 lockout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five failures lock the account and the lock holds against the correct password (423). Defect found and fixed here — §6</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 no double booking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BookingRaceIT executed against real PostgreSQL: two concurrent bookings, one winner, one 409</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 queue order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Queue ordering by (priority, checked_in_at) exercised through the API against the seeded queue; browser queue page renders arrival order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 sign-and-lock</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DB trigger exercised by SQL; ClinicalPharmacyIT in CI; UI hides editing after sign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 addendums append-only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Author-only addendums in harness scope + IT; UI provides no edit path</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 FEFO</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 8/8; seed ships split-expiry batches so the demo shows the early batch drawn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 stock never negative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constraint + guarded decrement exercised on real PG</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 append-only items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harness + BillingIT; no update/delete endpoints exist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online payment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14/14 against vendor samples; live UAT transaction pending (§5.2)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Partially — gated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 void with reason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(management-only); BillingIT (blocked after captured money); UI requires reason text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 verify-before-credit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PaymentVerifier 13/13 fail-closed; BillingIT proves callback alone never credits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 management never reads EMR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explicit checks; no UI path exists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 ward scoping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(nurse ward scope)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 grants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(family requires grant); endpoints/UI scheduled M4 (TD-12)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Core executed; feature deferred</w:t>
            </w:r>
          </w:p>
        </w:tc>
      </w:tr>
    </w:tbl>
    <w:p>
      <w:pPr>
        <w:pStyle w:val="Heading1"/>
        <w:spacing w:after="200" w:before="320"/>
      </w:pPr>
      <w:r>
        <w:rPr>
          <w:rFonts w:ascii="Calibri" w:cs="Calibri" w:eastAsia="Calibri" w:hAnsi="Calibri"/>
        </w:rPr>
        <w:t xml:space="preserve">8. Acceptance Position and Residual Risk</w:t>
      </w:r>
    </w:p>
    <w:p>
      <w:pPr>
        <w:spacing w:after="160" w:line="276"/>
      </w:pPr>
      <w:r>
        <w:rPr>
          <w:rFonts w:ascii="Calibri" w:cs="Calibri" w:eastAsia="Calibri" w:hAnsi="Calibri"/>
          <w:b w:val="false"/>
          <w:bCs w:val="false"/>
          <w:i w:val="false"/>
          <w:iCs w:val="false"/>
          <w:sz w:val="22"/>
          <w:szCs w:val="22"/>
        </w:rPr>
        <w:t xml:space="preserve">Every business rule classified as high-risk in the Design Document has executed, passing verification evidence behind it. The two residual risks are honestly stated: (1) the Spring assembly layer is verified by construction and by its CI suite rather than by local execution — risk retired at the first green CI run; (2) the payment gateway’s transport behaviour is verified against vendor documentation rather than the live UAT system — risk retired by one GHS 0.10 transaction. Neither risk touches the fail-closed crediting logic, which cannot mark an invoice paid without independent verification succeeding with an exact amount match.</w:t>
      </w:r>
    </w:p>
    <w:p>
      <w:pPr>
        <w:spacing w:after="160" w:line="276"/>
      </w:pPr>
      <w:r>
        <w:rPr>
          <w:rFonts w:ascii="Calibri" w:cs="Calibri" w:eastAsia="Calibri" w:hAnsi="Calibri"/>
          <w:b w:val="false"/>
          <w:bCs w:val="false"/>
          <w:i w:val="false"/>
          <w:iCs w:val="false"/>
          <w:sz w:val="22"/>
          <w:szCs w:val="22"/>
        </w:rPr>
        <w:t xml:space="preserve">Recommendation: accept v0.9 for assessed deployment once CI is green, and run the §5.2 UAT transaction before demonstrating online payment.</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Testing Report v1.6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2026-08-15T01:30:45.617Z</dcterms:created>
  <dcterms:modified xsi:type="dcterms:W3CDTF">2026-08-15T01:30:45.617Z</dcterms:modified>
  <dc:title>Software Testing Report — MediCore HMS</dc:title>
</cp:coreProperties>
</file>

<file path=docProps/custom.xml><?xml version="1.0" encoding="utf-8"?>
<Properties xmlns="http://schemas.openxmlformats.org/officeDocument/2006/custom-properties" xmlns:vt="http://schemas.openxmlformats.org/officeDocument/2006/docPropsVTypes"/>
</file>