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alibri" w:cs="Calibri" w:eastAsia="Calibri" w:hAnsi="Calibri"/>
          <w:b/>
          <w:bCs/>
          <w:color w:val="1F3864"/>
          <w:sz w:val="52"/>
          <w:szCs w:val="52"/>
        </w:rPr>
        <w:t>PROJECT DOCUMENTATION</w:t>
      </w:r>
    </w:p>
    <w:p>
      <w:pPr>
        <w:spacing w:after="200"/>
        <w:jc w:val="center"/>
      </w:pPr>
      <w:r>
        <w:rPr>
          <w:rFonts w:ascii="Calibri" w:cs="Calibri" w:eastAsia="Calibri" w:hAnsi="Calibri"/>
          <w:b/>
          <w:bCs/>
          <w:sz w:val="34"/>
          <w:szCs w:val="34"/>
        </w:rPr>
        <w:t>Consolidated Software Engineering Record</w:t>
      </w:r>
    </w:p>
    <w:p>
      <w:pPr>
        <w:spacing w:after="480"/>
        <w:jc w:val="center"/>
      </w:pPr>
      <w:r>
        <w:rPr>
          <w:rFonts w:ascii="Calibri" w:cs="Calibri" w:eastAsia="Calibri" w:hAnsi="Calibri"/>
          <w:sz w:val="30"/>
          <w:szCs w:val="30"/>
        </w:rPr>
        <w:t>MediCore Hospital Management System</w:t>
      </w:r>
    </w:p>
    <w:p>
      <w:pPr>
        <w:spacing w:after="160"/>
        <w:jc w:val="center"/>
      </w:pPr>
      <w:r>
        <w:rPr>
          <w:rFonts w:ascii="Calibri" w:cs="Calibri" w:eastAsia="Calibri" w:hAnsi="Calibri"/>
          <w:sz w:val="26"/>
          <w:szCs w:val="26"/>
        </w:rPr>
        <w:t>Version 1.1  ·  August 2026</w:t>
      </w:r>
    </w:p>
    <w:p>
      <w:pPr>
        <w:spacing w:after="160"/>
        <w:jc w:val="center"/>
      </w:pPr>
      <w:r>
        <w:rPr>
          <w:rFonts w:ascii="Calibri" w:cs="Calibri" w:eastAsia="Calibri" w:hAnsi="Calibri"/>
          <w:i/>
          <w:iCs/>
          <w:sz w:val="24"/>
          <w:szCs w:val="24"/>
        </w:rPr>
        <w:t xml:space="preserve">Companion documents: SRS v1.4 · Effort Estimation (UCP) v1.0 · Design v1.9 · Testing Report v1.7 · Technical Debt Ledger v1.6 · User Manual v1.2 · Maintenance Plan v1.4</w:t>
      </w:r>
    </w:p>
    <w:p>
      <w:pPr>
        <w:jc w:val="center"/>
      </w:pPr>
      <w:r>
        <w:rPr>
          <w:rFonts w:ascii="Calibri" w:cs="Calibri" w:eastAsia="Calibri" w:hAnsi="Calibri"/>
          <w:sz w:val="24"/>
          <w:szCs w:val="24"/>
        </w:rPr>
        <w:t>Prepared by: Kelvin Addae Kwarteng  ·  Student ID 22427564</w:t>
      </w:r>
    </w:p>
    <w:p>
      <w:pPr>
        <w:spacing w:after="160" w:line="276"/>
      </w:pPr>
      <w:r>
        <w:rPr>
          <w:rFonts w:ascii="Calibri" w:cs="Calibri" w:eastAsia="Calibri" w:hAnsi="Calibri"/>
          <w:b w:val="false"/>
          <w:bCs w:val="false"/>
          <w:i w:val="false"/>
          <w:iCs w:val="false"/>
          <w:sz w:val="22"/>
          <w:szCs w:val="22"/>
        </w:rPr>
        <w:t>This document is the single entry point to the MediCore submission. It states the problem, the requirements, the estimate that shaped scope, the design, what was built, how it was tested, the technical debt accepted along the way, and how the system is to be maintained and evolved. Where a companion document holds the full treatment, this document summarises the substance and names the section to read; nothing essential is left only in a companion.</w:t>
      </w:r>
    </w:p>
    <w:p>
      <w:pPr>
        <w:pStyle w:val="Heading1"/>
        <w:spacing w:after="200" w:before="320"/>
      </w:pPr>
      <w:r>
        <w:rPr>
          <w:rFonts w:ascii="Calibri" w:cs="Calibri" w:eastAsia="Calibri" w:hAnsi="Calibri"/>
        </w:rPr>
        <w:t>1. Project Title</w:t>
      </w:r>
    </w:p>
    <w:p>
      <w:pPr>
        <w:spacing w:after="160" w:line="276"/>
      </w:pPr>
      <w:r>
        <w:rPr>
          <w:rFonts w:ascii="Calibri" w:cs="Calibri" w:eastAsia="Calibri" w:hAnsi="Calibri"/>
          <w:b w:val="false"/>
          <w:bCs w:val="false"/>
          <w:i w:val="false"/>
          <w:iCs w:val="false"/>
          <w:sz w:val="22"/>
          <w:szCs w:val="22"/>
        </w:rPr>
        <w:t>MediCore — a role-based Hospital Management System for small and mid-sized hospitals and polyclinics, covering outpatient scheduling, the clinical record, pharmacy, laboratory, billing with online payment, and ward administration in one integrated web application.</w:t>
      </w:r>
    </w:p>
    <w:p>
      <w:pPr>
        <w:pStyle w:val="Heading1"/>
        <w:spacing w:after="200" w:before="320"/>
      </w:pPr>
      <w:r>
        <w:rPr>
          <w:rFonts w:ascii="Calibri" w:cs="Calibri" w:eastAsia="Calibri" w:hAnsi="Calibri"/>
        </w:rPr>
        <w:t>2. Problem Statement</w:t>
      </w:r>
    </w:p>
    <w:p>
      <w:pPr>
        <w:spacing w:after="160" w:line="276"/>
      </w:pPr>
      <w:r>
        <w:rPr>
          <w:rFonts w:ascii="Calibri" w:cs="Calibri" w:eastAsia="Calibri" w:hAnsi="Calibri"/>
          <w:b w:val="false"/>
          <w:bCs w:val="false"/>
          <w:i w:val="false"/>
          <w:iCs w:val="false"/>
          <w:sz w:val="22"/>
          <w:szCs w:val="22"/>
        </w:rPr>
        <w:t>Small and mid-sized hospitals commonly run on paper appointment registers, verbally called queues, handwritten prescriptions, ledger-based billing and physical patient folders. Four consequences follow, and each is a requirement in this project rather than a complaint:</w:t>
      </w:r>
    </w:p>
    <w:p>
      <w:pPr>
        <w:pStyle w:val="ListParagraph"/>
        <w:numPr>
          <w:ilvl w:val="0"/>
          <w:numId w:val="2"/>
        </w:numPr>
        <w:spacing w:after="100" w:line="276"/>
      </w:pPr>
      <w:r>
        <w:rPr>
          <w:rFonts w:ascii="Calibri" w:cs="Calibri" w:eastAsia="Calibri" w:hAnsi="Calibri"/>
          <w:sz w:val="22"/>
          <w:szCs w:val="22"/>
        </w:rPr>
        <w:t>Patients wait unpredictably because the queue exists only in a receptionist's memory and a paper list, and double-booking is discovered at the desk rather than prevented at booking.</w:t>
      </w:r>
    </w:p>
    <w:p>
      <w:pPr>
        <w:pStyle w:val="ListParagraph"/>
        <w:numPr>
          <w:ilvl w:val="0"/>
          <w:numId w:val="2"/>
        </w:numPr>
        <w:spacing w:after="100" w:line="276"/>
      </w:pPr>
      <w:r>
        <w:rPr>
          <w:rFonts w:ascii="Calibri" w:cs="Calibri" w:eastAsia="Calibri" w:hAnsi="Calibri"/>
          <w:sz w:val="22"/>
          <w:szCs w:val="22"/>
        </w:rPr>
        <w:t>Clinical history is unavailable at the point of care when a folder is mislaid, so decisions are made without the last consultation, the recorded allergies or the current medication.</w:t>
      </w:r>
    </w:p>
    <w:p>
      <w:pPr>
        <w:pStyle w:val="ListParagraph"/>
        <w:numPr>
          <w:ilvl w:val="0"/>
          <w:numId w:val="2"/>
        </w:numPr>
        <w:spacing w:after="100" w:line="276"/>
      </w:pPr>
      <w:r>
        <w:rPr>
          <w:rFonts w:ascii="Calibri" w:cs="Calibri" w:eastAsia="Calibri" w:hAnsi="Calibri"/>
          <w:sz w:val="22"/>
          <w:szCs w:val="22"/>
        </w:rPr>
        <w:t>Medication runs out unnoticed and expired stock is dispensed, because stock levels and expiry dates live in a book that nobody reconciles daily.</w:t>
      </w:r>
    </w:p>
    <w:p>
      <w:pPr>
        <w:pStyle w:val="ListParagraph"/>
        <w:numPr>
          <w:ilvl w:val="0"/>
          <w:numId w:val="2"/>
        </w:numPr>
        <w:spacing w:after="100" w:line="276"/>
      </w:pPr>
      <w:r>
        <w:rPr>
          <w:rFonts w:ascii="Calibri" w:cs="Calibri" w:eastAsia="Calibri" w:hAnsi="Calibri"/>
          <w:sz w:val="22"/>
          <w:szCs w:val="22"/>
        </w:rPr>
        <w:t>Revenue leaks: charges raised in the consulting room, the pharmacy and the laboratory are reconciled by hand into a cash book, and an unbilled or unpaid item is only found by accident.</w:t>
      </w:r>
    </w:p>
    <w:p>
      <w:pPr>
        <w:spacing w:after="160" w:line="276"/>
      </w:pPr>
      <w:r>
        <w:rPr>
          <w:rFonts w:ascii="Calibri" w:cs="Calibri" w:eastAsia="Calibri" w:hAnsi="Calibri"/>
          <w:b w:val="false"/>
          <w:bCs w:val="false"/>
          <w:i w:val="false"/>
          <w:iCs w:val="false"/>
          <w:sz w:val="22"/>
          <w:szCs w:val="22"/>
        </w:rPr>
        <w:t>Underlying all four is an access problem. A paper folder is either locked away or wide open; there is no practical way to let a pharmacist see a prescription while keeping a consultation note confidential, and no record of who read what. A digital system can enforce that distinction, and must, because concentrating clinical data without access control replaces a filing problem with a privacy breach. Full treatment: SRS §2.2.</w:t>
      </w:r>
    </w:p>
    <w:p>
      <w:pPr>
        <w:pStyle w:val="Heading1"/>
        <w:spacing w:after="200" w:before="320"/>
      </w:pPr>
      <w:r>
        <w:rPr>
          <w:rFonts w:ascii="Calibri" w:cs="Calibri" w:eastAsia="Calibri" w:hAnsi="Calibri"/>
        </w:rPr>
        <w:t>3. Aim and Objectives</w:t>
      </w:r>
    </w:p>
    <w:p>
      <w:pPr>
        <w:spacing w:after="160" w:line="276"/>
      </w:pPr>
      <w:r>
        <w:rPr>
          <w:rFonts w:ascii="Calibri" w:cs="Calibri" w:eastAsia="Calibri" w:hAnsi="Calibri"/>
          <w:b w:val="false"/>
          <w:bCs w:val="false"/>
          <w:i w:val="false"/>
          <w:iCs w:val="false"/>
          <w:sz w:val="22"/>
          <w:szCs w:val="22"/>
        </w:rPr>
        <w:t>Aim: to deliver a working, deployed hospital management system in which every clinical and financial action is performed by an authenticated user, authorised against an explicit permission model, and recorded — demonstrating disciplined software engineering practice end to end rather than a feature demo.</w:t>
      </w:r>
    </w:p>
    <w:p>
      <w:pPr>
        <w:pStyle w:val="ListParagraph"/>
        <w:numPr>
          <w:ilvl w:val="0"/>
          <w:numId w:val="2"/>
        </w:numPr>
        <w:spacing w:after="100" w:line="276"/>
      </w:pPr>
      <w:r>
        <w:rPr>
          <w:rFonts w:ascii="Calibri" w:cs="Calibri" w:eastAsia="Calibri" w:hAnsi="Calibri"/>
          <w:sz w:val="22"/>
          <w:szCs w:val="22"/>
        </w:rPr>
        <w:t>O1 — Replace the paper appointment register with slot-based booking in which double-booking is impossible by construction, not by convention (FR-APT-01..08).</w:t>
      </w:r>
    </w:p>
    <w:p>
      <w:pPr>
        <w:pStyle w:val="ListParagraph"/>
        <w:numPr>
          <w:ilvl w:val="0"/>
          <w:numId w:val="2"/>
        </w:numPr>
        <w:spacing w:after="100" w:line="276"/>
      </w:pPr>
      <w:r>
        <w:rPr>
          <w:rFonts w:ascii="Calibri" w:cs="Calibri" w:eastAsia="Calibri" w:hAnsi="Calibri"/>
          <w:sz w:val="22"/>
          <w:szCs w:val="22"/>
        </w:rPr>
        <w:t>O2 — Provide a confidential electronic medical record whose access is decided by role and by care relationship, with sign-and-lock on completed notes and an append-only audit trail (FR-EMR-01..06).</w:t>
      </w:r>
    </w:p>
    <w:p>
      <w:pPr>
        <w:pStyle w:val="ListParagraph"/>
        <w:numPr>
          <w:ilvl w:val="0"/>
          <w:numId w:val="2"/>
        </w:numPr>
        <w:spacing w:after="100" w:line="276"/>
      </w:pPr>
      <w:r>
        <w:rPr>
          <w:rFonts w:ascii="Calibri" w:cs="Calibri" w:eastAsia="Calibri" w:hAnsi="Calibri"/>
          <w:sz w:val="22"/>
          <w:szCs w:val="22"/>
        </w:rPr>
        <w:t>O3 — Manage pharmacy stock so that dispensing draws the earliest-expiring batch first and stock can never go negative (FR-PHM-01..06).</w:t>
      </w:r>
    </w:p>
    <w:p>
      <w:pPr>
        <w:pStyle w:val="ListParagraph"/>
        <w:numPr>
          <w:ilvl w:val="0"/>
          <w:numId w:val="2"/>
        </w:numPr>
        <w:spacing w:after="100" w:line="276"/>
      </w:pPr>
      <w:r>
        <w:rPr>
          <w:rFonts w:ascii="Calibri" w:cs="Calibri" w:eastAsia="Calibri" w:hAnsi="Calibri"/>
          <w:sz w:val="22"/>
          <w:szCs w:val="22"/>
        </w:rPr>
        <w:t>O4 — Consolidate charges from consultation, pharmacy, laboratory and bed-days into one invoice, payable online, where money is only ever credited after independent verification with the gateway (FR-BIL-01..07, NFR-SEC-06).</w:t>
      </w:r>
    </w:p>
    <w:p>
      <w:pPr>
        <w:pStyle w:val="ListParagraph"/>
        <w:numPr>
          <w:ilvl w:val="0"/>
          <w:numId w:val="2"/>
        </w:numPr>
        <w:spacing w:after="100" w:line="276"/>
      </w:pPr>
      <w:r>
        <w:rPr>
          <w:rFonts w:ascii="Calibri" w:cs="Calibri" w:eastAsia="Calibri" w:hAnsi="Calibri"/>
          <w:sz w:val="22"/>
          <w:szCs w:val="22"/>
        </w:rPr>
        <w:t>O5 — Estimate the effort honestly before building, and let the estimate cut scope rather than let optimism set it.</w:t>
      </w:r>
    </w:p>
    <w:p>
      <w:pPr>
        <w:pStyle w:val="ListParagraph"/>
        <w:numPr>
          <w:ilvl w:val="0"/>
          <w:numId w:val="2"/>
        </w:numPr>
        <w:spacing w:after="100" w:line="276"/>
      </w:pPr>
      <w:r>
        <w:rPr>
          <w:rFonts w:ascii="Calibri" w:cs="Calibri" w:eastAsia="Calibri" w:hAnsi="Calibri"/>
          <w:sz w:val="22"/>
          <w:szCs w:val="22"/>
        </w:rPr>
        <w:t>O6 — Record technical debt as it is incurred, with cause, impact, priority and a repayment plan, so that what was traded away is visible rather than forgotten.</w:t>
      </w:r>
    </w:p>
    <w:p>
      <w:pPr>
        <w:pStyle w:val="ListParagraph"/>
        <w:numPr>
          <w:ilvl w:val="0"/>
          <w:numId w:val="2"/>
        </w:numPr>
        <w:spacing w:after="100" w:line="276"/>
      </w:pPr>
      <w:r>
        <w:rPr>
          <w:rFonts w:ascii="Calibri" w:cs="Calibri" w:eastAsia="Calibri" w:hAnsi="Calibri"/>
          <w:sz w:val="22"/>
          <w:szCs w:val="22"/>
        </w:rPr>
        <w:t>O7 — Deploy the system publicly, with verified credentials and a reproducible build, so that the claims in this documentation can be checked by a third party.</w:t>
      </w:r>
    </w:p>
    <w:p>
      <w:pPr>
        <w:pStyle w:val="Heading1"/>
        <w:spacing w:after="200" w:before="320"/>
      </w:pPr>
      <w:r>
        <w:rPr>
          <w:rFonts w:ascii="Calibri" w:cs="Calibri" w:eastAsia="Calibri" w:hAnsi="Calibri"/>
        </w:rPr>
        <w:t>4. Stakeholders</w:t>
      </w:r>
    </w:p>
    <w:p>
      <w:pPr>
        <w:spacing w:after="160" w:line="276"/>
      </w:pPr>
      <w:r>
        <w:rPr>
          <w:rFonts w:ascii="Calibri" w:cs="Calibri" w:eastAsia="Calibri" w:hAnsi="Calibri"/>
          <w:b w:val="false"/>
          <w:bCs w:val="false"/>
          <w:i w:val="false"/>
          <w:iCs w:val="false"/>
          <w:sz w:val="22"/>
          <w:szCs w:val="22"/>
        </w:rPr>
        <w:t>Twelve stakeholders are identified in the SRS. The nine below hold system accounts or interact with the application directly; three more — the hospital owner as business sponsor, the regulator under the Ghana Data Protection Act, and the patient's designated family member — shape requirements without being day-to-day users. Their competing needs are what make the permission model the centre of the design: the same patient record must be partly visible to a pharmacist, fully visible to the treating doctor, and invisible to management. Full treatment: SRS §2.3.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780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Stakeholder</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Interest in the system</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Patient</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Books and cancels appointments, sees their own record, bills and released results — and nothing belonging to anyone else.</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Doctor</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Consults, records findings, prescribes and orders tests; needs the full record of patients in their care and no access to those who are not.</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Nurse</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Delivers ward care; needs observations and allergies for patients admitted to their own ward (ward-scoped, AC-03).</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Pharmacist</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Dispenses against prescriptions and manages stock; needs the drug and allergy context, not the consultation note.</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Laboratory technician</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Processes ordered tests and enters results; cannot release them to the patient — that is the ordering doctor's decision.</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Receptionist</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Registers patients, books and checks in appointments, manages the queue.</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Billing clerk</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Raises invoices from posted charges and records cash and card payments.</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Management</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Reviews invoices and voids with a recorded reason; sees aggregates, never the clinical record (AC-02).</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System administrator</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Creates and deactivates staff accounts and publishes clinic schedules.</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Family member (grantee)</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Sees only what a patient has explicitly granted — admission status, appointments or bills — revocable and time-limited (FR-FAM-01).</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Hospital owner (sponsor)</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Funds the system; interest is in throughput, revenue capture and the cost of running it, not in daily use.</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Regulator / data protection authority</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Not a user, but sets the constraints the audit trail and access control exist to satisfy (Ghana Data Protection Act, 2012).</w:t>
            </w:r>
          </w:p>
        </w:tc>
      </w:tr>
    </w:tbl>
    <w:p>
      <w:pPr>
        <w:pStyle w:val="Heading1"/>
        <w:spacing w:after="200" w:before="320"/>
      </w:pPr>
      <w:r>
        <w:rPr>
          <w:rFonts w:ascii="Calibri" w:cs="Calibri" w:eastAsia="Calibri" w:hAnsi="Calibri"/>
        </w:rPr>
        <w:t>5. Requirements Analysis</w:t>
      </w:r>
    </w:p>
    <w:p>
      <w:pPr>
        <w:spacing w:after="160" w:line="276"/>
      </w:pPr>
      <w:r>
        <w:rPr>
          <w:rFonts w:ascii="Calibri" w:cs="Calibri" w:eastAsia="Calibri" w:hAnsi="Calibri"/>
          <w:b w:val="false"/>
          <w:bCs w:val="false"/>
          <w:i w:val="false"/>
          <w:iCs w:val="false"/>
          <w:sz w:val="22"/>
          <w:szCs w:val="22"/>
        </w:rPr>
        <w:t>Requirements were gathered by walking the patient journey — arrival, booking, consultation, pharmacy, laboratory, payment, admission — and asking at each step who acts, what they must see, and what must be impossible. That produced functional requirements per module and, more importantly, the access-control matrix in SRS §4, which states for every action which roles may perform it and under what scope.</w:t>
      </w:r>
    </w:p>
    <w:p>
      <w:pPr>
        <w:spacing w:after="160" w:line="276"/>
      </w:pPr>
      <w:r>
        <w:rPr>
          <w:rFonts w:ascii="Calibri" w:cs="Calibri" w:eastAsia="Calibri" w:hAnsi="Calibri"/>
          <w:b w:val="false"/>
          <w:bCs w:val="false"/>
          <w:i w:val="false"/>
          <w:iCs w:val="false"/>
          <w:sz w:val="22"/>
          <w:szCs w:val="22"/>
        </w:rPr>
        <w:t>Requirements were prioritised with MoSCoW and phased so that a coherent system could be delivered within the available effort (SRS §7). The prioritisation is not decorative: the deferrals in Section 7 of this document are the direct output of the estimate meeting the calendar.</w:t>
      </w:r>
    </w:p>
    <w:p>
      <w:pPr>
        <w:spacing w:after="160" w:line="276"/>
      </w:pPr>
      <w:r>
        <w:rPr>
          <w:rFonts w:ascii="Calibri" w:cs="Calibri" w:eastAsia="Calibri" w:hAnsi="Calibri"/>
          <w:b w:val="false"/>
          <w:bCs w:val="false"/>
          <w:i w:val="false"/>
          <w:iCs w:val="false"/>
          <w:sz w:val="22"/>
          <w:szCs w:val="22"/>
        </w:rPr>
        <w:t>Non-functional requirements were specified alongside, and several of them drive the architecture rather than decorate it: deny-by-default authorisation (NFR-SEC-03), append-only audit (NFR-SEC-04), verify-before-credit for payments (NFR-SEC-06), and session confidentiality (NFR-SEC-01). Full treatment: SRS §3, §4, §5.</w:t>
      </w:r>
    </w:p>
    <w:p>
      <w:pPr>
        <w:pStyle w:val="Heading1"/>
        <w:spacing w:after="200" w:before="320"/>
      </w:pPr>
      <w:r>
        <w:rPr>
          <w:rFonts w:ascii="Calibri" w:cs="Calibri" w:eastAsia="Calibri" w:hAnsi="Calibri"/>
        </w:rPr>
        <w:t>6. Software Requirements Specification</w:t>
      </w:r>
    </w:p>
    <w:p>
      <w:pPr>
        <w:spacing w:after="160" w:line="276"/>
      </w:pPr>
      <w:r>
        <w:rPr>
          <w:rFonts w:ascii="Calibri" w:cs="Calibri" w:eastAsia="Calibri" w:hAnsi="Calibri"/>
          <w:b w:val="false"/>
          <w:bCs w:val="false"/>
          <w:i w:val="false"/>
          <w:iCs w:val="false"/>
          <w:sz w:val="22"/>
          <w:szCs w:val="22"/>
        </w:rPr>
        <w:t>The SRS (v1.3, IEEE 830-1998 adapted) is the authoritative statement of scope and behaviour. It specifies the functional requirements by module, the permission matrix as data, the non-functional requirements, external interfaces including the ITC Transflow payment gateway, the prioritisation and phasing, and the acceptance criteria (AC-01..AC-06) used later as the testing targets. Requirement identifiers from the SRS appear in the source code and in the test names, which is what makes the traceability in Section 11 verifiable rather than asserted: 48 distinct FR/NFR identifiers are cited in the backend source.</w:t>
      </w:r>
    </w:p>
    <w:p>
      <w:pPr>
        <w:pStyle w:val="Heading1"/>
        <w:spacing w:after="200" w:before="320"/>
      </w:pPr>
      <w:r>
        <w:rPr>
          <w:rFonts w:ascii="Calibri" w:cs="Calibri" w:eastAsia="Calibri" w:hAnsi="Calibri"/>
        </w:rPr>
        <w:t>7. Software Effort Estimation</w:t>
      </w:r>
    </w:p>
    <w:p>
      <w:pPr>
        <w:spacing w:after="160" w:line="276"/>
      </w:pPr>
      <w:r>
        <w:rPr>
          <w:rFonts w:ascii="Calibri" w:cs="Calibri" w:eastAsia="Calibri" w:hAnsi="Calibri"/>
          <w:b w:val="false"/>
          <w:bCs w:val="false"/>
          <w:i w:val="false"/>
          <w:iCs w:val="false"/>
          <w:sz w:val="22"/>
          <w:szCs w:val="22"/>
        </w:rPr>
        <w:t>Technique: Use Case Points, selected because the requirements were already expressed as use cases with identified actors, because UCP measures externally observable behaviour rather than speculative lines of code, and because its technical and environmental factors let the permission model's cross-cutting cost be reflected. Full treatment: Effort Estimation (UCP) v1.0.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2600"/>
        <w:gridCol w:w="1700"/>
      </w:tblGrid>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Scope</w:t>
            </w:r>
          </w:p>
        </w:tc>
        <w:tc>
          <w:tcPr>
            <w:tcW w:type="dxa" w:w="3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UUCP</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UCP</w:t>
            </w:r>
          </w:p>
        </w:tc>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Effort at 20 PH/UCP</w:t>
            </w:r>
          </w:p>
        </w:tc>
      </w:tr>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Full system (Phases 1–2)</w:t>
            </w:r>
          </w:p>
        </w:tc>
        <w:tc>
          <w:tcPr>
            <w:tcW w:type="dxa" w:w="3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327</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292</w:t>
            </w:r>
          </w:p>
        </w:tc>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5,850 person-hours (≈ 36.6 person-months)</w:t>
            </w:r>
          </w:p>
        </w:tc>
      </w:tr>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Phase 1 (v1.0 per SRS §7)</w:t>
            </w:r>
          </w:p>
        </w:tc>
        <w:tc>
          <w:tcPr>
            <w:tcW w:type="dxa" w:w="3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309</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276</w:t>
            </w:r>
          </w:p>
        </w:tc>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5,520 person-hours (≈ 34.5 person-months)</w:t>
            </w:r>
          </w:p>
        </w:tc>
      </w:tr>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Core increment (delivered scope)</w:t>
            </w:r>
          </w:p>
        </w:tc>
        <w:tc>
          <w:tcPr>
            <w:tcW w:type="dxa" w:w="3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190</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170</w:t>
            </w:r>
          </w:p>
        </w:tc>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3,400 person-hours (≈ 21.3 person-months)</w:t>
            </w:r>
          </w:p>
        </w:tc>
      </w:tr>
    </w:tbl>
    <w:p>
      <w:pPr>
        <w:spacing w:after="160" w:line="276"/>
      </w:pPr>
      <w:r>
        <w:rPr>
          <w:rFonts w:ascii="Calibri" w:cs="Calibri" w:eastAsia="Calibri" w:hAnsi="Calibri"/>
          <w:b w:val="false"/>
          <w:bCs w:val="false"/>
          <w:i w:val="false"/>
          <w:iCs w:val="false"/>
          <w:sz w:val="22"/>
          <w:szCs w:val="22"/>
        </w:rPr>
        <w:t>UCP = UUCP × TCF × EF, with TCF = 1.04 and EF = 0.86. A sensitivity analysis across 15–28 PH/UCP is given rather than a single figure, because a point estimate would imply a precision the method does not have. A context-adjusted rate of 4–6 PH/UCP is used for planning — justified by modern framework scaffolding, managed hosting and academic-grade hardening — and is explicitly labelled an assumption to be calibrated against actuals, not a measured fact.</w:t>
      </w:r>
    </w:p>
    <w:p>
      <w:pPr>
        <w:spacing w:after="160" w:line="276"/>
      </w:pPr>
      <w:r>
        <w:rPr>
          <w:rFonts w:ascii="Calibri" w:cs="Calibri" w:eastAsia="Calibri" w:hAnsi="Calibri"/>
          <w:b w:val="false"/>
          <w:bCs w:val="false"/>
          <w:i w:val="false"/>
          <w:iCs w:val="false"/>
          <w:sz w:val="22"/>
          <w:szCs w:val="22"/>
        </w:rPr>
        <w:t>How the estimate influenced scope — the point of estimating at all. Phase 1 at the most optimistic adjusted rate still exceeds the available capacity by roughly 2.5×, so scope was cut before implementation began: family access deferred (−16 UCP), SMS notifications dropped in favour of email only, NHIS claims processing removed, and delivery split into a Core increment. Each decision is recorded against its estimation driver in Effort Estimation §9. Assumptions, constraints and the known limitations of UCP are stated in §10 of that document, including the residual risk that UCP under-weights a permeating permission model.</w:t>
      </w:r>
    </w:p>
    <w:p>
      <w:pPr>
        <w:pStyle w:val="Heading1"/>
        <w:spacing w:after="200" w:before="320"/>
      </w:pPr>
      <w:r>
        <w:rPr>
          <w:rFonts w:ascii="Calibri" w:cs="Calibri" w:eastAsia="Calibri" w:hAnsi="Calibri"/>
        </w:rPr>
        <w:t>8. System Analysis</w:t>
      </w:r>
    </w:p>
    <w:p>
      <w:pPr>
        <w:spacing w:after="160" w:line="276"/>
      </w:pPr>
      <w:r>
        <w:rPr>
          <w:rFonts w:ascii="Calibri" w:cs="Calibri" w:eastAsia="Calibri" w:hAnsi="Calibri"/>
          <w:b w:val="false"/>
          <w:bCs w:val="false"/>
          <w:i w:val="false"/>
          <w:iCs w:val="false"/>
          <w:sz w:val="22"/>
          <w:szCs w:val="22"/>
        </w:rPr>
        <w:t>Analysis turned the requirements into three models that the design then realises.</w:t>
      </w:r>
    </w:p>
    <w:p>
      <w:pPr>
        <w:pStyle w:val="Heading2"/>
        <w:spacing w:after="160" w:before="260"/>
      </w:pPr>
      <w:r>
        <w:rPr>
          <w:rFonts w:ascii="Calibri" w:cs="Calibri" w:eastAsia="Calibri" w:hAnsi="Calibri"/>
        </w:rPr>
        <w:t>8.1 Actors and use cases</w:t>
      </w:r>
    </w:p>
    <w:p>
      <w:pPr>
        <w:spacing w:after="160" w:line="276"/>
      </w:pPr>
      <w:r>
        <w:rPr>
          <w:rFonts w:ascii="Calibri" w:cs="Calibri" w:eastAsia="Calibri" w:hAnsi="Calibri"/>
          <w:b w:val="false"/>
          <w:bCs w:val="false"/>
          <w:i w:val="false"/>
          <w:iCs w:val="false"/>
          <w:sz w:val="22"/>
          <w:szCs w:val="22"/>
        </w:rPr>
        <w:t>Nine actors and the use-case inventory drive both the permission matrix and the UCP count, so the same analysis artefact is used for authorisation design and for estimation — they cannot drift apart. See the use-case diagram (docs/MediCore_Diagrams_v1.4/usecase.puml) and Design §4.</w:t>
      </w:r>
    </w:p>
    <w:p>
      <w:pPr>
        <w:pStyle w:val="Heading2"/>
        <w:spacing w:after="160" w:before="260"/>
      </w:pPr>
      <w:r>
        <w:rPr>
          <w:rFonts w:ascii="Calibri" w:cs="Calibri" w:eastAsia="Calibri" w:hAnsi="Calibri"/>
        </w:rPr>
        <w:t>8.2 Domain model</w:t>
      </w:r>
    </w:p>
    <w:p>
      <w:pPr>
        <w:spacing w:after="160" w:line="276"/>
      </w:pPr>
      <w:r>
        <w:rPr>
          <w:rFonts w:ascii="Calibri" w:cs="Calibri" w:eastAsia="Calibri" w:hAnsi="Calibri"/>
          <w:b w:val="false"/>
          <w:bCs w:val="false"/>
          <w:i w:val="false"/>
          <w:iCs w:val="false"/>
          <w:sz w:val="22"/>
          <w:szCs w:val="22"/>
        </w:rPr>
        <w:t>The domain decomposes into three areas that became the three ER views and the three schema migrations: identity and scheduling; the clinical record with pharmacy and laboratory; and billing with facility management. Thirty-one relations in total. The decomposition is deliberate — it keeps the audit and identity core independent of the clinical and financial modules that reference it.</w:t>
      </w:r>
    </w:p>
    <w:p>
      <w:pPr>
        <w:pStyle w:val="Heading2"/>
        <w:spacing w:after="160" w:before="260"/>
      </w:pPr>
      <w:r>
        <w:rPr>
          <w:rFonts w:ascii="Calibri" w:cs="Calibri" w:eastAsia="Calibri" w:hAnsi="Calibri"/>
        </w:rPr>
        <w:t>8.3 Access-control analysis</w:t>
      </w:r>
    </w:p>
    <w:p>
      <w:pPr>
        <w:spacing w:after="160" w:line="276"/>
      </w:pPr>
      <w:r>
        <w:rPr>
          <w:rFonts w:ascii="Calibri" w:cs="Calibri" w:eastAsia="Calibri" w:hAnsi="Calibri"/>
          <w:b w:val="false"/>
          <w:bCs w:val="false"/>
          <w:i w:val="false"/>
          <w:iCs w:val="false"/>
          <w:sz w:val="22"/>
          <w:szCs w:val="22"/>
        </w:rPr>
        <w:t>The distinguishing analysis result is that role alone is insufficient. A doctor may read a record only while a care relationship exists; a nurse only for patients on their assigned ward; a family member only within a scope the patient granted. Access is therefore modelled as (action, role, scope) with scopes ANY, OWN, RELATIONSHIP, WARD and GRANT — the matrix in SRS §4, implemented as data in PolicyMatrix and evaluated by a single pure function. Forty-five actions are currently defined.</w:t>
      </w:r>
    </w:p>
    <w:p>
      <w:pPr>
        <w:pStyle w:val="Heading1"/>
        <w:spacing w:after="200" w:before="320"/>
      </w:pPr>
      <w:r>
        <w:rPr>
          <w:rFonts w:ascii="Calibri" w:cs="Calibri" w:eastAsia="Calibri" w:hAnsi="Calibri"/>
        </w:rPr>
        <w:t>9. System Design</w:t>
      </w:r>
    </w:p>
    <w:p>
      <w:pPr>
        <w:spacing w:after="160" w:line="276"/>
      </w:pPr>
      <w:r>
        <w:rPr>
          <w:rFonts w:ascii="Calibri" w:cs="Calibri" w:eastAsia="Calibri" w:hAnsi="Calibri"/>
          <w:b w:val="false"/>
          <w:bCs w:val="false"/>
          <w:i w:val="false"/>
          <w:iCs w:val="false"/>
          <w:sz w:val="22"/>
          <w:szCs w:val="22"/>
        </w:rPr>
        <w:t xml:space="preserve">Three-tier architecture: a Next.js App Router front end, a Java 21 / Spring Boot 3 REST API, and PostgreSQL. Ten UML/PlantUML artefacts accompany the design — architecture, three ER views, three sequence diagrams (booking, dispensing, online payment) and two wireframes. Full treatment: Design v1.9.</w:t>
      </w:r>
    </w:p>
    <w:p>
      <w:pPr>
        <w:spacing w:after="160" w:line="276"/>
      </w:pPr>
      <w:r>
        <w:rPr>
          <w:rFonts w:ascii="Calibri" w:cs="Calibri" w:eastAsia="Calibri" w:hAnsi="Calibri"/>
          <w:b w:val="false"/>
          <w:bCs w:val="false"/>
          <w:i w:val="false"/>
          <w:iCs w:val="false"/>
          <w:sz w:val="22"/>
          <w:szCs w:val="22"/>
        </w:rPr>
        <w:t>Four design decisions carry most of the system's integrity, and each is recorded as an ADR:</w:t>
      </w:r>
    </w:p>
    <w:p>
      <w:pPr>
        <w:pStyle w:val="ListParagraph"/>
        <w:numPr>
          <w:ilvl w:val="0"/>
          <w:numId w:val="2"/>
        </w:numPr>
        <w:spacing w:after="100" w:line="276"/>
      </w:pPr>
      <w:r>
        <w:rPr>
          <w:rFonts w:ascii="Calibri" w:cs="Calibri" w:eastAsia="Calibri" w:hAnsi="Calibri"/>
          <w:sz w:val="22"/>
          <w:szCs w:val="22"/>
        </w:rPr>
        <w:t>DD-03 — Authorisation is one pure decision function over a matrix held as data, called as the first statement of every controller. Spring Security deliberately performs no authorisation. An action absent from the matrix is denied to everyone, so adding an endpoint without a rule fails closed.</w:t>
      </w:r>
    </w:p>
    <w:p>
      <w:pPr>
        <w:pStyle w:val="ListParagraph"/>
        <w:numPr>
          <w:ilvl w:val="0"/>
          <w:numId w:val="2"/>
        </w:numPr>
        <w:spacing w:after="100" w:line="276"/>
      </w:pPr>
      <w:r>
        <w:rPr>
          <w:rFonts w:ascii="Calibri" w:cs="Calibri" w:eastAsia="Calibri" w:hAnsi="Calibri"/>
          <w:sz w:val="22"/>
          <w:szCs w:val="22"/>
        </w:rPr>
        <w:t>DD-04 — Double-booking is prevented by a UNIQUE constraint on appointments.slot_id, not by a check-then-insert in application code. Under concurrency the database arbitrates and the loser receives 409.</w:t>
      </w:r>
    </w:p>
    <w:p>
      <w:pPr>
        <w:pStyle w:val="ListParagraph"/>
        <w:numPr>
          <w:ilvl w:val="0"/>
          <w:numId w:val="2"/>
        </w:numPr>
        <w:spacing w:after="100" w:line="276"/>
      </w:pPr>
      <w:r>
        <w:rPr>
          <w:rFonts w:ascii="Calibri" w:cs="Calibri" w:eastAsia="Calibri" w:hAnsi="Calibri"/>
          <w:sz w:val="22"/>
          <w:szCs w:val="22"/>
        </w:rPr>
        <w:t>DD-05 — Invoice items are append-only; totals are always computed from them and never stored, so a total cannot silently disagree with its lines.</w:t>
      </w:r>
    </w:p>
    <w:p>
      <w:pPr>
        <w:pStyle w:val="ListParagraph"/>
        <w:numPr>
          <w:ilvl w:val="0"/>
          <w:numId w:val="2"/>
        </w:numPr>
        <w:spacing w:after="100" w:line="276"/>
      </w:pPr>
      <w:r>
        <w:rPr>
          <w:rFonts w:ascii="Calibri" w:cs="Calibri" w:eastAsia="Calibri" w:hAnsi="Calibri"/>
          <w:sz w:val="22"/>
          <w:szCs w:val="22"/>
        </w:rPr>
        <w:t>DD-07 — Payment is a port with an ITC Transflow adapter; a gateway callback never credits an invoice. Only an independent check-transaction-status round-trip with an exact amount match settles money.</w:t>
      </w:r>
    </w:p>
    <w:p>
      <w:pPr>
        <w:spacing w:after="160" w:line="276"/>
      </w:pPr>
      <w:r>
        <w:rPr>
          <w:rFonts w:ascii="Calibri" w:cs="Calibri" w:eastAsia="Calibri" w:hAnsi="Calibri"/>
          <w:b w:val="false"/>
          <w:bCs w:val="false"/>
          <w:i w:val="false"/>
          <w:iCs w:val="false"/>
          <w:sz w:val="22"/>
          <w:szCs w:val="22"/>
        </w:rPr>
        <w:t>The database enforces what must never be violated rather than trusting the service layer: two triggers reject any update or delete of a signed consultation and any mutation of the audit log; a CHECK constraint prevents negative stock; a partial unique index permits one active admission per bed. Business rules that can be expressed purely — the policy engine, slot generation, FEFO allocation, billing arithmetic, payment verification, the laboratory lifecycle, staff role rules — live in framework-free classes that are unit-tested without a database.</w:t>
      </w:r>
    </w:p>
    <w:p>
      <w:pPr>
        <w:pStyle w:val="Heading1"/>
        <w:spacing w:after="200" w:before="320"/>
      </w:pPr>
      <w:r>
        <w:rPr>
          <w:rFonts w:ascii="Calibri" w:cs="Calibri" w:eastAsia="Calibri" w:hAnsi="Calibri"/>
        </w:rPr>
        <w:t>10. Implementation</w:t>
      </w:r>
    </w:p>
    <w:p>
      <w:pPr>
        <w:spacing w:after="160" w:line="276"/>
      </w:pPr>
      <w:r>
        <w:rPr>
          <w:rFonts w:ascii="Calibri" w:cs="Calibri" w:eastAsia="Calibri" w:hAnsi="Calibri"/>
          <w:b w:val="false"/>
          <w:bCs w:val="false"/>
          <w:i w:val="false"/>
          <w:iCs w:val="false"/>
          <w:sz w:val="22"/>
          <w:szCs w:val="22"/>
        </w:rPr>
        <w:t>The delivered system is a working application, not a prototype: 71 Java source files behind 62 REST endpoints, 18 front-end routes, five Flyway migrations creating 31 tables, and a demo seed that populates a working hospital day.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780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Concern</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How it is implemented</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Front end</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Next.js App Router with role-aware navigation; each role sees only its own screens. Responsive layout.</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Back end</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Java 21 / Spring Boot 3, layered controllers → services → repositories, with pure cores for business rules.</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Database</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PostgreSQL 16; Flyway owns all DDL, Hibernate runs with ddl-auto: none so the schema is never inferred.</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Authentication</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Server-side sessions stored in PostgreSQL; httpOnly, Secure, SameSite=lax cookies; bcrypt (cost 12) passwords; five-failure lockout.</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Authorisation</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PolicyEngine.decide() over the permission matrix plus relationship resolvers; deny-by-default; audited allowed or denied.</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API integration</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ITC Transflow Checkout: request-payment, callback, and independent status verification before crediting.</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Input validation</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Jakarta Bean Validation on request records; violations answered 422 with field-level detail.</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Error handling</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One exception handler maps domain exceptions, validation failures and integrity violations without leaking internals.</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Security controls</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Same-origin API proxy keeps the session cookie first-party; rate limiting on authentication; append-only audit log.</w:t>
            </w:r>
          </w:p>
        </w:tc>
      </w:tr>
    </w:tbl>
    <w:p>
      <w:pPr>
        <w:spacing w:after="160" w:line="276"/>
      </w:pPr>
      <w:r>
        <w:rPr>
          <w:rFonts w:ascii="Calibri" w:cs="Calibri" w:eastAsia="Calibri" w:hAnsi="Calibri"/>
          <w:b w:val="false"/>
          <w:bCs w:val="false"/>
          <w:i w:val="false"/>
          <w:iCs w:val="false"/>
          <w:sz w:val="22"/>
          <w:szCs w:val="22"/>
        </w:rPr>
        <w:t>The front end never contacts the API's origin directly: /api/* is proxied through the web tier so the session cookie remains first-party and SameSite=lax continues to hold in production — the same property that makes the deployment in Section 13 straightforward.</w:t>
      </w:r>
    </w:p>
    <w:p>
      <w:pPr>
        <w:pStyle w:val="Heading1"/>
        <w:spacing w:after="200" w:before="320"/>
      </w:pPr>
      <w:r>
        <w:rPr>
          <w:rFonts w:ascii="Calibri" w:cs="Calibri" w:eastAsia="Calibri" w:hAnsi="Calibri"/>
        </w:rPr>
        <w:t>11. Testing</w:t>
      </w:r>
    </w:p>
    <w:p>
      <w:pPr>
        <w:spacing w:after="160" w:line="276"/>
      </w:pPr>
      <w:r>
        <w:rPr>
          <w:rFonts w:ascii="Calibri" w:cs="Calibri" w:eastAsia="Calibri" w:hAnsi="Calibri"/>
          <w:b w:val="false"/>
          <w:bCs w:val="false"/>
          <w:i w:val="false"/>
          <w:iCs w:val="false"/>
          <w:sz w:val="22"/>
          <w:szCs w:val="22"/>
        </w:rPr>
        <w:t xml:space="preserve">Testing is layered: pure-core harnesses for business rules, integration tests against a real PostgreSQL, database verification by direct SQL, and browser end-to-end runs against the live stack. The full Gradle suite executes 71 tests with 0 failures and 0 errors, of which 32 are integration tests against the real database. Full treatment: Testing Report v1.7.</w:t>
      </w:r>
    </w:p>
    <w:p>
      <w:pPr>
        <w:spacing w:after="160" w:line="276"/>
      </w:pPr>
      <w:r>
        <w:rPr>
          <w:rFonts w:ascii="Calibri" w:cs="Calibri" w:eastAsia="Calibri" w:hAnsi="Calibri"/>
          <w:b w:val="false"/>
          <w:bCs w:val="false"/>
          <w:i w:val="false"/>
          <w:iCs w:val="false"/>
          <w:sz w:val="22"/>
          <w:szCs w:val="22"/>
        </w:rPr>
        <w:t>Testing found real defects rather than confirming expectations, which is the stronger evidence: a check-then-act booking race, a payment mapper key mismatch, a permission gap for the billing clerk, an account lockout that never engaged because the failure counter was rolled back with the rejecting transaction, and an audit write that silently destroyed the business record it described. Each is recorded in Testing Report §6 with its root cause and fix, and each has a regression test.</w:t>
      </w:r>
    </w:p>
    <w:p>
      <w:pPr>
        <w:spacing w:after="160" w:line="276"/>
      </w:pPr>
      <w:r>
        <w:rPr>
          <w:rFonts w:ascii="Calibri" w:cs="Calibri" w:eastAsia="Calibri" w:hAnsi="Calibri"/>
          <w:b w:val="false"/>
          <w:bCs w:val="false"/>
          <w:i w:val="false"/>
          <w:iCs w:val="false"/>
          <w:sz w:val="22"/>
          <w:szCs w:val="22"/>
        </w:rPr>
        <w:t>User acceptance is covered by the first-deploy checklist in DEPLOYMENT.md, which doubles as the UAT script and was executed against the live deployment: every role signs in, the ward board refuses a patient on another ward, the laboratory refuses to release results, invoices reconcile, and a real UAT payment settles an invoice end to end.</w:t>
      </w:r>
    </w:p>
    <w:p>
      <w:pPr>
        <w:pStyle w:val="Heading1"/>
        <w:spacing w:after="200" w:before="320"/>
      </w:pPr>
      <w:r>
        <w:rPr>
          <w:rFonts w:ascii="Calibri" w:cs="Calibri" w:eastAsia="Calibri" w:hAnsi="Calibri"/>
        </w:rPr>
        <w:t>12. Technical Debt</w:t>
      </w:r>
    </w:p>
    <w:p>
      <w:pPr>
        <w:spacing w:after="160" w:line="276"/>
      </w:pPr>
      <w:r>
        <w:rPr>
          <w:rFonts w:ascii="Calibri" w:cs="Calibri" w:eastAsia="Calibri" w:hAnsi="Calibri"/>
          <w:b w:val="false"/>
          <w:bCs w:val="false"/>
          <w:i w:val="false"/>
          <w:iCs w:val="false"/>
          <w:sz w:val="22"/>
          <w:szCs w:val="22"/>
        </w:rPr>
        <w:t xml:space="preserve">Debt is recorded when it is incurred, in the schema this examination asks for — Debt → Cause → Impact → Priority → Proposed resolution. The register holds 17 active items and 12 retired ones, kept for the audit trail. Full treatment: Technical Debt Ledger v1.6.</w:t>
      </w:r>
    </w:p>
    <w:p>
      <w:pPr>
        <w:spacing w:after="160" w:line="276"/>
      </w:pPr>
      <w:r>
        <w:rPr>
          <w:rFonts w:ascii="Calibri" w:cs="Calibri" w:eastAsia="Calibri" w:hAnsi="Calibri"/>
          <w:b w:val="false"/>
          <w:bCs w:val="false"/>
          <w:i w:val="false"/>
          <w:iCs w:val="false"/>
          <w:sz w:val="22"/>
          <w:szCs w:val="22"/>
        </w:rPr>
        <w:t>Items are classified by how urgently they must be repaid: High — repay before or immediately after production use; Medium — schedule into the next milestone; Low — repay opportunistically; Accepted — a considered trade-off, revisited only if load or requirements change. Representative entries: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2600"/>
        <w:gridCol w:w="1700"/>
      </w:tblGrid>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ID</w:t>
            </w:r>
          </w:p>
        </w:tc>
        <w:tc>
          <w:tcPr>
            <w:tcW w:type="dxa" w:w="3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Debt</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Why it was accepted</w:t>
            </w:r>
          </w:p>
        </w:tc>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Classification</w:t>
            </w:r>
          </w:p>
        </w:tc>
      </w:tr>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TD-01</w:t>
            </w:r>
          </w:p>
        </w:tc>
        <w:tc>
          <w:tcPr>
            <w:tcW w:type="dxa" w:w="3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Slot materialisation runs synchronously inside the request</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A schedule spanning many weeks blocks the caller; acceptable at demo volumes</w:t>
            </w:r>
          </w:p>
        </w:tc>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Medium — scheduled</w:t>
            </w:r>
          </w:p>
        </w:tc>
      </w:tr>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TD-12</w:t>
            </w:r>
          </w:p>
        </w:tc>
        <w:tc>
          <w:tcPr>
            <w:tcW w:type="dxa" w:w="3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Family access: policy scope exists, endpoints and UI do not</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Deferred by the effort estimate to keep the delivered increment coherent</w:t>
            </w:r>
          </w:p>
        </w:tc>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Medium — deferred to M4</w:t>
            </w:r>
          </w:p>
        </w:tc>
      </w:tr>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TD-16</w:t>
            </w:r>
          </w:p>
        </w:tc>
        <w:tc>
          <w:tcPr>
            <w:tcW w:type="dxa" w:w="3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The web image binds its API target at build time</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Next resolves rewrites into the routes manifest during build; documented with its failure signature</w:t>
            </w:r>
          </w:p>
        </w:tc>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Low — accepted</w:t>
            </w:r>
          </w:p>
        </w:tc>
      </w:tr>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TD-18</w:t>
            </w:r>
          </w:p>
        </w:tc>
        <w:tc>
          <w:tcPr>
            <w:tcW w:type="dxa" w:w="3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The web tier is pinned to the Next.js 14.2 line</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A deployment scanner blocked two HIGH CVEs; patched. Residual advisories target features this app does not use</w:t>
            </w:r>
          </w:p>
        </w:tc>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Medium — upgrade scheduled</w:t>
            </w:r>
          </w:p>
        </w:tc>
      </w:tr>
    </w:tbl>
    <w:p>
      <w:pPr>
        <w:spacing w:after="160" w:line="276"/>
      </w:pPr>
      <w:r>
        <w:rPr>
          <w:rFonts w:ascii="Calibri" w:cs="Calibri" w:eastAsia="Calibri" w:hAnsi="Calibri"/>
          <w:b w:val="false"/>
          <w:bCs w:val="false"/>
          <w:i w:val="false"/>
          <w:iCs w:val="false"/>
          <w:sz w:val="22"/>
          <w:szCs w:val="22"/>
        </w:rPr>
        <w:t>No open item weakens the fail-closed payment path, the access-control matrix, sign-and-lock or stock integrity — the four properties the testing evidence is built around. The repayment plan is Section 16.</w:t>
      </w:r>
    </w:p>
    <w:p>
      <w:pPr>
        <w:pStyle w:val="Heading1"/>
        <w:spacing w:after="200" w:before="320"/>
      </w:pPr>
      <w:r>
        <w:rPr>
          <w:rFonts w:ascii="Calibri" w:cs="Calibri" w:eastAsia="Calibri" w:hAnsi="Calibri"/>
        </w:rPr>
        <w:t>13. Deployment</w:t>
      </w:r>
    </w:p>
    <w:p>
      <w:pPr>
        <w:spacing w:after="160" w:line="276"/>
      </w:pPr>
      <w:r>
        <w:rPr>
          <w:rFonts w:ascii="Calibri" w:cs="Calibri" w:eastAsia="Calibri" w:hAnsi="Calibri"/>
          <w:b w:val="false"/>
          <w:bCs w:val="false"/>
          <w:i w:val="false"/>
          <w:iCs w:val="false"/>
          <w:sz w:val="22"/>
          <w:szCs w:val="22"/>
        </w:rPr>
        <w:t>The system is deployed and publicly accessible. Both tiers are containerised and built from the repository by the platform; the database is a managed PostgreSQL instance in the same project. Flyway migrates the schema and seeds the demonstration data on first boot.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780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Item</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Value</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Live application</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https://medicore-web-production.up.railway.app</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API</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https://medicore-backend-production-7784.up.railway.app</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Administrator sign-in</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admin@medicore.test  ·  Password123!</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Test user (patient)</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patient@medicore.test  ·  Password123!</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Source repository</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https://github.com/addaeqq/medicore</w:t>
            </w:r>
          </w:p>
        </w:tc>
      </w:tr>
    </w:tbl>
    <w:p>
      <w:pPr>
        <w:spacing w:after="160" w:line="276"/>
      </w:pPr>
      <w:r>
        <w:rPr>
          <w:rFonts w:ascii="Calibri" w:cs="Calibri" w:eastAsia="Calibri" w:hAnsi="Calibri"/>
          <w:b w:val="false"/>
          <w:bCs w:val="false"/>
          <w:i w:val="false"/>
          <w:iCs w:val="false"/>
          <w:sz w:val="22"/>
          <w:szCs w:val="22"/>
        </w:rPr>
        <w:t>All demonstration accounts share the password Password123!; the full role list is in DEPLOYMENT.md §1. Verification of the live deployment covered both network hops, all ten role sign-ins, ward scoping refusals, laboratory lifecycle refusals, deny-by-default responses, invoice arithmetic, the account lockout, and a completed ITC UAT payment that settled an invoice to paid.</w:t>
      </w:r>
    </w:p>
    <w:p>
      <w:pPr>
        <w:pStyle w:val="Heading1"/>
        <w:spacing w:after="200" w:before="320"/>
      </w:pPr>
      <w:r>
        <w:rPr>
          <w:rFonts w:ascii="Calibri" w:cs="Calibri" w:eastAsia="Calibri" w:hAnsi="Calibri"/>
        </w:rPr>
        <w:t>14. User Manual</w:t>
      </w:r>
    </w:p>
    <w:p>
      <w:pPr>
        <w:spacing w:after="160" w:line="276"/>
      </w:pPr>
      <w:r>
        <w:rPr>
          <w:rFonts w:ascii="Calibri" w:cs="Calibri" w:eastAsia="Calibri" w:hAnsi="Calibri"/>
          <w:b w:val="false"/>
          <w:bCs w:val="false"/>
          <w:i w:val="false"/>
          <w:iCs w:val="false"/>
          <w:sz w:val="22"/>
          <w:szCs w:val="22"/>
        </w:rPr>
        <w:t>The User Manual (v1.1) is written role by role — patient, reception, doctor, pharmacy, billing, management, system administrator — because a user never needs the whole system, only their part of it. Each section follows the actual screen order and ends with what to do when something looks wrong. A troubleshooting section covers the situations a demonstrator is most likely to meet: a locked account, a payment that appears not to have registered, and an empty queue.</w:t>
      </w:r>
    </w:p>
    <w:p>
      <w:pPr>
        <w:pStyle w:val="Heading1"/>
        <w:spacing w:after="200" w:before="320"/>
      </w:pPr>
      <w:r>
        <w:rPr>
          <w:rFonts w:ascii="Calibri" w:cs="Calibri" w:eastAsia="Calibri" w:hAnsi="Calibri"/>
        </w:rPr>
        <w:t>15. Maintenance Strategy</w:t>
      </w:r>
    </w:p>
    <w:p>
      <w:pPr>
        <w:spacing w:after="160" w:line="276"/>
      </w:pPr>
      <w:r>
        <w:rPr>
          <w:rFonts w:ascii="Calibri" w:cs="Calibri" w:eastAsia="Calibri" w:hAnsi="Calibri"/>
          <w:b w:val="false"/>
          <w:bCs w:val="false"/>
          <w:i w:val="false"/>
          <w:iCs w:val="false"/>
          <w:sz w:val="22"/>
          <w:szCs w:val="22"/>
        </w:rPr>
        <w:t xml:space="preserve">Maintenance is planned across the four recognised categories. Full treatment: Maintenance Plan v1.4.</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780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Category</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How it is handled</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Corrective</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Defects are reproduced by a failing test first, fixed, and the test kept as a regression guard — the pattern already used for the lockout and audit defects. Severity 1 issues are fixed on the branch and deployed the same day.</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Adaptive</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Platform and dependency changes: Java LTS tracking, Spring Boot minor upgrades monthly behind CI, PostgreSQL managed upgrades, and gateway API changes absorbed behind the PaymentGateway port so only the adapter moves.</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Perfective</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Performance and usability improvements driven by the monitoring signals in Maintenance Plan §5 — pending payments older than 30 minutes, response times, and connection/storage headroom.</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Preventive</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Scheduled work that stops defects rather than fixing them: dependency audits, backup restore rehearsals, access-list reviews with leavers deactivated, and repayment of registered technical debt at each milestone close.</w:t>
            </w:r>
          </w:p>
        </w:tc>
      </w:tr>
    </w:tbl>
    <w:p>
      <w:pPr>
        <w:spacing w:after="160" w:line="276"/>
      </w:pPr>
      <w:r>
        <w:rPr>
          <w:rFonts w:ascii="Calibri" w:cs="Calibri" w:eastAsia="Calibri" w:hAnsi="Calibri"/>
          <w:b w:val="false"/>
          <w:bCs w:val="false"/>
          <w:i w:val="false"/>
          <w:iCs w:val="false"/>
          <w:sz w:val="22"/>
          <w:szCs w:val="22"/>
        </w:rPr>
        <w:t>Operationally: the Git repository is the source of truth with CI as the gate on every push; database changes are forward-only Flyway migrations, never edited in place; secrets live only in the platform's variable store; and the audit log is append-only at the database level so the record of who did what survives the people who did it. Accounts are deactivated rather than deleted, because the audit trail references them.</w:t>
      </w:r>
    </w:p>
    <w:p>
      <w:pPr>
        <w:pStyle w:val="Heading1"/>
        <w:spacing w:after="200" w:before="320"/>
      </w:pPr>
      <w:r>
        <w:rPr>
          <w:rFonts w:ascii="Calibri" w:cs="Calibri" w:eastAsia="Calibri" w:hAnsi="Calibri"/>
        </w:rPr>
        <w:t>16. Future Evolution</w:t>
      </w:r>
    </w:p>
    <w:p>
      <w:pPr>
        <w:spacing w:after="160" w:line="276"/>
      </w:pPr>
      <w:r>
        <w:rPr>
          <w:rFonts w:ascii="Calibri" w:cs="Calibri" w:eastAsia="Calibri" w:hAnsi="Calibri"/>
          <w:b w:val="false"/>
          <w:bCs w:val="false"/>
          <w:i w:val="false"/>
          <w:iCs w:val="false"/>
          <w:sz w:val="22"/>
          <w:szCs w:val="22"/>
        </w:rPr>
        <w:t>The roadmap is the deferred scope from Section 7 plus the debt repayment plan, in priority order:</w:t>
      </w:r>
    </w:p>
    <w:p>
      <w:pPr>
        <w:pStyle w:val="ListParagraph"/>
        <w:numPr>
          <w:ilvl w:val="0"/>
          <w:numId w:val="2"/>
        </w:numPr>
        <w:spacing w:after="100" w:line="276"/>
      </w:pPr>
      <w:r>
        <w:rPr>
          <w:rFonts w:ascii="Calibri" w:cs="Calibri" w:eastAsia="Calibri" w:hAnsi="Calibri"/>
          <w:sz w:val="22"/>
          <w:szCs w:val="22"/>
        </w:rPr>
        <w:t>M4 — Family access (FR-FAM-01/03): grant management endpoints and the consent UI, repaying TD-12; walk-in registration for reception, repaying TD-11.</w:t>
      </w:r>
    </w:p>
    <w:p>
      <w:pPr>
        <w:pStyle w:val="ListParagraph"/>
        <w:numPr>
          <w:ilvl w:val="0"/>
          <w:numId w:val="2"/>
        </w:numPr>
        <w:spacing w:after="100" w:line="276"/>
      </w:pPr>
      <w:r>
        <w:rPr>
          <w:rFonts w:ascii="Calibri" w:cs="Calibri" w:eastAsia="Calibri" w:hAnsi="Calibri"/>
          <w:sz w:val="22"/>
          <w:szCs w:val="22"/>
        </w:rPr>
        <w:t>M5 — Admissions completed: transfers and discharge workflow with bed-day accrual computed on read rather than by a scheduled job, repaying TD-03.</w:t>
      </w:r>
    </w:p>
    <w:p>
      <w:pPr>
        <w:pStyle w:val="ListParagraph"/>
        <w:numPr>
          <w:ilvl w:val="0"/>
          <w:numId w:val="2"/>
        </w:numPr>
        <w:spacing w:after="100" w:line="276"/>
      </w:pPr>
      <w:r>
        <w:rPr>
          <w:rFonts w:ascii="Calibri" w:cs="Calibri" w:eastAsia="Calibri" w:hAnsi="Calibri"/>
          <w:sz w:val="22"/>
          <w:szCs w:val="22"/>
        </w:rPr>
        <w:t>M6 — Management reporting: occupancy and revenue aggregates, repaying TD-13.</w:t>
      </w:r>
    </w:p>
    <w:p>
      <w:pPr>
        <w:pStyle w:val="ListParagraph"/>
        <w:numPr>
          <w:ilvl w:val="0"/>
          <w:numId w:val="2"/>
        </w:numPr>
        <w:spacing w:after="100" w:line="276"/>
      </w:pPr>
      <w:r>
        <w:rPr>
          <w:rFonts w:ascii="Calibri" w:cs="Calibri" w:eastAsia="Calibri" w:hAnsi="Calibri"/>
          <w:sz w:val="22"/>
          <w:szCs w:val="22"/>
        </w:rPr>
        <w:t>Continuous — Upgrade to Next.js 16 with React 19 behind the CI gate and the browser evidence, repaying TD-18; move slot materialisation to an asynchronous job, repaying TD-01; commit the Gradle wrapper, repaying TD-06.</w:t>
      </w:r>
    </w:p>
    <w:p>
      <w:pPr>
        <w:pStyle w:val="ListParagraph"/>
        <w:numPr>
          <w:ilvl w:val="0"/>
          <w:numId w:val="2"/>
        </w:numPr>
        <w:spacing w:after="100" w:line="276"/>
      </w:pPr>
      <w:r>
        <w:rPr>
          <w:rFonts w:ascii="Calibri" w:cs="Calibri" w:eastAsia="Calibri" w:hAnsi="Calibri"/>
          <w:sz w:val="22"/>
          <w:szCs w:val="22"/>
        </w:rPr>
        <w:t>Beyond the current SRS — NHIS claims processing, SMS notifications, radiology image storage and multi-hospital federation, each of which was excluded deliberately in SRS §1.2 rather than overlooked.</w:t>
      </w:r>
    </w:p>
    <w:p>
      <w:pPr>
        <w:pStyle w:val="Heading1"/>
        <w:spacing w:after="200" w:before="320"/>
      </w:pPr>
      <w:r>
        <w:rPr>
          <w:rFonts w:ascii="Calibri" w:cs="Calibri" w:eastAsia="Calibri" w:hAnsi="Calibri"/>
        </w:rPr>
        <w:t>17. Limitations</w:t>
      </w:r>
    </w:p>
    <w:p>
      <w:pPr>
        <w:spacing w:after="160" w:line="276"/>
      </w:pPr>
      <w:r>
        <w:rPr>
          <w:rFonts w:ascii="Calibri" w:cs="Calibri" w:eastAsia="Calibri" w:hAnsi="Calibri"/>
          <w:b w:val="false"/>
          <w:bCs w:val="false"/>
          <w:i w:val="false"/>
          <w:iCs w:val="false"/>
          <w:sz w:val="22"/>
          <w:szCs w:val="22"/>
        </w:rPr>
        <w:t>Stated plainly, because a limitation that is hidden becomes a defect in the field:</w:t>
      </w:r>
    </w:p>
    <w:p>
      <w:pPr>
        <w:pStyle w:val="ListParagraph"/>
        <w:numPr>
          <w:ilvl w:val="0"/>
          <w:numId w:val="2"/>
        </w:numPr>
        <w:spacing w:after="100" w:line="276"/>
      </w:pPr>
      <w:r>
        <w:rPr>
          <w:rFonts w:ascii="Calibri" w:cs="Calibri" w:eastAsia="Calibri" w:hAnsi="Calibri"/>
          <w:sz w:val="22"/>
          <w:szCs w:val="22"/>
        </w:rPr>
        <w:t>Scope: family access, walk-in registration, ward transfers, discharge and management dashboards are specified and permissioned but not implemented. Nurse and laboratory screens exist; family accounts sign in to an empty overview.</w:t>
      </w:r>
    </w:p>
    <w:p>
      <w:pPr>
        <w:pStyle w:val="ListParagraph"/>
        <w:numPr>
          <w:ilvl w:val="0"/>
          <w:numId w:val="2"/>
        </w:numPr>
        <w:spacing w:after="100" w:line="276"/>
      </w:pPr>
      <w:r>
        <w:rPr>
          <w:rFonts w:ascii="Calibri" w:cs="Calibri" w:eastAsia="Calibri" w:hAnsi="Calibri"/>
          <w:sz w:val="22"/>
          <w:szCs w:val="22"/>
        </w:rPr>
        <w:t>Payments run against the ITC UAT environment with test instruments. No production merchant settlement has been exercised, and the verification path is proven against UAT responses only.</w:t>
      </w:r>
    </w:p>
    <w:p>
      <w:pPr>
        <w:pStyle w:val="ListParagraph"/>
        <w:numPr>
          <w:ilvl w:val="0"/>
          <w:numId w:val="2"/>
        </w:numPr>
        <w:spacing w:after="100" w:line="276"/>
      </w:pPr>
      <w:r>
        <w:rPr>
          <w:rFonts w:ascii="Calibri" w:cs="Calibri" w:eastAsia="Calibri" w:hAnsi="Calibri"/>
          <w:sz w:val="22"/>
          <w:szCs w:val="22"/>
        </w:rPr>
        <w:t>Notifications are email-only and depend on SMTP being configured; with no SMTP the outbox marks messages skipped so that mail never blocks a business flow. SMS is out of scope.</w:t>
      </w:r>
    </w:p>
    <w:p>
      <w:pPr>
        <w:pStyle w:val="ListParagraph"/>
        <w:numPr>
          <w:ilvl w:val="0"/>
          <w:numId w:val="2"/>
        </w:numPr>
        <w:spacing w:after="100" w:line="276"/>
      </w:pPr>
      <w:r>
        <w:rPr>
          <w:rFonts w:ascii="Calibri" w:cs="Calibri" w:eastAsia="Calibri" w:hAnsi="Calibri"/>
          <w:sz w:val="22"/>
          <w:szCs w:val="22"/>
        </w:rPr>
        <w:t>Scale is untested. The system has been exercised with a seeded hospital and single-user concurrency, apart from the deliberate booking-race test. No load or soak testing has been performed, so the non-functional performance targets remain unverified.</w:t>
      </w:r>
    </w:p>
    <w:p>
      <w:pPr>
        <w:pStyle w:val="ListParagraph"/>
        <w:numPr>
          <w:ilvl w:val="0"/>
          <w:numId w:val="2"/>
        </w:numPr>
        <w:spacing w:after="100" w:line="276"/>
      </w:pPr>
      <w:r>
        <w:rPr>
          <w:rFonts w:ascii="Calibri" w:cs="Calibri" w:eastAsia="Calibri" w:hAnsi="Calibri"/>
          <w:sz w:val="22"/>
          <w:szCs w:val="22"/>
        </w:rPr>
        <w:t>Security work is defensive-by-design and verified by negative tests, but no independent penetration test or dependency provenance audit has been carried out.</w:t>
      </w:r>
    </w:p>
    <w:p>
      <w:pPr>
        <w:pStyle w:val="ListParagraph"/>
        <w:numPr>
          <w:ilvl w:val="0"/>
          <w:numId w:val="2"/>
        </w:numPr>
        <w:spacing w:after="100" w:line="276"/>
      </w:pPr>
      <w:r>
        <w:rPr>
          <w:rFonts w:ascii="Calibri" w:cs="Calibri" w:eastAsia="Calibri" w:hAnsi="Calibri"/>
          <w:sz w:val="22"/>
          <w:szCs w:val="22"/>
        </w:rPr>
        <w:t>The estimate's context-adjusted rate of 4–6 PH/UCP is an assumption, not a calibrated measurement; the project's own actuals are the first data point against it.</w:t>
      </w:r>
    </w:p>
    <w:p>
      <w:pPr>
        <w:pStyle w:val="ListParagraph"/>
        <w:numPr>
          <w:ilvl w:val="0"/>
          <w:numId w:val="2"/>
        </w:numPr>
        <w:spacing w:after="100" w:line="276"/>
      </w:pPr>
      <w:r>
        <w:rPr>
          <w:rFonts w:ascii="Calibri" w:cs="Calibri" w:eastAsia="Calibri" w:hAnsi="Calibri"/>
          <w:sz w:val="22"/>
          <w:szCs w:val="22"/>
        </w:rPr>
        <w:t>The demonstration seed contains synthetic patients only. It must be disabled before any real-data use, and the shared demonstration password rotated.</w:t>
      </w:r>
    </w:p>
    <w:p>
      <w:pPr>
        <w:pStyle w:val="Heading1"/>
        <w:spacing w:after="200" w:before="320"/>
      </w:pPr>
      <w:r>
        <w:rPr>
          <w:rFonts w:ascii="Calibri" w:cs="Calibri" w:eastAsia="Calibri" w:hAnsi="Calibri"/>
        </w:rPr>
        <w:t>18. Conclusion</w:t>
      </w:r>
    </w:p>
    <w:p>
      <w:pPr>
        <w:spacing w:after="160" w:line="276"/>
      </w:pPr>
      <w:r>
        <w:rPr>
          <w:rFonts w:ascii="Calibri" w:cs="Calibri" w:eastAsia="Calibri" w:hAnsi="Calibri"/>
          <w:b w:val="false"/>
          <w:bCs w:val="false"/>
          <w:i w:val="false"/>
          <w:iCs w:val="false"/>
          <w:sz w:val="22"/>
          <w:szCs w:val="22"/>
        </w:rPr>
        <w:t>MediCore delivers a deployed, working hospital management system whose integrity properties are enforced where they cannot be bypassed: authorisation in one auditable decision function, double-booking in a database constraint, immutability of signed notes in a trigger, and money credited only after independent verification. The requirements, the estimate, the design, the tests, the debt and the deployment are connected by requirement identifiers that appear in the source code and the test names, so each claim in this document can be checked rather than taken on trust.</w:t>
      </w:r>
    </w:p>
    <w:p>
      <w:pPr>
        <w:spacing w:after="160" w:line="276"/>
      </w:pPr>
      <w:r>
        <w:rPr>
          <w:rFonts w:ascii="Calibri" w:cs="Calibri" w:eastAsia="Calibri" w:hAnsi="Calibri"/>
          <w:b w:val="false"/>
          <w:bCs w:val="false"/>
          <w:i w:val="false"/>
          <w:iCs w:val="false"/>
          <w:sz w:val="22"/>
          <w:szCs w:val="22"/>
        </w:rPr>
        <w:t>The engineering judgement the project most wants to be assessed on is subtractive. The Use Case Points estimate said the full first phase was roughly two and a half times larger than the available capacity, and scope was cut before implementation rather than discovered to be over-committed at the deadline. What remains is a coherent system rather than a broad one, with everything omitted recorded as debt or roadmap instead of silently missing.</w:t>
      </w:r>
    </w:p>
    <w:p>
      <w:pPr>
        <w:spacing w:after="160" w:line="276"/>
      </w:pPr>
      <w:r>
        <w:rPr>
          <w:rFonts w:ascii="Calibri" w:cs="Calibri" w:eastAsia="Calibri" w:hAnsi="Calibri"/>
          <w:b w:val="false"/>
          <w:bCs w:val="false"/>
          <w:i w:val="false"/>
          <w:iCs w:val="false"/>
          <w:sz w:val="22"/>
          <w:szCs w:val="22"/>
        </w:rPr>
        <w:t>The strongest evidence of process is the defect record: five real defects were found by testing during development, including two — an account lockout that never engaged and an audit write that destroyed the record it described — that were invisible in normal use and were caught only because the tests were written to exercise the failure paths rather than the happy one.</w:t>
      </w:r>
    </w:p>
    <w:p>
      <w:pPr>
        <w:pStyle w:val="Heading1"/>
        <w:spacing w:after="200" w:before="320"/>
      </w:pPr>
      <w:r>
        <w:rPr>
          <w:rFonts w:ascii="Calibri" w:cs="Calibri" w:eastAsia="Calibri" w:hAnsi="Calibri"/>
        </w:rPr>
        <w:t>19. References</w:t>
      </w:r>
    </w:p>
    <w:p>
      <w:pPr>
        <w:pStyle w:val="ListParagraph"/>
        <w:numPr>
          <w:ilvl w:val="0"/>
          <w:numId w:val="2"/>
        </w:numPr>
        <w:spacing w:after="100" w:line="276"/>
      </w:pPr>
      <w:r>
        <w:rPr>
          <w:rFonts w:ascii="Calibri" w:cs="Calibri" w:eastAsia="Calibri" w:hAnsi="Calibri"/>
          <w:sz w:val="22"/>
          <w:szCs w:val="22"/>
        </w:rPr>
        <w:t>IEEE Std 830-1998, Recommended Practice for Software Requirements Specifications. IEEE.</w:t>
      </w:r>
    </w:p>
    <w:p>
      <w:pPr>
        <w:pStyle w:val="ListParagraph"/>
        <w:numPr>
          <w:ilvl w:val="0"/>
          <w:numId w:val="2"/>
        </w:numPr>
        <w:spacing w:after="100" w:line="276"/>
      </w:pPr>
      <w:r>
        <w:rPr>
          <w:rFonts w:ascii="Calibri" w:cs="Calibri" w:eastAsia="Calibri" w:hAnsi="Calibri"/>
          <w:sz w:val="22"/>
          <w:szCs w:val="22"/>
        </w:rPr>
        <w:t>Karner, G. (1993) Resource Estimation for Objectory Projects — the Use Case Points method applied in Section 7.</w:t>
      </w:r>
    </w:p>
    <w:p>
      <w:pPr>
        <w:pStyle w:val="ListParagraph"/>
        <w:numPr>
          <w:ilvl w:val="0"/>
          <w:numId w:val="2"/>
        </w:numPr>
        <w:spacing w:after="100" w:line="276"/>
      </w:pPr>
      <w:r>
        <w:rPr>
          <w:rFonts w:ascii="Calibri" w:cs="Calibri" w:eastAsia="Calibri" w:hAnsi="Calibri"/>
          <w:sz w:val="22"/>
          <w:szCs w:val="22"/>
        </w:rPr>
        <w:t>Ghana Data Protection Act, 2012 (Act 843) — guiding principles for personal and health data handling.</w:t>
      </w:r>
    </w:p>
    <w:p>
      <w:pPr>
        <w:pStyle w:val="ListParagraph"/>
        <w:numPr>
          <w:ilvl w:val="0"/>
          <w:numId w:val="2"/>
        </w:numPr>
        <w:spacing w:after="100" w:line="276"/>
      </w:pPr>
      <w:r>
        <w:rPr>
          <w:rFonts w:ascii="Calibri" w:cs="Calibri" w:eastAsia="Calibri" w:hAnsi="Calibri"/>
          <w:sz w:val="22"/>
          <w:szCs w:val="22"/>
        </w:rPr>
        <w:t>OWASP Top 10 (2021) — baseline for the security requirements in SRS §5.</w:t>
      </w:r>
    </w:p>
    <w:p>
      <w:pPr>
        <w:pStyle w:val="ListParagraph"/>
        <w:numPr>
          <w:ilvl w:val="0"/>
          <w:numId w:val="2"/>
        </w:numPr>
        <w:spacing w:after="100" w:line="276"/>
      </w:pPr>
      <w:r>
        <w:rPr>
          <w:rFonts w:ascii="Calibri" w:cs="Calibri" w:eastAsia="Calibri" w:hAnsi="Calibri"/>
          <w:sz w:val="22"/>
          <w:szCs w:val="22"/>
        </w:rPr>
        <w:t>Transflow Checkout Payment — API Definition, IT Consortium (confidential; received August 2026).</w:t>
      </w:r>
    </w:p>
    <w:p>
      <w:pPr>
        <w:pStyle w:val="ListParagraph"/>
        <w:numPr>
          <w:ilvl w:val="0"/>
          <w:numId w:val="2"/>
        </w:numPr>
        <w:spacing w:after="100" w:line="276"/>
      </w:pPr>
      <w:r>
        <w:rPr>
          <w:rFonts w:ascii="Calibri" w:cs="Calibri" w:eastAsia="Calibri" w:hAnsi="Calibri"/>
          <w:sz w:val="22"/>
          <w:szCs w:val="22"/>
        </w:rPr>
        <w:t>CSCD602 Advanced Software Engineering, Individual Project-Based Examination brief, University of Ghana, 2025/2026.</w:t>
      </w:r>
    </w:p>
    <w:p>
      <w:pPr>
        <w:pStyle w:val="Heading2"/>
        <w:spacing w:after="160" w:before="260"/>
      </w:pPr>
      <w:r>
        <w:rPr>
          <w:rFonts w:ascii="Calibri" w:cs="Calibri" w:eastAsia="Calibri" w:hAnsi="Calibri"/>
        </w:rPr>
        <w:t>19.1 Third-party components acknowledged</w:t>
      </w:r>
    </w:p>
    <w:p>
      <w:pPr>
        <w:spacing w:after="160" w:line="276"/>
      </w:pPr>
      <w:r>
        <w:rPr>
          <w:rFonts w:ascii="Calibri" w:cs="Calibri" w:eastAsia="Calibri" w:hAnsi="Calibri"/>
          <w:b w:val="false"/>
          <w:bCs w:val="false"/>
          <w:i w:val="false"/>
          <w:iCs w:val="false"/>
          <w:sz w:val="22"/>
          <w:szCs w:val="22"/>
        </w:rPr>
        <w:t>The following third-party frameworks, libraries and services are used under their respective licences and are not the author's work: Spring Boot 3.3 and Spring Security (Apache-2.0); Spring Session JDBC; Hibernate ORM; Flyway (Apache-2.0); PostgreSQL 16 (PostgreSQL Licence); Next.js 14 and React 18 (MIT); Tailwind CSS (MIT); JUnit 5 (EPL-2.0); Gradle; Docker; the ITC Transflow Checkout payment gateway (vendor service, UAT environment); and Railway as the hosting platform. All application code, database schema, tests and documentation are the author's own.</w:t>
      </w:r>
    </w:p>
    <w:sectPr>
      <w:footerReference w:type="default" r:id="rId7"/>
      <w:pgSz w:w="12240" w:h="15840"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MediCore HMS — Project Documentation v1.0    ·  Kelvin Addae Kwarteng (22427564)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Kelvin Addae Kwarteng (22427564)</dc:creator>
  <cp:lastModifiedBy>Kelvin Addae Kwarteng (22427564)</cp:lastModifiedBy>
  <cp:revision>1</cp:revision>
  <dcterms:created xsi:type="dcterms:W3CDTF">2026-08-15T01:30:45.842Z</dcterms:created>
  <dcterms:modified xsi:type="dcterms:W3CDTF">2026-08-15T01:30:45.843Z</dcterms:modified>
  <dc:title>Project Documentation — MediCore HMS</dc:title>
</cp:coreProperties>
</file>

<file path=docProps/custom.xml><?xml version="1.0" encoding="utf-8"?>
<Properties xmlns="http://schemas.openxmlformats.org/officeDocument/2006/custom-properties" xmlns:vt="http://schemas.openxmlformats.org/officeDocument/2006/docPropsVTypes"/>
</file>