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TESTING REPORT</w:t>
      </w:r>
    </w:p>
    <w:p>
      <w:pPr>
        <w:spacing w:after="200"/>
        <w:jc w:val="center"/>
      </w:pPr>
      <w:r>
        <w:rPr>
          <w:rFonts w:ascii="Calibri" w:cs="Calibri" w:eastAsia="Calibri" w:hAnsi="Calibri"/>
          <w:b/>
          <w:bCs/>
          <w:sz w:val="34"/>
          <w:szCs w:val="34"/>
        </w:rPr>
        <w:t xml:space="preserve">Verification &amp; Validation Record</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1.3  ·  August 2026</w:t>
      </w:r>
    </w:p>
    <w:p>
      <w:pPr>
        <w:spacing w:after="160"/>
        <w:jc w:val="center"/>
      </w:pPr>
      <w:r>
        <w:rPr>
          <w:rFonts w:ascii="Calibri" w:cs="Calibri" w:eastAsia="Calibri" w:hAnsi="Calibri"/>
          <w:i/>
          <w:iCs/>
          <w:sz w:val="24"/>
          <w:szCs w:val="24"/>
        </w:rPr>
        <w:t xml:space="preserve">Companion documents: SRS v1.3 · Design Document v1.5</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Scope</w:t>
      </w:r>
    </w:p>
    <w:p>
      <w:pPr>
        <w:spacing w:after="160" w:line="276"/>
      </w:pPr>
      <w:r>
        <w:rPr>
          <w:rFonts w:ascii="Calibri" w:cs="Calibri" w:eastAsia="Calibri" w:hAnsi="Calibri"/>
          <w:b w:val="false"/>
          <w:bCs w:val="false"/>
          <w:i w:val="false"/>
          <w:iCs w:val="false"/>
          <w:sz w:val="22"/>
          <w:szCs w:val="22"/>
        </w:rPr>
        <w:t xml:space="preserve">This report records how the MediCore HMS v0.9 (Milestones 1–3: authentication and access control, scheduling and queueing, clinical records, pharmacy, billing and online payment, plus the web front end) was verified, what the evidence is, and — with equal prominence — what has NOT yet been exercised and what gate closes each remaining gap. The distinction between "tested and passed" and "authored and shipped but not yet executed" is maintained throughout, because conflating the two is the most common way a testing report misleads its reader.</w:t>
      </w:r>
    </w:p>
    <w:p>
      <w:pPr>
        <w:spacing w:after="160" w:line="276"/>
      </w:pPr>
      <w:r>
        <w:rPr>
          <w:rFonts w:ascii="Calibri" w:cs="Calibri" w:eastAsia="Calibri" w:hAnsi="Calibri"/>
          <w:b w:val="false"/>
          <w:bCs w:val="false"/>
          <w:i w:val="false"/>
          <w:iCs w:val="false"/>
          <w:sz w:val="22"/>
          <w:szCs w:val="22"/>
        </w:rPr>
        <w:t xml:space="preserve">Scope covers the Java/Spring Boot production backend (medicore-backend-server/), the Node.js reference implementation (server/), the PostgreSQL schema and seed, and the Next.js web application (web/). The ITC Transflow payment integration is covered up to the boundary at which live merchant credentials are required.</w:t>
      </w:r>
    </w:p>
    <w:p>
      <w:pPr>
        <w:pStyle w:val="Heading1"/>
        <w:spacing w:after="200" w:before="320"/>
      </w:pPr>
      <w:r>
        <w:rPr>
          <w:rFonts w:ascii="Calibri" w:cs="Calibri" w:eastAsia="Calibri" w:hAnsi="Calibri"/>
        </w:rPr>
        <w:t xml:space="preserve">2. Test Strategy</w:t>
      </w:r>
    </w:p>
    <w:p>
      <w:pPr>
        <w:spacing w:after="160" w:line="276"/>
      </w:pPr>
      <w:r>
        <w:rPr>
          <w:rFonts w:ascii="Calibri" w:cs="Calibri" w:eastAsia="Calibri" w:hAnsi="Calibri"/>
          <w:b w:val="false"/>
          <w:bCs w:val="false"/>
          <w:i w:val="false"/>
          <w:iCs w:val="false"/>
          <w:sz w:val="22"/>
          <w:szCs w:val="22"/>
        </w:rPr>
        <w:t xml:space="preserve">The strategy is a conventional test pyramid adapted to one unusual constraint: the development environment could not download JVM dependencies (Maven Central blocked), so the Spring application could never be assembled or executed during development. Rather than ship unverified logic, the architecture was bent to make verification possible anyway:</w:t>
      </w:r>
    </w:p>
    <w:p>
      <w:pPr>
        <w:pStyle w:val="ListParagraph"/>
        <w:numPr>
          <w:ilvl w:val="0"/>
          <w:numId w:val="2"/>
        </w:numPr>
        <w:spacing w:after="100" w:line="276"/>
      </w:pPr>
      <w:r>
        <w:rPr>
          <w:rFonts w:ascii="Calibri" w:cs="Calibri" w:eastAsia="Calibri" w:hAnsi="Calibri"/>
          <w:sz w:val="22"/>
          <w:szCs w:val="22"/>
        </w:rPr>
        <w:t xml:space="preserve">Every high-risk business rule lives in a framework-free pure class (PolicyEngine, SlotGenerator, FefoAllocator, BillingMath, PaymentVerifier, ItcResponseMapper) that compiles with javac alone. These were compiled and executed against dedicated verification harnesses — 66 checks in total, all passing (§4.1).</w:t>
      </w:r>
    </w:p>
    <w:p>
      <w:pPr>
        <w:pStyle w:val="ListParagraph"/>
        <w:numPr>
          <w:ilvl w:val="0"/>
          <w:numId w:val="2"/>
        </w:numPr>
        <w:spacing w:after="100" w:line="276"/>
      </w:pPr>
      <w:r>
        <w:rPr>
          <w:rFonts w:ascii="Calibri" w:cs="Calibri" w:eastAsia="Calibri" w:hAnsi="Calibri"/>
          <w:sz w:val="22"/>
          <w:szCs w:val="22"/>
        </w:rPr>
        <w:t xml:space="preserve">All SQL — the four schema migrations, their integrity triggers, and the demo seed — was executed against a real PostgreSQL 16 instance, not reviewed on paper (§4.3).</w:t>
      </w:r>
    </w:p>
    <w:p>
      <w:pPr>
        <w:pStyle w:val="ListParagraph"/>
        <w:numPr>
          <w:ilvl w:val="0"/>
          <w:numId w:val="2"/>
        </w:numPr>
        <w:spacing w:after="100" w:line="276"/>
      </w:pPr>
      <w:r>
        <w:rPr>
          <w:rFonts w:ascii="Calibri" w:cs="Calibri" w:eastAsia="Calibri" w:hAnsi="Calibri"/>
          <w:sz w:val="22"/>
          <w:szCs w:val="22"/>
        </w:rPr>
        <w:t xml:space="preserve">The Node.js reference implementation of Milestone 1 carries a fully executed automated suite (16/16) covering authentication, lockout, policy decisions, slot generation and the booking race (§4.2).</w:t>
      </w:r>
    </w:p>
    <w:p>
      <w:pPr>
        <w:pStyle w:val="ListParagraph"/>
        <w:numPr>
          <w:ilvl w:val="0"/>
          <w:numId w:val="2"/>
        </w:numPr>
        <w:spacing w:after="100" w:line="276"/>
      </w:pPr>
      <w:r>
        <w:rPr>
          <w:rFonts w:ascii="Calibri" w:cs="Calibri" w:eastAsia="Calibri" w:hAnsi="Calibri"/>
          <w:sz w:val="22"/>
          <w:szCs w:val="22"/>
        </w:rPr>
        <w:t xml:space="preserve">The web application was fully built (type-checked production build, 15 routes) and exercised end-to-end in a real browser against a live API and database (§4.4).</w:t>
      </w:r>
    </w:p>
    <w:p>
      <w:pPr>
        <w:pStyle w:val="ListParagraph"/>
        <w:numPr>
          <w:ilvl w:val="0"/>
          <w:numId w:val="2"/>
        </w:numPr>
        <w:spacing w:after="100" w:line="276"/>
      </w:pPr>
      <w:r>
        <w:rPr>
          <w:rFonts w:ascii="Calibri" w:cs="Calibri" w:eastAsia="Calibri" w:hAnsi="Calibri"/>
          <w:sz w:val="22"/>
          <w:szCs w:val="22"/>
        </w:rPr>
        <w:t xml:space="preserve">The Spring assembly layer (controllers, wiring, JPA, security filters) ships with a complete JUnit/integration suite that runs in CI on every push — its first green run is the formal verification gate for that layer (§5).</w:t>
      </w:r>
    </w:p>
    <w:p>
      <w:pPr>
        <w:spacing w:after="160" w:line="276"/>
      </w:pPr>
      <w:r>
        <w:rPr>
          <w:rFonts w:ascii="Calibri" w:cs="Calibri" w:eastAsia="Calibri" w:hAnsi="Calibri"/>
          <w:b w:val="false"/>
          <w:bCs w:val="false"/>
          <w:i w:val="false"/>
          <w:iCs w:val="false"/>
          <w:sz w:val="22"/>
          <w:szCs w:val="22"/>
        </w:rPr>
        <w:t xml:space="preserve">Test data is entirely synthetic (NFR-PRV-03): no real patient data was used at any point.</w:t>
      </w:r>
    </w:p>
    <w:p>
      <w:pPr>
        <w:pStyle w:val="Heading1"/>
        <w:spacing w:after="200" w:before="320"/>
      </w:pPr>
      <w:r>
        <w:rPr>
          <w:rFonts w:ascii="Calibri" w:cs="Calibri" w:eastAsia="Calibri" w:hAnsi="Calibri"/>
        </w:rPr>
        <w:t xml:space="preserve">3. Test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Environment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Composition</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Used for</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Development sandbox</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 24, JDK 21 (javac), Node 20, PostgreSQL 16, Chromium/Playwright; JVM dependency downloads blocked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Pure-core harnesses, SQL execution, Node suite, web build, browser E2E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(GitHub Actions)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ubuntu-latest, Gradle + JDK 21, PostgreSQL 16 service container</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Full Gradle unit + integration suite on every push; web production build; Node suite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Developer machine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JDK 21 + Docker per DEPLOYMENT.md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./gradlew test replication; docker compose full-stack demo</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UAT</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https://apisuat.itcsrvc.com/checkout with vendor test cards / small mobile-money amounts</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Live payment gateway validation (pending merchant credentials, §5.2)</w:t>
            </w:r>
          </w:p>
        </w:tc>
      </w:tr>
    </w:tbl>
    <w:p>
      <w:pPr>
        <w:pStyle w:val="Heading1"/>
        <w:spacing w:after="200" w:before="320"/>
      </w:pPr>
      <w:r>
        <w:rPr>
          <w:rFonts w:ascii="Calibri" w:cs="Calibri" w:eastAsia="Calibri" w:hAnsi="Calibri"/>
        </w:rPr>
        <w:t xml:space="preserve">4. Executed Test Results</w:t>
      </w:r>
    </w:p>
    <w:p>
      <w:pPr>
        <w:pStyle w:val="Heading2"/>
        <w:spacing w:after="160" w:before="260"/>
      </w:pPr>
      <w:r>
        <w:rPr>
          <w:rFonts w:ascii="Calibri" w:cs="Calibri" w:eastAsia="Calibri" w:hAnsi="Calibri"/>
        </w:rPr>
        <w:t>4.1 Pure-core verification harnesses — 63/63 passed</w:t>
      </w:r>
    </w:p>
    <w:p>
      <w:pPr>
        <w:spacing w:after="160" w:line="276"/>
      </w:pPr>
      <w:r>
        <w:rPr>
          <w:rFonts w:ascii="Calibri" w:cs="Calibri" w:eastAsia="Calibri" w:hAnsi="Calibri"/>
          <w:b w:val="false"/>
          <w:bCs w:val="false"/>
          <w:i w:val="false"/>
          <w:iCs w:val="false"/>
          <w:sz w:val="22"/>
          <w:szCs w:val="22"/>
        </w:rPr>
        <w:t xml:space="preserve">Each harness compiles the production classes with javac and asserts observable behaviour. They were re-run as a full sweep after every change that touched a covered class; the counts below are from the final sweep.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Harness (classes under test)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Checks</w:t>
            </w:r>
          </w:p>
        </w:tc>
        <w:tc>
          <w:tcPr>
            <w:tcW w:type="dxa" w:w="6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Key invariants proven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PolicyEngine, PolicyMatrix, scope model</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20/20</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Deny-by-default for unknown actions and roles; management can never read EMR regardless of context (AC-02); doctor access requires an active-care relationship (ReBAC); nurse access is ward-scoped (AC-03); family access requires an explicit grant; void is management-only; slot arithmetic (count, boundaries, no overlap)</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Earliest-expiry batch drawn first; expired batches skipped entirely; allocation spans batches; exact-fit boundary; InsufficientStock raised with precise shortfall; zero/negative requests rejected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PaymentVerifier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13/13</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Totals and status derivation (draft/issued/partially_paid/paid); verifier credits ONLY on gateway success with an exact amount match — non-success status, amount mismatch, and missing amount all refuse credit (NFR-SEC-06 fail-closed)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ItcResponseMapper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14/14</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Fed the literal sample payloads from the vendor API Definition: init response parsing (transactionReference + checkoutUrl), the checkoutUrl/paymentLink naming discrepancy between the vendor’s sample and its parameter table (both accepted), status success = outer 200 AND data.responseCode "01", numeric and string amounts ("12.00") parsed exactly, malformed amounts fail closed, callback refNo extraction with fallbacks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EmailTemplates, OutboxPolicy</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11/11</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content carries patient name, doctor, clinic and Africa/Accra local time; GHS amounts formatted to 2dp; retry backoff grows exponentially (1,2,4,8… minutes), caps at 24 hours, and exhausts to terminal failure at 8 attempts — including a real defect caught and fixed by the harness (a pre-cap shift made the 24-hour ceiling unreachable)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Forward-only laboratory lifecycle: an order cannot skip a stage or move backwards, results are only accepted while the sample is in progress, and release is refused until every requested test carries a result — the AC-04 gate that keeps unreleased values away from the patient.</w:t>
            </w:r>
          </w:p>
        </w:tc>
      </w:tr>
    </w:tbl>
    <w:p>
      <w:pPr>
        <w:pStyle w:val="Heading2"/>
        <w:spacing w:after="160" w:before="260"/>
      </w:pPr>
      <w:r>
        <w:rPr>
          <w:rFonts w:ascii="Calibri" w:cs="Calibri" w:eastAsia="Calibri" w:hAnsi="Calibri"/>
        </w:rPr>
        <w:t xml:space="preserve">4.2 Node.js reference suite — 16/16 passed</w:t>
      </w:r>
    </w:p>
    <w:p>
      <w:pPr>
        <w:spacing w:after="160" w:line="276"/>
      </w:pPr>
      <w:r>
        <w:rPr>
          <w:rFonts w:ascii="Calibri" w:cs="Calibri" w:eastAsia="Calibri" w:hAnsi="Calibri"/>
          <w:b w:val="false"/>
          <w:bCs w:val="false"/>
          <w:i w:val="false"/>
          <w:iCs w:val="false"/>
          <w:sz w:val="22"/>
          <w:szCs w:val="22"/>
        </w:rPr>
        <w:t xml:space="preserve">The Milestone 1 reference implementation (server/) carries an executed automated suite against a live PostgreSQL: registration and login, bcrypt storage, account lockout after five failures (FR-AUTH-06), policy allow/deny matrix spot checks, schedule publication and slot generation, double-booking rejection under concurrent requests (FR-APT-02, exercised with simultaneous bookings of one slot — exactly one succeeds, the other receives 409), check-in and queue ordering. This suite now also runs in CI.</w:t>
      </w:r>
    </w:p>
    <w:p>
      <w:pPr>
        <w:pStyle w:val="Heading2"/>
        <w:spacing w:after="160" w:before="260"/>
      </w:pPr>
      <w:r>
        <w:rPr>
          <w:rFonts w:ascii="Calibri" w:cs="Calibri" w:eastAsia="Calibri" w:hAnsi="Calibri"/>
        </w:rPr>
        <w:t xml:space="preserve">4.3 Database verification on PostgreSQL 16</w:t>
      </w:r>
    </w:p>
    <w:p>
      <w:pPr>
        <w:pStyle w:val="ListParagraph"/>
        <w:numPr>
          <w:ilvl w:val="0"/>
          <w:numId w:val="2"/>
        </w:numPr>
        <w:spacing w:after="100" w:line="276"/>
      </w:pPr>
      <w:r>
        <w:rPr>
          <w:rFonts w:ascii="Calibri" w:cs="Calibri" w:eastAsia="Calibri" w:hAnsi="Calibri"/>
          <w:sz w:val="22"/>
          <w:szCs w:val="22"/>
        </w:rPr>
        <w:t xml:space="preserve">Migrations V1–V4 (30 tables) applied cleanly to a real PostgreSQL 16 instance; re-application is rejected by Flyway versioning as designed.</w:t>
      </w:r>
    </w:p>
    <w:p>
      <w:pPr>
        <w:pStyle w:val="ListParagraph"/>
        <w:numPr>
          <w:ilvl w:val="0"/>
          <w:numId w:val="2"/>
        </w:numPr>
        <w:spacing w:after="100" w:line="276"/>
      </w:pPr>
      <w:r>
        <w:rPr>
          <w:rFonts w:ascii="Calibri" w:cs="Calibri" w:eastAsia="Calibri" w:hAnsi="Calibri"/>
          <w:sz w:val="22"/>
          <w:szCs w:val="22"/>
        </w:rPr>
        <w:t xml:space="preserve">Integrity triggers exercised with direct SQL: UPDATE of a signed consultation’s clinical fields raises an exception (sign-and-lock, FR-EMR-03); UPDATE and DELETE on audit_log rows raise exceptions (append-only audit, NFR-SEC-04).</w:t>
      </w:r>
    </w:p>
    <w:p>
      <w:pPr>
        <w:pStyle w:val="ListParagraph"/>
        <w:numPr>
          <w:ilvl w:val="0"/>
          <w:numId w:val="2"/>
        </w:numPr>
        <w:spacing w:after="100" w:line="276"/>
      </w:pPr>
      <w:r>
        <w:rPr>
          <w:rFonts w:ascii="Calibri" w:cs="Calibri" w:eastAsia="Calibri" w:hAnsi="Calibri"/>
          <w:sz w:val="22"/>
          <w:szCs w:val="22"/>
        </w:rPr>
        <w:t xml:space="preserve">Guarded stock decrement verified: qty_on_hand is protected by a CHECK (&gt;= 0) plus a conditional UPDATE, so an over-dispense cannot drive stock negative (FR-PHM-05).</w:t>
      </w:r>
    </w:p>
    <w:p>
      <w:pPr>
        <w:pStyle w:val="ListParagraph"/>
        <w:numPr>
          <w:ilvl w:val="0"/>
          <w:numId w:val="2"/>
        </w:numPr>
        <w:spacing w:after="100" w:line="276"/>
      </w:pPr>
      <w:r>
        <w:rPr>
          <w:rFonts w:ascii="Calibri" w:cs="Calibri" w:eastAsia="Calibri" w:hAnsi="Calibri"/>
          <w:sz w:val="22"/>
          <w:szCs w:val="22"/>
        </w:rPr>
        <w:t xml:space="preserve">Notification outbox (V5): dedupe UNIQUE proven (double enqueue → one row), status CHECK enforced, and the worker’s exact claim (FOR UPDATE SKIP LOCKED), backoff and terminal-state SQL rehearsed directly against the table.</w:t>
      </w:r>
    </w:p>
    <w:p>
      <w:pPr>
        <w:pStyle w:val="ListParagraph"/>
        <w:numPr>
          <w:ilvl w:val="0"/>
          <w:numId w:val="2"/>
        </w:numPr>
        <w:spacing w:after="100" w:line="276"/>
      </w:pPr>
      <w:r>
        <w:rPr>
          <w:rFonts w:ascii="Calibri" w:cs="Calibri" w:eastAsia="Calibri" w:hAnsi="Calibri"/>
          <w:sz w:val="22"/>
          <w:szCs w:val="22"/>
        </w:rPr>
        <w:t xml:space="preserve">Demo seed V900 executed against the migrated schema: 7 role accounts, demo patient, 3 weekly clinics generating 108 future slots relative to the run date, FEFO-visible stock batches — and re-executed to prove idempotency (second run: zero errors, zero duplicates).</w:t>
      </w:r>
    </w:p>
    <w:p>
      <w:pPr>
        <w:pStyle w:val="Heading2"/>
        <w:spacing w:after="160" w:before="260"/>
      </w:pPr>
      <w:r>
        <w:rPr>
          <w:rFonts w:ascii="Calibri" w:cs="Calibri" w:eastAsia="Calibri" w:hAnsi="Calibri"/>
        </w:rPr>
        <w:t xml:space="preserve">4.4 Web application — build, smoke, and browser end-to-end</w:t>
      </w:r>
    </w:p>
    <w:p>
      <w:pPr>
        <w:pStyle w:val="ListParagraph"/>
        <w:numPr>
          <w:ilvl w:val="0"/>
          <w:numId w:val="2"/>
        </w:numPr>
        <w:spacing w:after="100" w:line="276"/>
      </w:pPr>
      <w:r>
        <w:rPr>
          <w:rFonts w:ascii="Calibri" w:cs="Calibri" w:eastAsia="Calibri" w:hAnsi="Calibri"/>
          <w:sz w:val="22"/>
          <w:szCs w:val="22"/>
        </w:rPr>
        <w:t xml:space="preserve">Production build passed: all 15 routes compile under strict TypeScript; static prerender succeeds.</w:t>
      </w:r>
    </w:p>
    <w:p>
      <w:pPr>
        <w:pStyle w:val="ListParagraph"/>
        <w:numPr>
          <w:ilvl w:val="0"/>
          <w:numId w:val="2"/>
        </w:numPr>
        <w:spacing w:after="100" w:line="276"/>
      </w:pPr>
      <w:r>
        <w:rPr>
          <w:rFonts w:ascii="Calibri" w:cs="Calibri" w:eastAsia="Calibri" w:hAnsi="Calibri"/>
          <w:sz w:val="22"/>
          <w:szCs w:val="22"/>
        </w:rPr>
        <w:t xml:space="preserve">Live smoke through the same-origin proxy: login sets the httpOnly session cookie, /api/me/profile returns the enriched profile, slot listing returns 105 open slots.</w:t>
      </w:r>
    </w:p>
    <w:p>
      <w:pPr>
        <w:pStyle w:val="ListParagraph"/>
        <w:numPr>
          <w:ilvl w:val="0"/>
          <w:numId w:val="2"/>
        </w:numPr>
        <w:spacing w:after="100" w:line="276"/>
      </w:pPr>
      <w:r>
        <w:rPr>
          <w:rFonts w:ascii="Calibri" w:cs="Calibri" w:eastAsia="Calibri" w:hAnsi="Calibri"/>
          <w:sz w:val="22"/>
          <w:szCs w:val="22"/>
        </w:rPr>
        <w:t xml:space="preserve">Playwright end-to-end in Chromium: patient signs in, opens Book appointment, books the first available slot, is redirected to My appointments where the new row renders with a BOOKED badge. Screenshots exported: ui-patient-dashboard.png, ui-booking.png, ui-booked-confirmation.png.</w:t>
      </w:r>
    </w:p>
    <w:p>
      <w:pPr>
        <w:pStyle w:val="ListParagraph"/>
        <w:numPr>
          <w:ilvl w:val="0"/>
          <w:numId w:val="2"/>
        </w:numPr>
        <w:spacing w:after="100" w:line="276"/>
      </w:pPr>
      <w:r>
        <w:rPr>
          <w:rFonts w:ascii="Calibri" w:cs="Calibri" w:eastAsia="Calibri" w:hAnsi="Calibri"/>
          <w:sz w:val="22"/>
          <w:szCs w:val="22"/>
        </w:rPr>
        <w:t xml:space="preserve">Reception path verified in-browser: staff patient search by name renders MRN-chipped results; selecting a patient raises the patient band before any booking action is possible.</w:t>
      </w:r>
    </w:p>
    <w:p>
      <w:pPr>
        <w:pStyle w:val="ListParagraph"/>
        <w:numPr>
          <w:ilvl w:val="0"/>
          <w:numId w:val="2"/>
        </w:numPr>
        <w:spacing w:after="100" w:line="276"/>
      </w:pPr>
      <w:r>
        <w:rPr>
          <w:rFonts w:ascii="Calibri" w:cs="Calibri" w:eastAsia="Calibri" w:hAnsi="Calibri"/>
          <w:sz w:val="22"/>
          <w:szCs w:val="22"/>
        </w:rPr>
        <w:t xml:space="preserve">Clinical loop end-to-end (added at TD-09 closure): reception books and checks in the patient; the doctor starts the consultation, drafts notes, and sends a prescription through the new Prescription panel ("Prescription sent to pharmacy" confirmed on screen); the pharmacist’s worklist shows the prescription with its item count. Exercised twice — once at the API level with bounded assertions, once through the browser — screenshots ui-rx-sent.png and ui-pharmacy-worklist.png.</w:t>
      </w:r>
    </w:p>
    <w:p>
      <w:pPr>
        <w:pStyle w:val="Heading1"/>
        <w:spacing w:after="200" w:before="320"/>
      </w:pPr>
      <w:r>
        <w:rPr>
          <w:rFonts w:ascii="Calibri" w:cs="Calibri" w:eastAsia="Calibri" w:hAnsi="Calibri"/>
        </w:rPr>
        <w:t xml:space="preserve">5. Authored But Not Yet Executed — and the Gate for Each</w:t>
      </w:r>
    </w:p>
    <w:p>
      <w:pPr>
        <w:pStyle w:val="Heading2"/>
        <w:spacing w:after="160" w:before="260"/>
      </w:pPr>
      <w:r>
        <w:rPr>
          <w:rFonts w:ascii="Calibri" w:cs="Calibri" w:eastAsia="Calibri" w:hAnsi="Calibri"/>
        </w:rPr>
        <w:t xml:space="preserve">5.1 Spring assembly suite (runs in CI)</w:t>
      </w:r>
    </w:p>
    <w:p>
      <w:pPr>
        <w:spacing w:after="160" w:line="276"/>
      </w:pPr>
      <w:r>
        <w:rPr>
          <w:rFonts w:ascii="Calibri" w:cs="Calibri" w:eastAsia="Calibri" w:hAnsi="Calibri"/>
          <w:b w:val="false"/>
          <w:bCs w:val="false"/>
          <w:i w:val="false"/>
          <w:iCs w:val="false"/>
          <w:sz w:val="22"/>
          <w:szCs w:val="22"/>
        </w:rPr>
        <w:t xml:space="preserve">The following JUnit tests ship with the code and are wired into CI; they could not be executed in the development sandbox because the Spring dependency graph was unavailable there. The first green CI run is the formal pass; a red run is a genuine finding to be fixed, not explained away.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Test class</w:t>
            </w:r>
          </w:p>
        </w:tc>
        <w:tc>
          <w:tcPr>
            <w:tcW w:type="dxa" w:w="6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What it proves when green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SlotGeneratorTest, PolicyEngineTest, FefoAllocatorTest, BillingMathTest</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pure-core invariants of §4.1 hold under Gradle’s compilation and JUnit’s execution (a re-run of the harness logic in the standard toolchain)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BookingRaceIT</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concurrent bookings of one slot: exactly one succeeds, the loser receives 409 via the database unique constraint (FR-APT-02) — against a real PostgreSQL service container</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ClinicalPharmacyIT</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Consultation lifecycle (start from queue, draft, sign requires diagnosis, signed rows immutable, author-only addendums) and FEFO dispensing with row locks against real data</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BillingIT</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idempotent charge posting; void blocked after captured money; the stubbed gateway proves the callback alone never credits — crediting requires verification success plus exact amount; callback replay is idempotent; vendor-shaped callback body resolves through the adapter’s reference extraction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OutboxIT</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outbox state machine against real PostgreSQL: success → sent; transport failure → backoff then terminal failed after 8 attempts; unconfigured mail → skipped without breaking business flows; enqueue idempotent per (template, ref_id)</w:t>
            </w:r>
          </w:p>
        </w:tc>
      </w:tr>
    </w:tbl>
    <w:p>
      <w:pPr>
        <w:pStyle w:val="Heading2"/>
        <w:spacing w:after="160" w:before="260"/>
      </w:pPr>
      <w:r>
        <w:rPr>
          <w:rFonts w:ascii="Calibri" w:cs="Calibri" w:eastAsia="Calibri" w:hAnsi="Calibri"/>
        </w:rPr>
        <w:t xml:space="preserve">5.2 ITC Transflow live integration (needs merchant credentials)</w:t>
      </w:r>
    </w:p>
    <w:p>
      <w:pPr>
        <w:spacing w:after="160" w:line="276"/>
      </w:pPr>
      <w:r>
        <w:rPr>
          <w:rFonts w:ascii="Calibri" w:cs="Calibri" w:eastAsia="Calibri" w:hAnsi="Calibri"/>
          <w:b w:val="false"/>
          <w:bCs w:val="false"/>
          <w:i w:val="false"/>
          <w:iCs w:val="false"/>
          <w:sz w:val="22"/>
          <w:szCs w:val="22"/>
        </w:rPr>
        <w:t xml:space="preserve">The adapter’s response mapping is verified against the vendor’s documented samples (§4.1), but its HTTP layer has not sent a real request. Gate: one UAT transaction — mobile money at GHS 0.10 with any registered number, or the vendor’s success test card (PAN 5123450000000008, CVV 100, expiry 01/39) — exercising init → hosted checkout → callback → server-side verification → invoice credited. The failure card (3528000000000007 / 101 / 05-39) then proves the fail-closed path end to end.</w:t>
      </w:r>
    </w:p>
    <w:p>
      <w:pPr>
        <w:pStyle w:val="Heading2"/>
        <w:spacing w:after="160" w:before="260"/>
      </w:pPr>
      <w:r>
        <w:rPr>
          <w:rFonts w:ascii="Calibri" w:cs="Calibri" w:eastAsia="Calibri" w:hAnsi="Calibri"/>
        </w:rPr>
        <w:t xml:space="preserve">5.3 Deployment smoke</w:t>
      </w:r>
    </w:p>
    <w:p>
      <w:pPr>
        <w:spacing w:after="160" w:line="276"/>
      </w:pPr>
      <w:r>
        <w:rPr>
          <w:rFonts w:ascii="Calibri" w:cs="Calibri" w:eastAsia="Calibri" w:hAnsi="Calibri"/>
          <w:b w:val="false"/>
          <w:bCs w:val="false"/>
          <w:i w:val="false"/>
          <w:iCs w:val="false"/>
          <w:sz w:val="22"/>
          <w:szCs w:val="22"/>
        </w:rPr>
        <w:t xml:space="preserve">DEPLOYMENT.md carries a first-deploy checklist that doubles as the UAT script for the assessed deployment (health check, per-role walkthrough, FEFO visibility, payment round-trip, missed-callback recovery via the verify endpoint).</w:t>
      </w:r>
    </w:p>
    <w:p>
      <w:pPr>
        <w:pStyle w:val="Heading1"/>
        <w:spacing w:after="200" w:before="320"/>
      </w:pPr>
      <w:r>
        <w:rPr>
          <w:rFonts w:ascii="Calibri" w:cs="Calibri" w:eastAsia="Calibri" w:hAnsi="Calibri"/>
        </w:rPr>
        <w:t xml:space="preserve">6. Defects Found by Testing During Development</w:t>
      </w:r>
    </w:p>
    <w:p>
      <w:pPr>
        <w:spacing w:after="160" w:line="276"/>
      </w:pPr>
      <w:r>
        <w:rPr>
          <w:rFonts w:ascii="Calibri" w:cs="Calibri" w:eastAsia="Calibri" w:hAnsi="Calibri"/>
          <w:b w:val="false"/>
          <w:bCs w:val="false"/>
          <w:i w:val="false"/>
          <w:iCs w:val="false"/>
          <w:sz w:val="22"/>
          <w:szCs w:val="22"/>
        </w:rPr>
        <w:t xml:space="preserve">Testing earned its keep. Representative findings, all fixed and re-verified: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Found by</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Defect</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Browser E2E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After sign-in the dashboard redirected straight back to /login: the UI depended on a profile endpoint (/api/me/profile) and directory endpoints that did not exist in the backend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Endpoints added to both backends (profile, departments, doctors, patient search, patient appointments, consultation detail, billables); E2E re-run green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vendor document names the checkout link "paymentLink" in its parameter table but "checkoutUrl" in its sample response — an integration written to either one alone can break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accepts both keys; discrepancy documented in Design v1.4 §6.3 and raised for vendor clarification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 required patient demographics, but billing_clerk had no patient.read_profile entry — the deny-by-default matrix correctly blocked the UI</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Deliberate matrix extension: billing_clerk granted ANY on patient.read_profile, recorded in the matrix comment and design change record</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Node race test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booking flow checked slot availability then inserted (check-then-act), losing the race under concurrency</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Rewritten to rely on the database unique constraint with 409 on violation; race test passes; same pattern carried into the Java service (BookingRaceIT)</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Seed execution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First seed draft targeted a drug_batches table; the schema’s actual table is stock_batches — caught immediately because the seed was executed, not reviewed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Corrected against the real schema; counts and idempotency verified (§4.3)</w:t>
            </w:r>
          </w:p>
        </w:tc>
      </w:tr>
    </w:tbl>
    <w:p>
      <w:pPr>
        <w:pStyle w:val="Heading1"/>
        <w:spacing w:after="200" w:before="320"/>
      </w:pPr>
      <w:r>
        <w:rPr>
          <w:rFonts w:ascii="Calibri" w:cs="Calibri" w:eastAsia="Calibri" w:hAnsi="Calibri"/>
        </w:rPr>
        <w:t xml:space="preserve">7. Requirements Traceability (evidence per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Verification evidence</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 bcrypt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Node suite (hash format asserted); seed uses cost-12 bcrypt; Spring uses BCryptPasswordEncoder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 re-check</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 lockout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Node suite: 5 failures lock the account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 no double booking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Node race test executed; BookingRaceIT in CI</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 queue order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Node suite; browser queue page renders arrival order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 sign-and-lock</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DB trigger exercised by SQL; ClinicalPharmacyIT in CI; UI hides editing after sign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 addendums append-only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Author-only addendums in harness scope + IT; UI provides no edit path</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 FEFO</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 8/8; seed ships split-expiry batches so the demo shows the early batch drawn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 stock never negative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constraint + guarded decrement exercised on real PG</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 append-only items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harness + BillingIT; no update/delete endpoints exist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online payment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14/14 against vendor samples; live UAT transaction pending (§5.2)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Partially — gated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 void with reason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(management-only); BillingIT (blocked after captured money); UI requires reason text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 verify-before-credit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PaymentVerifier 13/13 fail-closed; BillingIT proves callback alone never credits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 management never reads EMR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explicit checks; no UI path exists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 ward scoping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(nurse ward scope)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 grants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(family requires grant); endpoints/UI scheduled M4 (TD-12)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Core executed; feature deferred</w:t>
            </w:r>
          </w:p>
        </w:tc>
      </w:tr>
    </w:tbl>
    <w:p>
      <w:pPr>
        <w:pStyle w:val="Heading1"/>
        <w:spacing w:after="200" w:before="320"/>
      </w:pPr>
      <w:r>
        <w:rPr>
          <w:rFonts w:ascii="Calibri" w:cs="Calibri" w:eastAsia="Calibri" w:hAnsi="Calibri"/>
        </w:rPr>
        <w:t xml:space="preserve">8. Acceptance Position and Residual Risk</w:t>
      </w:r>
    </w:p>
    <w:p>
      <w:pPr>
        <w:spacing w:after="160" w:line="276"/>
      </w:pPr>
      <w:r>
        <w:rPr>
          <w:rFonts w:ascii="Calibri" w:cs="Calibri" w:eastAsia="Calibri" w:hAnsi="Calibri"/>
          <w:b w:val="false"/>
          <w:bCs w:val="false"/>
          <w:i w:val="false"/>
          <w:iCs w:val="false"/>
          <w:sz w:val="22"/>
          <w:szCs w:val="22"/>
        </w:rPr>
        <w:t xml:space="preserve">Every business rule classified as high-risk in the Design Document has executed, passing verification evidence behind it. The two residual risks are honestly stated: (1) the Spring assembly layer is verified by construction and by its CI suite rather than by local execution — risk retired at the first green CI run; (2) the payment gateway’s transport behaviour is verified against vendor documentation rather than the live UAT system — risk retired by one GHS 0.10 transaction. Neither risk touches the fail-closed crediting logic, which cannot mark an invoice paid without independent verification succeeding with an exact amount match.</w:t>
      </w:r>
    </w:p>
    <w:p>
      <w:pPr>
        <w:spacing w:after="160" w:line="276"/>
      </w:pPr>
      <w:r>
        <w:rPr>
          <w:rFonts w:ascii="Calibri" w:cs="Calibri" w:eastAsia="Calibri" w:hAnsi="Calibri"/>
          <w:b w:val="false"/>
          <w:bCs w:val="false"/>
          <w:i w:val="false"/>
          <w:iCs w:val="false"/>
          <w:sz w:val="22"/>
          <w:szCs w:val="22"/>
        </w:rPr>
        <w:t xml:space="preserve">Recommendation: accept v0.9 for assessed deployment once CI is green, and run the §5.2 UAT transaction before demonstrating online payment.</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Testing Report v1.2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2026-08-15T01:30:45.617Z</dcterms:created>
  <dcterms:modified xsi:type="dcterms:W3CDTF">2026-08-15T01:30:45.617Z</dcterms:modified>
</cp:coreProperties>
</file>

<file path=docProps/custom.xml><?xml version="1.0" encoding="utf-8"?>
<Properties xmlns="http://schemas.openxmlformats.org/officeDocument/2006/custom-properties" xmlns:vt="http://schemas.openxmlformats.org/officeDocument/2006/docPropsVTypes"/>
</file>