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pPr>
        <w:spacing w:before="2400"/>
      </w:pPr>
    </w:p>
    <w:p>
      <w:pPr>
        <w:spacing w:after="240"/>
        <w:jc w:val="center"/>
      </w:pPr>
      <w:r>
        <w:rPr>
          <w:rFonts w:ascii="Calibri" w:cs="Calibri" w:eastAsia="Calibri" w:hAnsi="Calibri"/>
          <w:b/>
          <w:bCs/>
          <w:color w:val="1F3864"/>
          <w:sz w:val="52"/>
          <w:szCs w:val="52"/>
        </w:rPr>
        <w:t xml:space="preserve">TECHNICAL DEBT LEDGER</w:t>
      </w:r>
    </w:p>
    <w:p>
      <w:pPr>
        <w:spacing w:after="200"/>
        <w:jc w:val="center"/>
      </w:pPr>
      <w:r>
        <w:rPr>
          <w:rFonts w:ascii="Calibri" w:cs="Calibri" w:eastAsia="Calibri" w:hAnsi="Calibri"/>
          <w:b/>
          <w:bCs/>
          <w:sz w:val="34"/>
          <w:szCs w:val="34"/>
        </w:rPr>
        <w:t xml:space="preserve">Consolidated Register with Cause, Impact and Resolution</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Version 1.5  ·  August 2026</w:t>
      </w:r>
    </w:p>
    <w:p>
      <w:pPr>
        <w:spacing w:after="160"/>
        <w:jc w:val="center"/>
      </w:pPr>
      <w:r>
        <w:rPr>
          <w:rFonts w:ascii="Calibri" w:cs="Calibri" w:eastAsia="Calibri" w:hAnsi="Calibri"/>
          <w:i/>
          <w:iCs/>
          <w:sz w:val="24"/>
          <w:szCs w:val="24"/>
        </w:rPr>
        <w:t>Companion documents: SRS v1.4 · Design v1.8 · Testing Report v1.6</w:t>
      </w:r>
    </w:p>
    <w:p>
      <w:pPr>
        <w:jc w:val="center"/>
      </w:pPr>
      <w:r>
        <w:rPr>
          <w:rFonts w:ascii="Calibri" w:cs="Calibri" w:eastAsia="Calibri" w:hAnsi="Calibri"/>
          <w:sz w:val="24"/>
          <w:szCs w:val="24"/>
        </w:rPr>
        <w:t>Prepared by: Kelvin Addae Kwarteng  ·  Student ID 22427564</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Purpose and Method</w:t>
      </w:r>
    </w:p>
    <w:p>
      <w:pPr>
        <w:spacing w:after="160" w:line="276"/>
      </w:pPr>
      <w:r>
        <w:rPr>
          <w:rFonts w:ascii="Calibri" w:cs="Calibri" w:eastAsia="Calibri" w:hAnsi="Calibri"/>
          <w:b w:val="false"/>
          <w:bCs w:val="false"/>
          <w:i w:val="false"/>
          <w:iCs w:val="false"/>
          <w:sz w:val="22"/>
          <w:szCs w:val="22"/>
        </w:rPr>
        <w:t xml:space="preserve">This ledger consolidates every known shortcut, deferral, and accepted imperfection in MediCore HMS v0.9 into one auditable register. An entry records what the debt is, why it was taken on (cause), what it costs while it exists (impact), how urgent repayment is (priority), the concrete resolution plan, and current status. Entries originate from the Design Document’s running TD table (TD-01…TD-05), from development discoveries, and from deliberate scope decisions; nothing is omitted for appearance’s sake — a debt ledger that hides debt is itself technical debt.</w:t>
      </w:r>
    </w:p>
    <w:p>
      <w:pPr>
        <w:spacing w:after="160" w:line="276"/>
      </w:pPr>
      <w:r>
        <w:rPr>
          <w:rFonts w:ascii="Calibri" w:cs="Calibri" w:eastAsia="Calibri" w:hAnsi="Calibri"/>
          <w:b w:val="false"/>
          <w:bCs w:val="false"/>
          <w:i w:val="false"/>
          <w:iCs w:val="false"/>
          <w:sz w:val="22"/>
          <w:szCs w:val="22"/>
        </w:rPr>
        <w:t xml:space="preserve">Priority scale: High = repay before or immediately after production use; Medium = schedule into the next milestone; Low = repay opportunistically; Accepted = a considered trade-off, revisit only if load or requirements change.</w:t>
      </w:r>
    </w:p>
    <w:p>
      <w:pPr>
        <w:pStyle w:val="Heading1"/>
        <w:spacing w:after="200" w:before="320"/>
      </w:pPr>
      <w:r>
        <w:rPr>
          <w:rFonts w:ascii="Calibri" w:cs="Calibri" w:eastAsia="Calibri" w:hAnsi="Calibri"/>
        </w:rPr>
        <w:t xml:space="preserve">2. Active Debt Register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300"/>
        <w:gridCol w:w="2300"/>
        <w:gridCol w:w="1500"/>
      </w:tblGrid>
      <w:tr>
        <w:trPr>
          <w:tblHeader/>
        </w:trPr>
        <w:tc>
          <w:tcPr>
            <w:tcW w:type="dxa" w:w="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Item and cause</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Impact while open</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Resolution plan</w:t>
            </w:r>
          </w:p>
        </w:tc>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 / status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TD-01</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Slot materialisation runs synchronously inside the schedule-save request (design decision DD-04, chosen for transactional simplicity)</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Saving a schedule spanning many weeks blocks the request; degrades as doctors and the booking horizon grow</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Move generation to an async job with idempotent regeneration (the UNIQUE(doctor_id, starts_at) guard already makes re-runs safe)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TD-03</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Bed-day charge accrual computed by a daily scheduled task (Phase-2 module)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missed run under free-tier sleep delays charges; discharge-time recomputation is the safety net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Accrue on read: compute from admission timestamps whenever a bill is viewed, keeping the task as a cache warmer</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 (module lands M5)</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TD-05</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relationship resolvers query live tables on every request (no caching)</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One additional indexed query per clinical request; negligible at reference load, hot at scale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Introduce a short-TTL per-request cache in JdbcRelationshipResolver once load testing justifies 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Accepted for v1</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TD-06</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Gradle wrapper JAR is not committed (binary could not be downloaded in the build sandbox)</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fresh clone cannot run ./gradlew until "gradle wrapper" is executed once or the Docker build is used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Commit the wrapper JAR from the first developer machine or CI artifact; CI and Dockerfile already build without 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TD-07</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Spring assembly layer (wiring, JPA, filters) was authored without local execution and is first verified in CI (dependency downloads blocked in the sandbox)</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Assembly-level mistakes (bean wiring, annotation misuse) surface at CI time, not development time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Closes automatically at the first green CI run; any red run is triaged as a defect with priority High</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closes at first green CI</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TD-11</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patient.register_walkin exists in the policy matrix with no endpoint or UI behind it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Reception cannot register walk-in patients (FR-PAT-02 deferred); self-registration is the only intake path</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Deliver endpoint + reception form in M4 alongside the front-desk improvements</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deferred to M4</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TD-12</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Family access grants: policy scope (GRANT) and tables are implemented and tested, but no management endpoints or UI exist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FR-FAM-01/03 deferred; family members cannot yet be granted portal access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M4 scope: grant CRUD endpoints (patient-owned, sys-admin override) plus a "My family access" page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deferred to M4</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TD-13</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reporting dashboards absent (aggregates-only reporting, AC-02-safe)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works from raw invoice lists; no occupancy/revenue/throughput views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M6 scope per the roadmap; the occupancy.aggregate and reports.aggregate policy actions are already reserved</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deferred to M6</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TD-14</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Web fonts use system stacks because build-time font downloads were unavailable (next/font removed)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Typography varies slightly across operating systems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Optionally self-host the display face as static assets; purely cosmetic</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Accepted</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TD-15</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verification matches amount but not currency (currency is implied by the single-currency GHS configuration)</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theoretical mismatch if the gateway ever settles in another currency would not be caught by the amount check alone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Extend VerificationResult with currency and add an equality check in PaymentVerifier when multi-currency becomes plausible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TD-16</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web container binds its API target at build time. Next resolves the /api/* rewrite (DD-02) into .next/routes-manifest.json during next build, so web/Dockerfile has to accept API_URL as a build ARG. Found on 15 Aug 2026 during containerisation: an API_URL supplied only at run time was ignored and the compiled-in localhost default was used instead.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One image per environment. Re-pointing the web tier at a different API host needs a rebuild and redeploy, not a variable change, and a wrong value surfaces late — every /api/* call 500s with ECONNREFUSED at run time rather than failing the build.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Accepted for v1 and documented (DEPLOYMENT.md §3.3 records the failure signature and a two-step smoke test). To make API_URL a true run-time value, the proxy hop would move to a Node-runtime catch-all route handler reading the variable per request — that restates DD-02’s mechanism and so requires a Design change record, not just a code edit.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Low · accepted for v1</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TD-17</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compose demo database shares one PostgreSQL volume with local MEDICORE_IT integration runs, so integration fixtures persist into the seeded demo data.</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demo directory accumulates synthetic rows (Race Doc, M2 Doc, M3Dept-*) alongside Dr. Abena Mensah, which is confusing in a walkthrough. No functional or security impact.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Point local IT runs at a separate database, as CI already does with medicore_java; until then docker compose down -v before a demo resets and re-seeds the volume (now noted in DEPLOYMENT.md §1).</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TD-18</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web tier is pinned to the Next.js 14.2 line. Railway's deployment scanner blocked the first deploy on next@14.2.15 (CVE-2025-55184, CVE-2025-67779, both HIGH); the patch to 14.2.35 clears both. A wider npm audit still reports the 14.x line as affected by a long advisory list whose only offered remedy is Next 16 — a major upgrade requiring React 19.</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Deployment-gating risk is resolved. The residual advisories concern features this application does not use: it has no next/image, no Server Actions, no middleware, no i18n routing and no Route Handlers — 17 client components and a single /api/* rewrite. The nested postcss 8.4.31 flagged inside Next runs at build time over first-party CSS only; no attacker-controlled stylesheet is ever parsed. Top-level postcss is already patched at 8.5.26.</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Upgrade to Next 16 with React 19 after the assessed demo, behind the CI build gate and the browser E2E evidence in docs/evidence. Interim control: the monthly npm audit review already required by the Maintenance Plan §7.</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Medium · accepted for the demo, upgrade scheduled</w:t>
            </w:r>
          </w:p>
        </w:tc>
      </w:tr>
    </w:tbl>
    <w:p>
      <w:pPr>
        <w:pStyle w:val="Heading1"/>
        <w:spacing w:after="200" w:before="320"/>
      </w:pPr>
      <w:r>
        <w:rPr>
          <w:rFonts w:ascii="Calibri" w:cs="Calibri" w:eastAsia="Calibri" w:hAnsi="Calibri"/>
        </w:rPr>
        <w:t xml:space="preserve">3. Retired Debt (kept for the audit trail)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900"/>
      </w:tblGrid>
      <w:tr>
        <w:trPr>
          <w:tblHeader/>
        </w:trPr>
        <w:tc>
          <w:tcPr>
            <w:tcW w:type="dxa" w:w="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4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Item</w:t>
            </w:r>
          </w:p>
        </w:tc>
        <w:tc>
          <w:tcPr>
            <w:tcW w:type="dxa" w:w="3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How it was retired</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TD-04</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callback replay protection relied on verify-call idempotency rather than a nonce store</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Reduced to negligible: BillingIT proves a replayed callback for a paid payment is ignored and can never double-credit; remaining cost is a redundant status query on replays for still-pending payments. Optional future dedupe by uniwalletTransactionId noted in Design v1.4.</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OI-5</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entire payment integration was designed against an unknown vendor API (open issue held from SRS v1.0)</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Vendor API Definition received Aug 2026; adapter implemented and its response mapping verified against the vendor’s own sample payloads; SRS v1.4 and Design v1.4 updated; the port design (DD-07) absorbed the vendor without touching billing logic — the hedge paid off.</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TD-02 + TD-08</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Email notifications unimplemented (TD-08) and, as designed, would have used a drop-on-restart in-process queue (TD-02)</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together on 15 Aug 2026 by DD-08: a durable notification_outbox table (Flyway V5) with idempotent same-transaction enqueue, a scheduled worker with SKIP LOCKED claiming and capped exponential backoff, behind a vendor-neutral MailPort/SMTP adapter. Producers: booking confirmation, cancellation, 24h reminders, payment receipts. Evidence: 11/11 template/backoff harness, dedupe and state machine proven on PostgreSQL, OutboxIT in CI. Remaining gate: one real SMTP delivery once credentials are configured (env-only change).</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TD-09</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 UI form for writing prescriptions (backend endpoint existed; the consultation screen did not expose it)</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a Prescription panel (formulary picker, dose/frequency/quantity rows, multi-item) was added to the consultation page for the authoring doctor. Verified by production build plus a browser end-to-end run: doctor prescribes through the form, "Prescription sent to pharmacy" confirms, and the item appears on the pharmacist’s worklist (screenshots ui-rx-sent.png, ui-pharmacy-worklist.png; Testing Report v1.1 §4.4).</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UI screens depended on backend read endpoints that did not exist (found by browser E2E)</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Directory, profile, patient-appointments, consultation-detail and billables endpoints added to both backends; E2E re-run green (Testing Report §6).</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TD-10</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queue API row did not carry the appointment id, so the UI resolved it via a patient search plus an appointment-list round trip before starting a consultation. Recorded at Low priority on the assumption that the cost was two extra requests; that assessment was wrong. GET /api/patients/search authorises patient.read_profile with PolicyContext.none(), and a doctor's scope for that action is RELATIONSHIP, which PolicyEngine denies outright without a patient in context. The lookup therefore returned 403 for the one role that needed it, and the queue page swallowed the denial in a .catch(() =&gt; null), reporting the invented message “Could not resolve the checked-in appointment”. Start consultation was inoperable for every doctor: demo-gating, not Low.</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on 15 Aug 2026 by the resolution this entry already prescribed. SchedulingService.departmentQueue now projects a.appointment_id and a.patient_id (FR-APT-08), and web/app/queue/page.tsx posts the row's appointment id straight to /api/consultations/start — both lookup round trips and the swallowed-error path are gone, so a genuine denial now surfaces the backend's own message. The relationship predicate itself was never at fault: reproduced against the Railway deployment on 15 Aug 2026, doctor@medicore.test received 403 on /api/patients/search but 200 on /api/appointments/patient/{id} for the same queued patient, whose appointment is checked_in under that doctor — the same predicate emr.write applies at /consultations/start.</w:t>
            </w:r>
          </w:p>
        </w:tc>
      </w:tr>
    </w:tbl>
    <w:p>
      <w:pPr>
        <w:pStyle w:val="Heading1"/>
        <w:spacing w:after="200" w:before="320"/>
      </w:pPr>
      <w:r>
        <w:rPr>
          <w:rFonts w:ascii="Calibri" w:cs="Calibri" w:eastAsia="Calibri" w:hAnsi="Calibri"/>
        </w:rPr>
        <w:t xml:space="preserve">4. Reading the Ledger</w:t>
      </w:r>
    </w:p>
    <w:p>
      <w:pPr>
        <w:pStyle w:val="ListParagraph"/>
        <w:numPr>
          <w:ilvl w:val="0"/>
          <w:numId w:val="2"/>
        </w:numPr>
        <w:spacing w:after="100" w:line="276"/>
      </w:pPr>
      <w:r>
        <w:rPr>
          <w:rFonts w:ascii="Calibri" w:cs="Calibri" w:eastAsia="Calibri" w:hAnsi="Calibri"/>
          <w:sz w:val="22"/>
          <w:szCs w:val="22"/>
        </w:rPr>
        <w:t xml:space="preserve">Concentration: most open items are deliberate scope deferrals to M4–M6 (TD-11, TD-12, TD-13) or environment-imposed process debt that self-retires (TD-06, TD-07) — not design flaws in shipped behaviour.</w:t>
      </w:r>
    </w:p>
    <w:p>
      <w:pPr>
        <w:pStyle w:val="ListParagraph"/>
        <w:numPr>
          <w:ilvl w:val="0"/>
          <w:numId w:val="2"/>
        </w:numPr>
        <w:spacing w:after="100" w:line="276"/>
      </w:pPr>
      <w:r>
        <w:rPr>
          <w:rFonts w:ascii="Calibri" w:cs="Calibri" w:eastAsia="Calibri" w:hAnsi="Calibri"/>
          <w:sz w:val="22"/>
          <w:szCs w:val="22"/>
        </w:rPr>
        <w:t xml:space="preserve">No open item now gates the demo: TD-09 (prescription UI) and TD-08/TD-02 (notifications with durable outbox) were closed and verified on 15 Aug 2026, and TD-10 was closed the same day — it had been mis-scored as Low when in fact it left the doctor's Start consultation action returning 403, which is the reminder that an entry's priority is only as good as the reproduction behind it. v0.9 is feature-complete; the open register is deferral and scale work.</w:t>
      </w:r>
    </w:p>
    <w:p>
      <w:pPr>
        <w:pStyle w:val="ListParagraph"/>
        <w:numPr>
          <w:ilvl w:val="0"/>
          <w:numId w:val="2"/>
        </w:numPr>
        <w:spacing w:after="100" w:line="276"/>
      </w:pPr>
      <w:r>
        <w:rPr>
          <w:rFonts w:ascii="Calibri" w:cs="Calibri" w:eastAsia="Calibri" w:hAnsi="Calibri"/>
          <w:sz w:val="22"/>
          <w:szCs w:val="22"/>
        </w:rPr>
        <w:t xml:space="preserve">No open item weakens the fail-closed payment path, the access-control matrix, sign-and-lock, or stock integrity — the four properties the Testing Report classifies as high-risk.</w:t>
      </w:r>
    </w:p>
    <w:p>
      <w:pPr>
        <w:pStyle w:val="ListParagraph"/>
        <w:numPr>
          <w:ilvl w:val="0"/>
          <w:numId w:val="2"/>
        </w:numPr>
        <w:spacing w:after="100" w:line="276"/>
      </w:pPr>
      <w:r>
        <w:rPr>
          <w:rFonts w:ascii="Calibri" w:cs="Calibri" w:eastAsia="Calibri" w:hAnsi="Calibri"/>
          <w:sz w:val="22"/>
          <w:szCs w:val="22"/>
        </w:rPr>
        <w:t>Deployment: the system ships as two containers — web and medicore-backend-server — against one PostgreSQL. The Node.js Milestone 1 reference implementation was retired in Design v1.8; it was never deployed, and the authentication evidence it carried moved to AuthIT in the Java suite, which exposed and fixed an unenforced account lockout on the way (Testing Report v1.6 §6). The debt recorded here (TD-16, TD-17) remains packaging-level only and touches no functional or non-functional requirement.</w:t>
      </w:r>
    </w:p>
    <w:p>
      <w:pPr>
        <w:pStyle w:val="ListParagraph"/>
        <w:numPr>
          <w:ilvl w:val="0"/>
          <w:numId w:val="2"/>
        </w:numPr>
        <w:spacing w:after="100" w:line="276"/>
      </w:pPr>
      <w:r>
        <w:rPr>
          <w:rFonts w:ascii="Calibri" w:cs="Calibri" w:eastAsia="Calibri" w:hAnsi="Calibri"/>
          <w:sz w:val="22"/>
          <w:szCs w:val="22"/>
        </w:rPr>
        <w:t xml:space="preserve">Maintenance ownership: this ledger is reviewed at every milestone close per the Maintenance &amp; Evolution Plan §2; new debt must enter with all five fields completed.</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Technical Debt Ledger v1.4  ·  Kelvin Addae Kwarteng (22427564)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2026-08-15T01:30:02.132Z</dcterms:created>
  <dcterms:modified xsi:type="dcterms:W3CDTF">2026-08-15T01:30:02.132Z</dcterms:modified>
  <dc:title>Technical Debt Ledger — MediCore HMS</dc:title>
</cp:coreProperties>
</file>

<file path=docProps/custom.xml><?xml version="1.0" encoding="utf-8"?>
<Properties xmlns="http://schemas.openxmlformats.org/officeDocument/2006/custom-properties" xmlns:vt="http://schemas.openxmlformats.org/officeDocument/2006/docPropsVTypes"/>
</file>