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Thor Whalen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Director of Machine Learning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Since year 2000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none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Python, C, Matlab, R, Java, VBA, Basic, Pascal, Lisp</w:t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Independent machine learning consultant and trainer since year 2000. Worked at Sanoma (Media), Easyvoyage (Fare comparator), Dotdotdot (Mobile Reader App), First Affiliation (Internet Marketing)</w:t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</w:rPr>
      </w:pPr>
      <w:bookmarkStart w:colFirst="0" w:colLast="0" w:name="_4v0xy31hn54b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3xbi9zuovy8n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English, French, Italian, German</w:t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kgeabb3hfaa5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Mathematics Ph.D.  Computer Science Masters</w:t>
      </w:r>
    </w:p>
    <w:p w:rsidR="00000000" w:rsidDel="00000000" w:rsidP="00000000" w:rsidRDefault="00000000" w:rsidRPr="00000000" w14:paraId="00000014">
      <w:pPr>
        <w:pStyle w:val="Heading1"/>
        <w:rPr>
          <w:rFonts w:ascii="Georgia" w:cs="Georgia" w:eastAsia="Georgia" w:hAnsi="Georgia"/>
        </w:rPr>
      </w:pPr>
      <w:bookmarkStart w:colFirst="0" w:colLast="0" w:name="_u2shd55ms56e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2024-03-20T11:08:23Z</dcterms:modified>
  <dc:creator/>
  <dc:description/>
  <dc:identifier/>
  <dc:language/>
  <dc:subject/>
</cp:coreProperties>
</file>