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Perspective Post Mortem</w:t>
      </w:r>
    </w:p>
    <w:p>
      <w:pPr>
        <w:spacing w:after="60"/>
      </w:pPr>
      <w:r>
        <w:t>Google Gemini and the Dear Sydney Advertisement</w:t>
      </w:r>
    </w:p>
    <w:p>
      <w:pPr>
        <w:spacing w:after="180"/>
      </w:pPr>
      <w:r>
        <w:t>Sai Kishore Addala   AIML 510   Indiana Wesleyan University</w:t>
      </w:r>
    </w:p>
    <w:p>
      <w:pPr>
        <w:pStyle w:val="Heading1"/>
      </w:pPr>
      <w:r>
        <w:t>Product and failure</w:t>
      </w:r>
    </w:p>
    <w:p>
      <w:r>
        <w:t>Google’s 2024 “Dear Sydney” advertisement for Gemini illustrates why customer empowerment and authentic expression belong in responsible AI governance. I recommend that HarborTrust Bank extend its existing framework to evaluate whether AI helps customers understand and act for themselves while preserving honest access to people.</w:t>
      </w:r>
    </w:p>
    <w:p>
      <w:r>
        <w:t>The Olympics advertisement showed a father asking Gemini to draft his daughter’s fan letter to athlete Sydney McLaughlin-Levrone. Viewers criticized the apparent substitution of generated writing for the child’s personal expression. Google removed the advertisement from its Olympics rotation following feedback (Anderson, 2024). Google explained that it intended Gemini to offer a starting point for writing (Song, 2024). The documented failure concerned the advertised use of Gemini and public trust, rather than evidence that Gemini malfunctioned or that every customer rejected it.</w:t>
      </w:r>
    </w:p>
    <w:p>
      <w:pPr>
        <w:pStyle w:val="Heading1"/>
      </w:pPr>
      <w:r>
        <w:t>Root causes from an RAI perspective</w:t>
      </w:r>
    </w:p>
    <w:p>
      <w:r>
        <w:t>My assessment is that the campaign confused a polished output with a valuable human experience. Writing a fan letter can help a child develop confidence and express admiration. Advertising AI as the route to getting that letter right risked implying that imperfect human expression was inadequate. This is an empowerment concern because convenience may displace opportunities to practice skills. It is an authenticity concern because the relationship depends on the sender’s own meaning.</w:t>
      </w:r>
    </w:p>
    <w:p>
      <w:r>
        <w:t>The advertisement openly showed AI use, so its central problem was broader than undisclosed automation. Disclosure alone cannot establish that a use case respects the people involved. Google said the advertisement tested well before airing (Anderson, 2024). The backlash suggests that favorable testing did not capture all relevant concerns. Without internal records, I cannot establish which stakeholders participated or whether specific review procedures failed. The defensible lesson is to evaluate relational effects alongside usability and marketing appeal.</w:t>
      </w:r>
    </w:p>
    <w:p>
      <w:pPr>
        <w:pStyle w:val="Heading1"/>
      </w:pPr>
      <w:r>
        <w:t>Biblical customer perspective</w:t>
      </w:r>
    </w:p>
    <w:p>
      <w:r>
        <w:t>Matthew 7:12 supports treating customers as we would wish to be treated. Philippians 2:3–4 directs attention toward others’ interests, while Romans 15:1–2 emphasizes helping others grow. James 3:17 associates wisdom with sincerity and impartiality (New International Version Bible, 2011). Applied to AI, these passages support assistance that strengthens understanding and respects a person’s voice. Efficiency should serve that purpose. Customers experiencing financial stress particularly need patient explanations and genuine opportunities to ask questions.</w:t>
      </w:r>
    </w:p>
    <w:p>
      <w:pPr>
        <w:pStyle w:val="Heading1"/>
      </w:pPr>
      <w:r>
        <w:t>Lessons and recommendations for HarborTrust Bank</w:t>
      </w:r>
    </w:p>
    <w:p>
      <w:r>
        <w:t>HarborTrust’s original framework includes fairness, transparency, privacy and security, reliability and safety, human oversight and accountability, and inclusion (Addala, 2026). I would add empowerment and authenticity while retaining those protections. Its customer-service assistant should explain account options in plain language and ask customers to confirm their understanding before consequential actions. Customers should be able to refuse AI assistance and reach an employee without repeated chatbot failures.</w:t>
      </w:r>
    </w:p>
    <w:p>
      <w:r>
        <w:t>For AI-supported credit and fraud decisions, the bank should provide understandable reasons and a human appeal route. Marketing and interface reviews should prohibit claims that imply a chatbot is a person or a licensed financial adviser. AI may help employees prepare messages, but employees should verify the facts and take responsibility for sensitive communications.</w:t>
      </w:r>
    </w:p>
    <w:p>
      <w:r>
        <w:t>Before launch, the product owner should test realistic scenarios with customers who have varied digital skills and accessibility needs. Compliance should approve disclosure and consent designs. Monthly reviews should assess customer comprehension, successful human transfers and unresolved complaints alongside cost savings. The bank should pause affected functions when serious deception or loss of customer control appears. The chart makes these proposed additions measurable.</w:t>
      </w:r>
    </w:p>
    <w:p>
      <w:pPr>
        <w:pStyle w:val="Heading1"/>
      </w:pPr>
      <w:r>
        <w:t>Updated HarborTrust RAI Framework</w:t>
      </w:r>
    </w:p>
    <w:p>
      <w:pPr>
        <w:spacing w:after="160"/>
      </w:pPr>
      <w:r>
        <w:t>Proposed customer safeguards extend the six principles from Assignment 1.3. Risk and Compliance should approve thresholds before launch.</w:t>
      </w:r>
    </w:p>
    <w:tbl>
      <w:tblPr>
        <w:tblW w:type="auto" w:w="0"/>
        <w:jc w:val="center"/>
        <w:tblLayout w:type="fixed"/>
        <w:tblLook w:firstColumn="1" w:firstRow="1" w:lastColumn="0" w:lastRow="0" w:noHBand="0" w:noVBand="1" w:val="04A0"/>
      </w:tblPr>
      <w:tblGrid>
        <w:gridCol w:w="2203"/>
        <w:gridCol w:w="3456"/>
        <w:gridCol w:w="4277"/>
      </w:tblGrid>
      <w:tr>
        <w:trPr>
          <w:cantSplit/>
          <w:tblHeader/>
        </w:trPr>
        <w:tc>
          <w:tcPr>
            <w:tcW w:type="dxa" w:w="2203"/>
            <w:vAlign w:val="center"/>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line="240" w:lineRule="auto" w:after="0"/>
            </w:pPr>
            <w:r>
              <w:rPr>
                <w:b/>
                <w:sz w:val="21"/>
              </w:rPr>
              <w:t>RAI factor</w:t>
            </w:r>
          </w:p>
        </w:tc>
        <w:tc>
          <w:tcPr>
            <w:tcW w:type="dxa" w:w="3456"/>
            <w:vAlign w:val="center"/>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line="240" w:lineRule="auto" w:after="0"/>
            </w:pPr>
            <w:r>
              <w:rPr>
                <w:b/>
                <w:sz w:val="21"/>
              </w:rPr>
              <w:t>Customer safeguard</w:t>
            </w:r>
          </w:p>
        </w:tc>
        <w:tc>
          <w:tcPr>
            <w:tcW w:type="dxa" w:w="4277"/>
            <w:vAlign w:val="center"/>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line="240" w:lineRule="auto" w:after="0"/>
            </w:pPr>
            <w:r>
              <w:rPr>
                <w:b/>
                <w:sz w:val="21"/>
              </w:rPr>
              <w:t>Owner and evidence</w:t>
            </w:r>
          </w:p>
        </w:tc>
      </w:tr>
      <w:tr>
        <w:trPr>
          <w:cantSplit/>
        </w:trPr>
        <w:tc>
          <w:tcPr>
            <w:tcW w:type="dxa" w:w="220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Empowerment</w:t>
              <w:br/>
              <w:t>New</w:t>
            </w:r>
          </w:p>
        </w:tc>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Explain choices and preserve refusal of AI.</w:t>
            </w:r>
          </w:p>
        </w:tc>
        <w:tc>
          <w:tcPr>
            <w:tcW w:type="dxa" w:w="427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Product owner: comprehension and opt-out success.</w:t>
            </w:r>
          </w:p>
        </w:tc>
      </w:tr>
      <w:tr>
        <w:trPr>
          <w:cantSplit/>
        </w:trPr>
        <w:tc>
          <w:tcPr>
            <w:tcW w:type="dxa" w:w="2203"/>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Authenticity</w:t>
              <w:br/>
              <w:t>New</w:t>
            </w:r>
          </w:p>
        </w:tc>
        <w:tc>
          <w:tcPr>
            <w:tcW w:type="dxa" w:w="3456"/>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Identify AI and avoid simulated human authority.</w:t>
            </w:r>
          </w:p>
        </w:tc>
        <w:tc>
          <w:tcPr>
            <w:tcW w:type="dxa" w:w="4277"/>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Compliance: disclosure understanding and deception complaints.</w:t>
            </w:r>
          </w:p>
        </w:tc>
      </w:tr>
      <w:tr>
        <w:trPr>
          <w:cantSplit/>
        </w:trPr>
        <w:tc>
          <w:tcPr>
            <w:tcW w:type="dxa" w:w="220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Fairness</w:t>
              <w:br/>
              <w:t>Retained</w:t>
            </w:r>
          </w:p>
        </w:tc>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Compare errors across customer groups.</w:t>
            </w:r>
          </w:p>
        </w:tc>
        <w:tc>
          <w:tcPr>
            <w:tcW w:type="dxa" w:w="427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Risk: unjustified outcome disparities.</w:t>
            </w:r>
          </w:p>
        </w:tc>
      </w:tr>
      <w:tr>
        <w:trPr>
          <w:cantSplit/>
        </w:trPr>
        <w:tc>
          <w:tcPr>
            <w:tcW w:type="dxa" w:w="2203"/>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Transparency</w:t>
              <w:br/>
              <w:t>Retained</w:t>
            </w:r>
          </w:p>
        </w:tc>
        <w:tc>
          <w:tcPr>
            <w:tcW w:type="dxa" w:w="3456"/>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Explain AI roles and decision reasons.</w:t>
            </w:r>
          </w:p>
        </w:tc>
        <w:tc>
          <w:tcPr>
            <w:tcW w:type="dxa" w:w="4277"/>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Compliance: complete notices and understandable reasons.</w:t>
            </w:r>
          </w:p>
        </w:tc>
      </w:tr>
      <w:tr>
        <w:trPr>
          <w:cantSplit/>
        </w:trPr>
        <w:tc>
          <w:tcPr>
            <w:tcW w:type="dxa" w:w="220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Privacy and security</w:t>
              <w:br/>
              <w:t>Retained</w:t>
            </w:r>
          </w:p>
        </w:tc>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Minimize data and obtain meaningful consent.</w:t>
            </w:r>
          </w:p>
        </w:tc>
        <w:tc>
          <w:tcPr>
            <w:tcW w:type="dxa" w:w="427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Security: incidents and consent failures.</w:t>
            </w:r>
          </w:p>
        </w:tc>
      </w:tr>
      <w:tr>
        <w:trPr>
          <w:cantSplit/>
        </w:trPr>
        <w:tc>
          <w:tcPr>
            <w:tcW w:type="dxa" w:w="2203"/>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Reliability and safety</w:t>
              <w:br/>
              <w:t>Retained</w:t>
            </w:r>
          </w:p>
        </w:tc>
        <w:tc>
          <w:tcPr>
            <w:tcW w:type="dxa" w:w="3456"/>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Verify advice and provide safe fallback.</w:t>
            </w:r>
          </w:p>
        </w:tc>
        <w:tc>
          <w:tcPr>
            <w:tcW w:type="dxa" w:w="4277"/>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Quality lead: harmful errors and fallback success.</w:t>
            </w:r>
          </w:p>
        </w:tc>
      </w:tr>
      <w:tr>
        <w:trPr>
          <w:cantSplit/>
        </w:trPr>
        <w:tc>
          <w:tcPr>
            <w:tcW w:type="dxa" w:w="220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Human oversight and accountability</w:t>
              <w:br/>
              <w:t>Retained</w:t>
            </w:r>
          </w:p>
        </w:tc>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Assign owners and preserve employee review.</w:t>
            </w:r>
          </w:p>
        </w:tc>
        <w:tc>
          <w:tcPr>
            <w:tcW w:type="dxa" w:w="427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line="240" w:lineRule="auto" w:after="0"/>
            </w:pPr>
            <w:r>
              <w:rPr>
                <w:b w:val="0"/>
                <w:sz w:val="21"/>
              </w:rPr>
              <w:t>Service lead: transfer success and appeal resolution.</w:t>
            </w:r>
          </w:p>
        </w:tc>
      </w:tr>
      <w:tr>
        <w:trPr>
          <w:cantSplit/>
        </w:trPr>
        <w:tc>
          <w:tcPr>
            <w:tcW w:type="dxa" w:w="2203"/>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Inclusion</w:t>
              <w:br/>
              <w:t>Retained</w:t>
            </w:r>
          </w:p>
        </w:tc>
        <w:tc>
          <w:tcPr>
            <w:tcW w:type="dxa" w:w="3456"/>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Offer accessible digital and human channels.</w:t>
            </w:r>
          </w:p>
        </w:tc>
        <w:tc>
          <w:tcPr>
            <w:tcW w:type="dxa" w:w="4277"/>
            <w:vAlign w:val="center"/>
            <w:tcBorders>
              <w:top w:val="single" w:sz="4" w:color="D9D9D9"/>
              <w:left w:val="single" w:sz="4" w:color="D9D9D9"/>
              <w:bottom w:val="single" w:sz="4" w:color="D9D9D9"/>
              <w:right w:val="single" w:sz="4" w:color="D9D9D9"/>
            </w:tcBorders>
            <w:shd w:fill="F4F6F8"/>
            <w:tcMar>
              <w:top w:w="85" w:type="dxa"/>
              <w:left w:w="85" w:type="dxa"/>
              <w:bottom w:w="85" w:type="dxa"/>
              <w:right w:w="85" w:type="dxa"/>
            </w:tcMar>
          </w:tcPr>
          <w:p>
            <w:pPr>
              <w:spacing w:line="240" w:lineRule="auto" w:after="0"/>
            </w:pPr>
            <w:r>
              <w:rPr>
                <w:b w:val="0"/>
                <w:sz w:val="21"/>
              </w:rPr>
              <w:t>Accessibility lead: test results across channels.</w:t>
            </w:r>
          </w:p>
        </w:tc>
      </w:tr>
    </w:tbl>
    <w:p>
      <w:pPr>
        <w:pStyle w:val="Heading1"/>
      </w:pPr>
      <w:r>
        <w:t>References</w:t>
      </w:r>
    </w:p>
    <w:p>
      <w:pPr>
        <w:spacing w:after="100" w:line="240" w:lineRule="auto"/>
        <w:ind w:left="317" w:hanging="317"/>
      </w:pPr>
      <w:r>
        <w:rPr>
          <w:sz w:val="20"/>
        </w:rPr>
        <w:t xml:space="preserve">Addala, S. K. (2026). </w:t>
      </w:r>
      <w:r>
        <w:rPr>
          <w:i/>
          <w:sz w:val="20"/>
        </w:rPr>
        <w:t>AI ethical principles: Responsible AI framework for HarborTrust Bank</w:t>
      </w:r>
      <w:r>
        <w:rPr>
          <w:sz w:val="20"/>
        </w:rPr>
        <w:t xml:space="preserve"> [Unpublished course presentation]. Indiana Wesleyan University.</w:t>
      </w:r>
    </w:p>
    <w:p>
      <w:pPr>
        <w:spacing w:after="100" w:line="240" w:lineRule="auto"/>
        <w:ind w:left="317" w:hanging="317"/>
      </w:pPr>
      <w:r>
        <w:rPr>
          <w:sz w:val="20"/>
        </w:rPr>
        <w:t xml:space="preserve">Anderson, N. (2024, August 2). </w:t>
      </w:r>
      <w:r>
        <w:rPr>
          <w:i/>
          <w:sz w:val="20"/>
        </w:rPr>
        <w:t>Google pulls its terrible pro-AI “Dear Sydney” ad after backlash.</w:t>
      </w:r>
      <w:r>
        <w:rPr>
          <w:sz w:val="20"/>
        </w:rPr>
        <w:t xml:space="preserve"> Ars Technica.</w:t>
        <w:br/>
        <w:t>https://arstechnica.com/culture/2024/08/google-pulls-its-terrible-pro-ai-dear-sydney-ad-after-backlash/</w:t>
      </w:r>
    </w:p>
    <w:p>
      <w:pPr>
        <w:spacing w:after="100" w:line="240" w:lineRule="auto"/>
        <w:ind w:left="317" w:hanging="317"/>
      </w:pPr>
      <w:r>
        <w:rPr>
          <w:sz w:val="20"/>
        </w:rPr>
      </w:r>
      <w:r>
        <w:rPr>
          <w:i/>
          <w:sz w:val="20"/>
        </w:rPr>
        <w:t>New International Version Bible.</w:t>
      </w:r>
      <w:r>
        <w:rPr>
          <w:sz w:val="20"/>
        </w:rPr>
        <w:t xml:space="preserve"> (2011). Bible Gateway.</w:t>
        <w:br/>
        <w:t>https://www.biblegateway.com/versions/New-International-Version-NIV-Bible/</w:t>
      </w:r>
    </w:p>
    <w:p>
      <w:pPr>
        <w:spacing w:after="100" w:line="240" w:lineRule="auto"/>
        <w:ind w:left="317" w:hanging="317"/>
      </w:pPr>
      <w:r>
        <w:rPr>
          <w:sz w:val="20"/>
        </w:rPr>
        <w:t xml:space="preserve">Song, V. (2024, August 2). </w:t>
      </w:r>
      <w:r>
        <w:rPr>
          <w:i/>
          <w:sz w:val="20"/>
        </w:rPr>
        <w:t>Google pulls Gemini AI ad from Olympics after backlash.</w:t>
      </w:r>
      <w:r>
        <w:rPr>
          <w:sz w:val="20"/>
        </w:rPr>
        <w:t xml:space="preserve"> The Verge.</w:t>
        <w:br/>
        <w:t>https://www.theverge.com/2024/8/2/24212078/google-gemini-olympics-ad-backlash</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Perspective Post Mortem</dc:title>
  <dc:subject/>
  <dc:creator>Sai Kishore Addala</dc:creator>
  <cp:keywords/>
  <dc:description>generated by python-docx</dc:description>
  <cp:lastModifiedBy/>
  <cp:revision>1</cp:revision>
  <dcterms:created xsi:type="dcterms:W3CDTF">2013-12-23T23:15:00Z</dcterms:created>
  <dcterms:modified xsi:type="dcterms:W3CDTF">2013-12-23T23:15:00Z</dcterms:modified>
  <cp:category/>
</cp:coreProperties>
</file>