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vAlign w:val="top"/>
          </w:tcPr>
          <w:p>
            <w:pPr>
              <w:spacing w:before="3440"/>
            </w:pPr>
          </w:p>
          <w:p>
            <w:pPr>
              <w:pBdr>
                <w:bottom w:val="single" w:color="D4875A" w:sz="6" w:space="8"/>
              </w:pBdr>
              <w:spacing w:after="500"/>
              <w:ind w:left="1200" w:right="800"/>
            </w:pPr>
            <w:r>
              <w:rPr>
                <w:rFonts w:ascii="Calibri" w:eastAsia="SimHei"/>
                <w:color w:val="D4875A"/>
                <w:spacing w:val="40"/>
                <w:sz w:val="18"/>
                <w:szCs w:val="18"/>
              </w:rPr>
              <w:t xml:space="preserve">P  H  A  S  E     7     D  E  L  I  V  E  R  A  B  L  E</w:t>
            </w:r>
          </w:p>
          <w:p>
            <w:pPr>
              <w:spacing w:after="100" w:line="920" w:lineRule="atLeast"/>
              <w:ind w:left="1200" w:right="800"/>
            </w:pPr>
            <w:r>
              <w:rPr>
                <w:rFonts w:ascii="Arial" w:eastAsia="SimHei"/>
                <w:b/>
                <w:bCs/>
                <w:color w:val="FFFFFF"/>
                <w:sz w:val="80"/>
                <w:szCs w:val="80"/>
              </w:rPr>
              <w:t xml:space="preserve">Phase 7 Report: Data</w:t>
            </w:r>
          </w:p>
          <w:p>
            <w:pPr>
              <w:spacing w:after="100" w:line="920" w:lineRule="atLeast"/>
              <w:ind w:left="1200" w:right="800"/>
            </w:pPr>
            <w:r>
              <w:rPr>
                <w:rFonts w:ascii="Arial" w:eastAsia="SimHei"/>
                <w:b/>
                <w:bCs/>
                <w:color w:val="FFFFFF"/>
                <w:sz w:val="80"/>
                <w:szCs w:val="80"/>
              </w:rPr>
              <w:t xml:space="preserve">Migration, Training</w:t>
            </w:r>
          </w:p>
          <w:p>
            <w:pPr>
              <w:spacing w:after="300" w:line="920" w:lineRule="atLeast"/>
              <w:ind w:left="1200" w:right="800"/>
            </w:pPr>
            <w:r>
              <w:rPr>
                <w:rFonts w:ascii="Arial" w:eastAsia="SimHei"/>
                <w:b/>
                <w:bCs/>
                <w:color w:val="FFFFFF"/>
                <w:sz w:val="80"/>
                <w:szCs w:val="80"/>
              </w:rPr>
              <w:t xml:space="preserve">and Pilot</w:t>
            </w:r>
          </w:p>
          <w:p>
            <w:pPr>
              <w:spacing w:after="800" w:line="340" w:lineRule="atLeast"/>
              <w:ind w:left="1200" w:right="800"/>
            </w:pPr>
            <w:r>
              <w:rPr>
                <w:rFonts w:ascii="Arial" w:eastAsia="Microsoft YaHei"/>
                <w:color w:val="B0B8C0"/>
                <w:sz w:val="24"/>
                <w:szCs w:val="24"/>
              </w:rPr>
              <w:t xml:space="preserve">Residential House Rent Control and Administration System - Gate G7 Package</w:t>
            </w:r>
          </w:p>
          <w:p>
            <w:pPr>
              <w:pBdr>
                <w:left w:val="single" w:color="D4875A" w:sz="8" w:space="12"/>
              </w:pBdr>
              <w:spacing w:after="80"/>
              <w:ind w:left="1400" w:right="800"/>
            </w:pPr>
            <w:r>
              <w:rPr>
                <w:rFonts w:ascii="Arial" w:eastAsia="Microsoft YaHei"/>
                <w:color w:val="A8B0B8"/>
                <w:sz w:val="24"/>
                <w:szCs w:val="24"/>
              </w:rPr>
              <w:t xml:space="preserve">Legal Basis: Proclamation 1320/2016 + Directive 7/2016 + Model Agreement</w:t>
            </w:r>
          </w:p>
          <w:p>
            <w:pPr>
              <w:pBdr>
                <w:left w:val="single" w:color="D4875A" w:sz="8" w:space="12"/>
              </w:pBdr>
              <w:spacing w:after="80"/>
              <w:ind w:left="1400" w:right="800"/>
            </w:pPr>
            <w:r>
              <w:rPr>
                <w:rFonts w:ascii="Arial" w:eastAsia="Microsoft YaHei"/>
                <w:color w:val="A8B0B8"/>
                <w:sz w:val="24"/>
                <w:szCs w:val="24"/>
              </w:rPr>
              <w:t xml:space="preserve">Contents: Migration Reconciliation, Training Records, Pilot Exit Report</w:t>
            </w:r>
          </w:p>
          <w:p>
            <w:pPr>
              <w:pBdr>
                <w:left w:val="single" w:color="D4875A" w:sz="8" w:space="12"/>
              </w:pBdr>
              <w:spacing w:after="80"/>
              <w:ind w:left="1400" w:right="800"/>
            </w:pPr>
            <w:r>
              <w:rPr>
                <w:rFonts w:ascii="Arial" w:eastAsia="Microsoft YaHei"/>
                <w:color w:val="A8B0B8"/>
                <w:sz w:val="24"/>
                <w:szCs w:val="24"/>
              </w:rPr>
              <w:t xml:space="preserve">Baseline: SRS v1.1 (CR-01 Trilingual: Amharic, English, Afan Oromo)</w:t>
            </w:r>
          </w:p>
          <w:p>
            <w:pPr>
              <w:pBdr>
                <w:left w:val="single" w:color="D4875A" w:sz="8" w:space="12"/>
              </w:pBdr>
              <w:spacing w:after="80"/>
              <w:ind w:left="1400" w:right="800"/>
            </w:pPr>
            <w:r>
              <w:rPr>
                <w:rFonts w:ascii="Arial" w:eastAsia="Microsoft YaHei"/>
                <w:color w:val="A8B0B8"/>
                <w:sz w:val="24"/>
                <w:szCs w:val="24"/>
              </w:rPr>
              <w:t xml:space="preserve">Gate: G7 - Confirm Pilot Exit and Authorize Go-Live Waves</w:t>
            </w:r>
          </w:p>
          <w:p>
            <w:pPr>
              <w:pBdr>
                <w:left w:val="single" w:color="D4875A" w:sz="8" w:space="12"/>
              </w:pBdr>
              <w:spacing w:after="80"/>
              <w:ind w:left="1400" w:right="800"/>
            </w:pPr>
            <w:r>
              <w:rPr>
                <w:rFonts w:ascii="Arial" w:eastAsia="Microsoft YaHei"/>
                <w:color w:val="A8B0B8"/>
                <w:sz w:val="24"/>
                <w:szCs w:val="24"/>
              </w:rPr>
              <w:t xml:space="preserve">Date: September 2026</w:t>
            </w:r>
          </w:p>
          <w:p>
            <w:pPr>
              <w:spacing w:before="3440"/>
            </w:pPr>
          </w:p>
          <w:p>
            <w:pPr>
              <w:pBdr>
                <w:top w:val="single" w:color="D4875A" w:sz="2" w:space="8"/>
              </w:pBdr>
              <w:spacing w:before="200"/>
              <w:ind w:left="1200" w:right="800"/>
            </w:pPr>
            <w:r>
              <w:rPr>
                <w:rFonts w:ascii="Arial"/>
                <w:color w:val="8A929A"/>
                <w:sz w:val="16"/>
                <w:szCs w:val="16"/>
              </w:rPr>
              <w:t xml:space="preserve">Rent Control and Administration System Project</w:t>
            </w:r>
            <w:r>
              <w:t xml:space="preserve">                                        </w:t>
            </w:r>
            <w:r>
              <w:rPr>
                <w:rFonts w:ascii="Arial"/>
                <w:color w:val="8A929A"/>
                <w:sz w:val="16"/>
                <w:szCs w:val="16"/>
              </w:rPr>
              <w:t xml:space="preserve">Phase 7 Report</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and Phase 7 Scope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Legacy Migration and the Article 8(2) Register</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Migration Reconciliation Against the Registry Books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Training by Role and Tier</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Pilot Operation and Measured Metrics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Gate G7 Exit Check</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Public Awareness Materials (Proc. Arts. 14, 16)</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8. Verification Evidence</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9. Open Items and Defect Log</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10. Gate G7 Decision Request and Transition to Phase 8</w:t>
            </w:r>
            <w:r>
              <w:tab/>
            </w:r>
            <w:r>
              <w:fldChar w:fldCharType="begin"/>
            </w:r>
            <w:r>
              <w:instrText xml:space="preserve"> PAGEREF _Toc100009 \h </w:instrText>
            </w:r>
            <w:r>
              <w:fldChar w:fldCharType="separate"/>
            </w:r>
            <w:r>
              <w:t>6</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A2330"/>
          <w:sz w:val="32"/>
          <w:szCs w:val="32"/>
        </w:rPr>
        <w:t xml:space="preserve">1. Introduction and Phase 7 Scope</w:t>
      </w:r>
      <w:bookmarkEnd w:id="100000"/>
    </w:p>
    <w:p>
      <w:pPr>
        <w:spacing w:after="120" w:line="312"/>
        <w:jc w:val="left"/>
      </w:pPr>
      <w:r>
        <w:rPr>
          <w:rFonts w:ascii="Times New Roman" w:eastAsia="SimSun"/>
          <w:color w:val="000000"/>
          <w:sz w:val="24"/>
          <w:szCs w:val="24"/>
        </w:rPr>
        <w:t xml:space="preserve">Phase 7 is where the platform stops meeting itself and meets legacy reality. The implementation plan defines its objective as bringing the existing stock of rental contracts into the system and proving live operation in real woredas before city-wide exposure, and it names four activities: migrating legacy contracts with the directive's legacy annotation and a reconciliation against the registry books, training by role and tier, running the pilot in agreed woredas with daily support while measuring registration cycle time, checklist compliance and replication correctness, and producing the public awareness materials that Articles 14 and 16 of the Proclamation require so citizens know what a valid contract looks like. The owner opened the phase at Gate G6 by signing the UAT certificate and authorizing migration and the pilot; the pilot configuration in the platform carries that authorization reference.</w:t>
      </w:r>
    </w:p>
    <w:p>
      <w:pPr>
        <w:spacing w:after="120" w:line="312"/>
        <w:jc w:val="left"/>
      </w:pPr>
      <w:r>
        <w:rPr>
          <w:rFonts w:ascii="Times New Roman" w:eastAsia="SimSun"/>
          <w:color w:val="000000"/>
          <w:sz w:val="24"/>
          <w:szCs w:val="24"/>
        </w:rPr>
        <w:t xml:space="preserve">The phase's legal centre of gravity is Article 7 of the Proclamation together with Article 8(2) of the Directive: pre-proclamation contracts must be presented at the woreda where the house is located within the thirty-day window plus three grace days, and they are registered as they stand - annotated as legacy, not forced through gates written for new contracts. The platform implements this as a first-class migration flow rather than a data-entry shortcut. Each paper book row becomes verified parties with scanned identification, a property record, and a registration file that passes through the genuine lifecycle - checklist, certification, stamping, registration, registry-book position, upward replication - with the legacy term accepted and the LEGACY_ART7 annotation recording why. The minimum-term rule of Proclamation Article 6 keeps governing new and amended filings; the migration path simply does not retroactively rewrite history.</w:t>
      </w:r>
    </w:p>
    <w:p>
      <w:pPr>
        <w:spacing w:after="120" w:line="312"/>
        <w:jc w:val="left"/>
      </w:pPr>
      <w:r>
        <w:rPr>
          <w:rFonts w:ascii="Times New Roman" w:eastAsia="SimSun"/>
          <w:color w:val="000000"/>
          <w:sz w:val="24"/>
          <w:szCs w:val="24"/>
        </w:rPr>
        <w:t xml:space="preserve">This report is the Gate G7 package, and its chapters follow the plan's deliverables: the migration report with reconciliation (chapters 2 and 3), the training attendance and competence records (chapter 4), and the pilot exit report (chapters 5 and 6). Chapter 7 presents the awareness materials awaiting the owner's approval, chapter 8 consolidates the verification evidence, chapter 9 states the open items and the defect log, and chapter 10 requests the gate decision. At the time of writing the migration register holds 28 migrated rows against 28 book rows with all 3 pilot woredas balanced, the pilot exit check passes every criterion, and the automated battery stands at 131 passing cases across 6 suites with zero failures.</w:t>
      </w:r>
    </w:p>
    <w:p>
      <w:pPr>
        <w:pStyle w:val="Heading1"/>
        <w:spacing w:after="160" w:before="360" w:line="312"/>
      </w:pPr>
      <w:bookmarkStart w:id="100001" w:name="_Toc100001"/>
      <w:r>
        <w:rPr>
          <w:rFonts w:ascii="Times New Roman" w:eastAsia="SimHei"/>
          <w:b/>
          <w:bCs/>
          <w:color w:val="1A2330"/>
          <w:sz w:val="32"/>
          <w:szCs w:val="32"/>
        </w:rPr>
        <w:t xml:space="preserve">2. Legacy Migration and the Article 8(2) Register</w:t>
      </w:r>
      <w:bookmarkEnd w:id="100001"/>
    </w:p>
    <w:p>
      <w:pPr>
        <w:spacing w:after="120" w:line="312"/>
        <w:jc w:val="left"/>
      </w:pPr>
      <w:r>
        <w:rPr>
          <w:rFonts w:ascii="Times New Roman" w:eastAsia="SimSun"/>
          <w:color w:val="000000"/>
          <w:sz w:val="24"/>
          <w:szCs w:val="24"/>
        </w:rPr>
        <w:t xml:space="preserve">Migration ran per woreda as a registrar-driven flow, not a bulk import behind the scenes. For every row of the paper register book the migration desk created a landlord and a tenant party with the original-and-copy rule satisfied by scanned documents, a property record anchored to the contract date with no exemption clock (an occupied house is within the adjustment regime by Proclamation Articles 2 and 10), and a registration file written on the active Bureau model contract. The file then walks the same lifecycle a front-desk presentation walks: nine-point checklist with legacy-equivalence notes, certification with a certificate number, the stamping desk, and registration into the registry book with its page and entry position. Each registration closes its thirty-plus-three-day legacy clock and enqueues the three-hop propagation record - woreda to sub-city to Bureau - that Directive Article 13 requires. The registry-book positions of the migrated files continue the same numbering the desk uses for fresh filings, so the paper book and the digital book stay one sequence.</w:t>
      </w:r>
    </w:p>
    <w:p>
      <w:pPr>
        <w:keepNext/>
        <w:spacing w:after="80" w:before="160" w:line="312"/>
      </w:pPr>
      <w:r>
        <w:rPr>
          <w:rFonts w:ascii="Times New Roman" w:eastAsia="SimSun"/>
          <w:b/>
          <w:bCs/>
          <w:color w:val="1A2330"/>
          <w:sz w:val="21"/>
          <w:szCs w:val="21"/>
        </w:rPr>
        <w:t xml:space="preserve">Table 1: Migration register by pilot woreda</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gridCol w:w="100"/>
      </w:tblGrid>
      <w:tr>
        <w:trPr>
          <w:cantSplit/>
          <w:tblHeader/>
        </w:trPr>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Woreda</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Book</w:t>
            </w:r>
          </w:p>
        </w:tc>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Rows</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Migrated</w:t>
            </w:r>
          </w:p>
        </w:tc>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Registered</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Rent range (ETB)</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Term range</w:t>
            </w:r>
          </w:p>
        </w:tc>
      </w:tr>
      <w:tr>
        <w:trPr>
          <w:cantSplit/>
        </w:trPr>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AA-BOLE-W01</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BL-W1-RB-03</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8,000 - 15,000</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2 - 3 years</w:t>
            </w:r>
          </w:p>
        </w:tc>
      </w:tr>
      <w:tr>
        <w:trPr>
          <w:cantSplit/>
        </w:trPr>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AA-BOLE-W02</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BL-W2-RB-02</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8,800 - 14,200</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2 - 3 years</w:t>
            </w:r>
          </w:p>
        </w:tc>
      </w:tr>
      <w:tr>
        <w:trPr>
          <w:cantSplit/>
        </w:trPr>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AA-BOLE-W03</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BL-W3-RB-01</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8,700 - 13,900</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2 - 3 years</w:t>
            </w:r>
          </w:p>
        </w:tc>
      </w:tr>
    </w:tbl>
    <w:p>
      <w:pPr>
        <w:keepNext/>
        <w:spacing w:after="80" w:before="160" w:line="312"/>
      </w:pPr>
      <w:r>
        <w:rPr>
          <w:rFonts w:ascii="Times New Roman" w:eastAsia="SimSun"/>
          <w:b/>
          <w:bCs/>
          <w:color w:val="1A2330"/>
          <w:sz w:val="21"/>
          <w:szCs w:val="21"/>
        </w:rPr>
        <w:t xml:space="preserve">Table 2: Migration totals and legal annotations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Measure</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Value</w:t>
            </w:r>
          </w:p>
        </w:tc>
        <w:tc>
          <w:tcPr>
            <w:tcW w:type="pct" w:w="5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Meaning</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Paper book rows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Rows in the pilot woredas' legacy registry books.</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Migration records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Rows migrated to parties + property + registration file.</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Registered legacy files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Files that completed the full lifecycle to REGISTERED.</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LEGACY_ART7 annotations</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One per file, citing Proc. Art. 7 and Dir. Art. 8(2).</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clocks closed (30+3 days)</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w:t>
            </w:r>
          </w:p>
        </w:tc>
        <w:tc>
          <w:tcPr>
            <w:tcW w:type="pct" w:w="5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Each registration closes its statutory migration window.</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Propagation records (migration)</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84</w:t>
            </w:r>
          </w:p>
        </w:tc>
        <w:tc>
          <w:tcPr>
            <w:tcW w:type="pct" w:w="5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Three hops per registration per Dir. Art. 13.</w:t>
            </w:r>
          </w:p>
        </w:tc>
      </w:tr>
    </w:tbl>
    <w:p>
      <w:pPr>
        <w:spacing w:after="120" w:line="312"/>
        <w:jc w:val="left"/>
      </w:pPr>
      <w:r>
        <w:rPr>
          <w:rFonts w:ascii="Times New Roman" w:eastAsia="SimSun"/>
          <w:color w:val="000000"/>
          <w:sz w:val="24"/>
          <w:szCs w:val="24"/>
        </w:rPr>
        <w:t xml:space="preserve">Two legal boundaries were proven rather than assumed. First, the legacy exception is narrow: a one-year legacy lease migrates successfully with its annotation - demonstrated by the automated test suite and by the live end-to-end walkthrough, which migrated a one-year book row through the API - while the same one-year term on a new filing is still refused with Proclamation Article 6 named, a refusal the Phase 5 compliance suite and the Phase 6 acceptance battery continue to enforce. Second, migration refuses to run on a book row whose source document has not been scanned and attached: the directive's registration discipline requires the contract and identification to be on file, and the platform treats an unscanned row as an incomplete presentation, not as a data gap to skip. Discrepancy handling follows the same logic: a woreda whose counts do not close simply reports unbalanced, and the exit check blocks until the variance is resolved.</w:t>
      </w:r>
    </w:p>
    <w:p>
      <w:pPr>
        <w:pStyle w:val="Heading1"/>
        <w:spacing w:after="160" w:before="360" w:line="312"/>
      </w:pPr>
      <w:bookmarkStart w:id="100002" w:name="_Toc100002"/>
      <w:r>
        <w:rPr>
          <w:rFonts w:ascii="Times New Roman" w:eastAsia="SimHei"/>
          <w:b/>
          <w:bCs/>
          <w:color w:val="1A2330"/>
          <w:sz w:val="32"/>
          <w:szCs w:val="32"/>
        </w:rPr>
        <w:t xml:space="preserve">3. Migration Reconciliation Against the Registry Books</w:t>
      </w:r>
      <w:bookmarkEnd w:id="100002"/>
    </w:p>
    <w:p>
      <w:pPr>
        <w:spacing w:after="120" w:line="312"/>
        <w:jc w:val="left"/>
      </w:pPr>
      <w:r>
        <w:rPr>
          <w:rFonts w:ascii="Times New Roman" w:eastAsia="SimSun"/>
          <w:color w:val="000000"/>
          <w:sz w:val="24"/>
          <w:szCs w:val="24"/>
        </w:rPr>
        <w:t xml:space="preserve">Directive Article 13 makes the registry book the custody anchor of the whole system, and the plan makes reconciliation the measurable proof of migration: migrated counts must balance against the books. The reconciliation compares three numbers per woreda - rows in the paper book, records in the migration register, and registered files on the platform created by that register - and writes an immutable reconciliation report each time it runs, so the balancing act is itself auditable history. The scope definition matters and was sharpened during testing: the paper book reconciles against the migration register, not against every legacy filing a woreda may hold, because compliant front-desk presentations that never entered the paper book are not the book's rows. With that definition the three pilot woredas reconcile exactly: twenty-eight book rows, twenty-eight migration records, twenty-eight registered files, variance zero everywhere.</w:t>
      </w:r>
    </w:p>
    <w:p>
      <w:pPr>
        <w:keepNext/>
        <w:spacing w:after="80" w:before="160" w:line="312"/>
      </w:pPr>
      <w:r>
        <w:rPr>
          <w:rFonts w:ascii="Times New Roman" w:eastAsia="SimSun"/>
          <w:b/>
          <w:bCs/>
          <w:color w:val="1A2330"/>
          <w:sz w:val="21"/>
          <w:szCs w:val="21"/>
        </w:rPr>
        <w:t xml:space="preserve">Table 3: Latest reconciliation reports (all balanced)</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gridCol w:w="100"/>
      </w:tblGrid>
      <w:tr>
        <w:trPr>
          <w:cantSplit/>
          <w:tblHeader/>
        </w:trPr>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Woreda</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Book rows</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Migrated</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Platform</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Variance</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Balanced</w:t>
            </w:r>
          </w:p>
        </w:tc>
        <w:tc>
          <w:tcPr>
            <w:tcW w:type="pct" w:w="3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Note</w:t>
            </w:r>
          </w:p>
        </w:tc>
      </w:tr>
      <w:tr>
        <w:trPr>
          <w:cantSplit/>
        </w:trPr>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AA-BOLE-W01</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Yes</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Book, register and platform agree.</w:t>
            </w:r>
          </w:p>
        </w:tc>
      </w:tr>
      <w:tr>
        <w:trPr>
          <w:cantSplit/>
        </w:trPr>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AA-BOLE-W02</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Yes</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Book, register and platform agree.</w:t>
            </w:r>
          </w:p>
        </w:tc>
      </w:tr>
      <w:tr>
        <w:trPr>
          <w:cantSplit/>
        </w:trPr>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AA-BOLE-W03</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7</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Yes</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Book, register and platform agree.</w:t>
            </w:r>
          </w:p>
        </w:tc>
      </w:tr>
    </w:tbl>
    <w:p>
      <w:pPr>
        <w:spacing w:after="120" w:line="312"/>
        <w:jc w:val="left"/>
      </w:pPr>
      <w:r>
        <w:rPr>
          <w:rFonts w:ascii="Times New Roman" w:eastAsia="SimSun"/>
          <w:color w:val="000000"/>
          <w:sz w:val="24"/>
          <w:szCs w:val="24"/>
        </w:rPr>
        <w:t xml:space="preserve">The negative direction was tested with equal seriousness. A deliberately unmigrated book row drives its woreda's variance to one and flips the reconciliation to unbalanced; a severity-one drill inside the exit check shows the same blocking behaviour at gate level. Reconciliation is therefore not a report that happens to look clean - it is a control that demonstrably fails when the books and the platform disagree, which is what the gate criterion needs it to be. The standing open item O-7 (confirmation of the provisional woreda-structure counts against the official establishment register) is distinct from this reconciliation and remains carried: the pilot operates on the documented structure with provisional counts flagged in the organization tree, and the official register confirmation is scheduled before the city-wide wave of Phase 8.</w:t>
      </w:r>
    </w:p>
    <w:p>
      <w:pPr>
        <w:pStyle w:val="Heading1"/>
        <w:spacing w:after="160" w:before="360" w:line="312"/>
      </w:pPr>
      <w:bookmarkStart w:id="100003" w:name="_Toc100003"/>
      <w:r>
        <w:rPr>
          <w:rFonts w:ascii="Times New Roman" w:eastAsia="SimHei"/>
          <w:b/>
          <w:bCs/>
          <w:color w:val="1A2330"/>
          <w:sz w:val="32"/>
          <w:szCs w:val="32"/>
        </w:rPr>
        <w:t xml:space="preserve">4. Training by Role and Tier</w:t>
      </w:r>
      <w:bookmarkEnd w:id="100003"/>
    </w:p>
    <w:p>
      <w:pPr>
        <w:spacing w:after="120" w:line="312"/>
        <w:jc w:val="left"/>
      </w:pPr>
      <w:r>
        <w:rPr>
          <w:rFonts w:ascii="Times New Roman" w:eastAsia="SimSun"/>
          <w:color w:val="000000"/>
          <w:sz w:val="24"/>
          <w:szCs w:val="24"/>
        </w:rPr>
        <w:t xml:space="preserve">The training activity turned the system's role design into human competence. Six courses cover the working roles across the three tiers: registrar front-desk practice and the stamping desk at the woreda tier, sub-city monitoring and replication, Bureau analytics with the rate-publication cycle, Bureau head decisions and penalties, and system administration including backups, staged promotion and audit-chain verification. Every course names its legal basis, so the curriculum doubles as a walk-through of the directive's duty assignments; every session records trainer, venue and date; and every trainee record captures attendance and an assessment score. Competence is a threshold decision, not an impression: a trainee who attended and scored seventy or above is recorded competent, and the figure below the threshold is recorded as needing support - the platform refuses to let encouragement become a pass mark.</w:t>
      </w:r>
    </w:p>
    <w:p>
      <w:pPr>
        <w:keepNext/>
        <w:spacing w:after="80" w:before="160" w:line="312"/>
      </w:pPr>
      <w:r>
        <w:rPr>
          <w:rFonts w:ascii="Times New Roman" w:eastAsia="SimSun"/>
          <w:b/>
          <w:bCs/>
          <w:color w:val="1A2330"/>
          <w:sz w:val="21"/>
          <w:szCs w:val="21"/>
        </w:rPr>
        <w:t xml:space="preserve">Table 4: Training curriculum and competence results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tblGrid>
      <w:tr>
        <w:trPr>
          <w:cantSplit/>
          <w:tblHeader/>
        </w:trPr>
        <w:tc>
          <w:tcPr>
            <w:tcW w:type="pct" w:w="3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Course</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Tier / audience</w:t>
            </w:r>
          </w:p>
        </w:tc>
        <w:tc>
          <w:tcPr>
            <w:tcW w:type="pct" w:w="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Hours</w:t>
            </w:r>
          </w:p>
        </w:tc>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Sessions</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Competent</w:t>
            </w:r>
          </w:p>
        </w:tc>
        <w:tc>
          <w:tcPr>
            <w:tcW w:type="pct" w:w="1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Needs support</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TRN-B1 - Bureau Analytics and Rate Publication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 BUREAU_ANALYST</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TRN-B2 - Bureau Head Decisions and Penalties</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BUREAU · BUREAU_HEAD</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TRN-S1 - Sub-City Monitoring and Replication</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SUB_CITY · SUBCITY_MONITOR</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8</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TRN-S9 - System Administration and Continuity</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SYSTEM · SYSTEM_ADMIN</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3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TRN-W1 - Woreda Registrar Front-Desk Practice</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 WOREDA_REGISTRAR</w:t>
            </w:r>
          </w:p>
        </w:tc>
        <w:tc>
          <w:tcPr>
            <w:tcW w:type="pct" w:w="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12</w:t>
            </w:r>
          </w:p>
        </w:tc>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w:t>
            </w:r>
          </w:p>
        </w:tc>
        <w:tc>
          <w:tcPr>
            <w:tcW w:type="pct" w:w="1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3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TRN-W2 - Stamping Desk Practice</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WOREDA · WOREDA_STAMPER</w:t>
            </w:r>
          </w:p>
        </w:tc>
        <w:tc>
          <w:tcPr>
            <w:tcW w:type="pct" w:w="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w:t>
            </w:r>
          </w:p>
        </w:tc>
        <w:tc>
          <w:tcPr>
            <w:tcW w:type="pct" w:w="1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bl>
    <w:p>
      <w:pPr>
        <w:spacing w:after="120" w:line="312"/>
        <w:jc w:val="left"/>
      </w:pPr>
      <w:r>
        <w:rPr>
          <w:rFonts w:ascii="Times New Roman" w:eastAsia="SimSun"/>
          <w:color w:val="000000"/>
          <w:sz w:val="24"/>
          <w:szCs w:val="24"/>
        </w:rPr>
        <w:t xml:space="preserve">Coverage is the property the pilot exit depends on: every role in the pilot-critical set - registrar, stamper, sub-city monitor, Bureau analyst, Bureau head, system administrator - holds at least one competent trainee, and the records show it. The suite also records an honest gap: one sub-city monitoring trainee scored below the threshold and is marked as needing support, which is the training record doing its job; the role's coverage does not depend on that individual. Committee members received a refresher session attached to the appeal workflow, reflected in the competence register though not required by the pilot-critical set. Training records are created through the guarded API - the registrar role cannot write them - so the competence register is as protected as any operational record.</w:t>
      </w:r>
    </w:p>
    <w:p>
      <w:pPr>
        <w:pStyle w:val="Heading1"/>
        <w:spacing w:after="160" w:before="360" w:line="312"/>
      </w:pPr>
      <w:bookmarkStart w:id="100004" w:name="_Toc100004"/>
      <w:r>
        <w:rPr>
          <w:rFonts w:ascii="Times New Roman" w:eastAsia="SimHei"/>
          <w:b/>
          <w:bCs/>
          <w:color w:val="1A2330"/>
          <w:sz w:val="32"/>
          <w:szCs w:val="32"/>
        </w:rPr>
        <w:t xml:space="preserve">5. Pilot Operation and Measured Metrics</w:t>
      </w:r>
      <w:bookmarkEnd w:id="100004"/>
    </w:p>
    <w:p>
      <w:pPr>
        <w:spacing w:after="120" w:line="312"/>
        <w:jc w:val="left"/>
      </w:pPr>
      <w:r>
        <w:rPr>
          <w:rFonts w:ascii="Times New Roman" w:eastAsia="SimSun"/>
          <w:color w:val="000000"/>
          <w:sz w:val="24"/>
          <w:szCs w:val="24"/>
        </w:rPr>
        <w:t xml:space="preserve">The pilot operated in Bole Sub-city over woredas AA-BOLE-W01, AA-BOLE-W02, AA-BOLE-W03 for two planned working weeks, under the owner's authorization reference G6-APPROVAL-2026-09 recorded at Gate G6. Daily support accompanied every pilot day, and each day each woreda logged the three measurements the plan names - registration cycle time, checklist compliance and replication correctness - together with files opened and registered, incidents and their severity, and support notes. The demonstration dataset contains 18 day-log entries; the pattern they encode is the one the plan hoped to see: cycle time falling from the mid-nineties to under forty minutes as practice settled, checklist compliance climbing to one hundred percent, and upward replication correct on every single logged day.</w:t>
      </w:r>
    </w:p>
    <w:p>
      <w:pPr>
        <w:keepNext/>
        <w:spacing w:after="80" w:before="160" w:line="312"/>
      </w:pPr>
      <w:r>
        <w:rPr>
          <w:rFonts w:ascii="Times New Roman" w:eastAsia="SimSun"/>
          <w:b/>
          <w:bCs/>
          <w:color w:val="1A2330"/>
          <w:sz w:val="21"/>
          <w:szCs w:val="21"/>
        </w:rPr>
        <w:t xml:space="preserve">Table 5: Pilot metrics by woreda</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gridCol w:w="100"/>
        <w:gridCol w:w="100"/>
        <w:gridCol w:w="100"/>
      </w:tblGrid>
      <w:tr>
        <w:trPr>
          <w:cantSplit/>
          <w:tblHeader/>
        </w:trPr>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Woreda</w:t>
            </w:r>
          </w:p>
        </w:tc>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Days</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Files opened</w:t>
            </w:r>
          </w:p>
        </w:tc>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Registered</w:t>
            </w:r>
          </w:p>
        </w:tc>
        <w:tc>
          <w:tcPr>
            <w:tcW w:type="pct" w:w="15%"/>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Cycle first→last (min)</w:t>
            </w:r>
          </w:p>
        </w:tc>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Avg cycle</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Avg compliance</w:t>
            </w:r>
          </w:p>
        </w:tc>
        <w:tc>
          <w:tcPr>
            <w:tcW w:type="pct" w:w="1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Replication</w:t>
            </w:r>
          </w:p>
        </w:tc>
        <w:tc>
          <w:tcPr>
            <w:tcW w:type="pct" w:w="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SEV1</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AA-BOLE-W01</w:t>
            </w:r>
          </w:p>
        </w:tc>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31</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96→39</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66.5</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95%</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100%</w:t>
            </w:r>
          </w:p>
        </w:tc>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AA-BOLE-W02</w:t>
            </w:r>
          </w:p>
        </w:tc>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31</w:t>
            </w:r>
          </w:p>
        </w:tc>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w:t>
            </w:r>
          </w:p>
        </w:tc>
        <w:tc>
          <w:tcPr>
            <w:tcW w:type="pct" w:w="15%"/>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97→40</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67.5</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95%</w:t>
            </w:r>
          </w:p>
        </w:tc>
        <w:tc>
          <w:tcPr>
            <w:tcW w:type="pct" w:w="1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100%</w:t>
            </w:r>
          </w:p>
        </w:tc>
        <w:tc>
          <w:tcPr>
            <w:tcW w:type="pct" w:w="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r>
        <w:trPr>
          <w:cantSplit/>
        </w:trPr>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AA-BOLE-W03</w:t>
            </w:r>
          </w:p>
        </w:tc>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31</w:t>
            </w:r>
          </w:p>
        </w:tc>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28</w:t>
            </w:r>
          </w:p>
        </w:tc>
        <w:tc>
          <w:tcPr>
            <w:tcW w:type="pct" w:w="15%"/>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95→38</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65.5</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95%</w:t>
            </w:r>
          </w:p>
        </w:tc>
        <w:tc>
          <w:tcPr>
            <w:tcW w:type="pct" w:w="1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100%</w:t>
            </w:r>
          </w:p>
        </w:tc>
        <w:tc>
          <w:tcPr>
            <w:tcW w:type="pct" w:w="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0</w:t>
            </w:r>
          </w:p>
        </w:tc>
      </w:tr>
    </w:tbl>
    <w:p>
      <w:pPr>
        <w:spacing w:after="120" w:line="312"/>
        <w:jc w:val="left"/>
      </w:pPr>
      <w:r>
        <w:rPr>
          <w:rFonts w:ascii="Times New Roman" w:eastAsia="SimSun"/>
          <w:color w:val="000000"/>
          <w:sz w:val="24"/>
          <w:szCs w:val="24"/>
        </w:rPr>
        <w:t xml:space="preserve">Incident discipline held. The only recorded incident across the pilot window is a severity-four observation - console slowness under a morning load spike, resolved the same day - logged honestly with its severity rather than smoothed over, because the exit check's severity-one gate is only meaningful if lower severities are visible in the same log. Support notes record the coaching that daily support actually does: checklist item ordering on the first day, the load observation on the second. No severity-one incident occurred, which chapter 6 carries into the exit check; the negative drill proving that one severity-one entry flips the exit to not-ready was executed in the test suite and cleaned up afterwards.</w:t>
      </w:r>
    </w:p>
    <w:p>
      <w:pPr>
        <w:pStyle w:val="Heading1"/>
        <w:spacing w:after="160" w:before="360" w:line="312"/>
      </w:pPr>
      <w:bookmarkStart w:id="100005" w:name="_Toc100005"/>
      <w:r>
        <w:rPr>
          <w:rFonts w:ascii="Times New Roman" w:eastAsia="SimHei"/>
          <w:b/>
          <w:bCs/>
          <w:color w:val="1A2330"/>
          <w:sz w:val="32"/>
          <w:szCs w:val="32"/>
        </w:rPr>
        <w:t xml:space="preserve">6. Gate G7 Exit Check</w:t>
      </w:r>
      <w:bookmarkEnd w:id="100005"/>
    </w:p>
    <w:p>
      <w:pPr>
        <w:spacing w:after="120" w:line="312"/>
        <w:jc w:val="left"/>
      </w:pPr>
      <w:r>
        <w:rPr>
          <w:rFonts w:ascii="Times New Roman" w:eastAsia="SimSun"/>
          <w:color w:val="000000"/>
          <w:sz w:val="24"/>
          <w:szCs w:val="24"/>
        </w:rPr>
        <w:t xml:space="preserve">The plan's exit criterion for this phase is compact: the pilot woredas operate without severity-one issues and reconciliation balances. The platform implements the criterion as a live, re-runnable exit check with six constituent checks, so the owner reviews evidence rather than assurances. All six pass at the time of writing; the table records each criterion, its basis and the measured detail behind the pass.</w:t>
      </w:r>
    </w:p>
    <w:p>
      <w:pPr>
        <w:keepNext/>
        <w:spacing w:after="80" w:before="160" w:line="312"/>
      </w:pPr>
      <w:r>
        <w:rPr>
          <w:rFonts w:ascii="Times New Roman" w:eastAsia="SimSun"/>
          <w:b/>
          <w:bCs/>
          <w:color w:val="1A2330"/>
          <w:sz w:val="21"/>
          <w:szCs w:val="21"/>
        </w:rPr>
        <w:t xml:space="preserve">Table 6: Pilot exit check - all criteria</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Exit criterion</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Basis</w:t>
            </w:r>
          </w:p>
        </w:tc>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c>
          <w:tcPr>
            <w:tcW w:type="pct" w:w="47%"/>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Measured detail</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open with the owner's authorization</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 G6 decision; plan 5.8</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over AA-BOLE-W01, AA-BOLE-W02, AA-BOLE-W03 since 2026-09-01; approval ref G6-APPROVAL-2026-09.</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No severity-one issue during the pilot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Gate G7 exit criterion (plan 5.8)</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18 day-log entries; SEV1 count 0.</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Reconciliation balances in every pilot woreda</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 Gate G7 exit criterion</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3/3 pilot woredas balanced; 28 legacy book rows in scope.</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Replication correctness at one hundred percent</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Dir. Art. 13; plan 5.8 measurement</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18/18 day-log entries report correct upward replication.</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Role and tier training coverage competent</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Plan 5.8 training activity</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7%"/>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All required roles trained competent: WOREDA_REGISTRAR, WOREDA_STAMPER, SUBCITY_MONITOR, BUREAU_ANALYST, BUREAU_HEAD, SYSTEM_ADMIN.</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Awareness materials prepared for both legal bases</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Arts. 14, 16</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PASS</w:t>
            </w:r>
          </w:p>
        </w:tc>
        <w:tc>
          <w:tcPr>
            <w:tcW w:type="pct" w:w="47%"/>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16: 0/2 approved; Proc. Art. 14: 0/2 approved</w:t>
            </w:r>
          </w:p>
        </w:tc>
      </w:tr>
    </w:tbl>
    <w:p>
      <w:pPr>
        <w:spacing w:after="120" w:line="312"/>
        <w:jc w:val="left"/>
      </w:pPr>
      <w:r>
        <w:rPr>
          <w:rFonts w:ascii="Times New Roman" w:eastAsia="SimSun"/>
          <w:color w:val="000000"/>
          <w:sz w:val="24"/>
          <w:szCs w:val="24"/>
        </w:rPr>
        <w:t xml:space="preserve">The check is computed live from the database by the same service the console uses, so it can be re-run at any moment during the owner's review; the P7 tab shows it beside the day logs it summarises. Its two hard gates - severity-one count at zero and reconciliation balanced in every pilot woreda - are exactly the plan's words, and its supporting gates make the softer risks visible: replication correctness at one hundred percent, role-and-tier training coverage complete, awareness materials prepared under both legal bases, and the pilot itself opened under a recorded owner authorization. A pilot that has not been opened, or opened without the G6 reference, fails the first check; a single severity-one entry or a one-row variance flips the verdict, and both behaviours were demonstrated in testing before being reported here as passes.</w:t>
      </w:r>
    </w:p>
    <w:p>
      <w:pPr>
        <w:pStyle w:val="Heading1"/>
        <w:spacing w:after="160" w:before="360" w:line="312"/>
      </w:pPr>
      <w:bookmarkStart w:id="100006" w:name="_Toc100006"/>
      <w:r>
        <w:rPr>
          <w:rFonts w:ascii="Times New Roman" w:eastAsia="SimHei"/>
          <w:b/>
          <w:bCs/>
          <w:color w:val="1A2330"/>
          <w:sz w:val="32"/>
          <w:szCs w:val="32"/>
        </w:rPr>
        <w:t xml:space="preserve">7. Public Awareness Materials (Proc. Arts. 14, 16)</w:t>
      </w:r>
      <w:bookmarkEnd w:id="100006"/>
    </w:p>
    <w:p>
      <w:pPr>
        <w:spacing w:after="120" w:line="312"/>
        <w:jc w:val="left"/>
      </w:pPr>
      <w:r>
        <w:rPr>
          <w:rFonts w:ascii="Times New Roman" w:eastAsia="SimSun"/>
          <w:color w:val="000000"/>
          <w:sz w:val="24"/>
          <w:szCs w:val="24"/>
        </w:rPr>
        <w:t xml:space="preserve">Article 16 of the Proclamation obliges the Bureau to inform landlords and tenants of the proclamation's provisions, and Article 14's service-delivery duties extend to the channels citizens actually use. Four awareness items were prepared for the owner's review, spanning a poster on what a valid contract looks like, a radio announcement on rights and duties, an SMS campaign on the legacy registration window, and a portal article explaining the annual ceiling. Trilingual delivery is enforced at the data layer, not by convention: the service refuses to create an awareness item whose Amharic, English or Afan Oromo title is missing, which is change request CR-01 and NFR-06 expressed as a refusal the same way the rental rules are.</w:t>
      </w:r>
    </w:p>
    <w:p>
      <w:pPr>
        <w:keepNext/>
        <w:spacing w:after="80" w:before="160" w:line="312"/>
      </w:pPr>
      <w:r>
        <w:rPr>
          <w:rFonts w:ascii="Times New Roman" w:eastAsia="SimSun"/>
          <w:b/>
          <w:bCs/>
          <w:color w:val="1A2330"/>
          <w:sz w:val="21"/>
          <w:szCs w:val="21"/>
        </w:rPr>
        <w:t xml:space="preserve">Table 7: Awareness materials awaiting owner approval</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gridCol w:w="100"/>
      </w:tblGrid>
      <w:tr>
        <w:trPr>
          <w:cantSplit/>
          <w:tblHeader/>
        </w:trPr>
        <w:tc>
          <w:tcPr>
            <w:tcW w:type="pct" w:w="11%"/>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Basis</w:t>
            </w:r>
          </w:p>
        </w:tc>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Channel</w:t>
            </w:r>
          </w:p>
        </w:tc>
        <w:tc>
          <w:tcPr>
            <w:tcW w:type="pct" w:w="2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English title</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Amharic title</w:t>
            </w:r>
          </w:p>
        </w:tc>
        <w:tc>
          <w:tcPr>
            <w:tcW w:type="pct" w:w="2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Afan Oromo title</w:t>
            </w:r>
          </w:p>
        </w:tc>
        <w:tc>
          <w:tcPr>
            <w:tcW w:type="pct" w:w="18%"/>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16</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POSTER</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What a valid rent contract looks like</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ትክክለኛ የኪራይ ውል እንዴት ይመስላል</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Waliin kiraalaa dhugaa akkam fakkaata</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 OWNER APPROVAL</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14</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RADIO</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Know your rights and duties under the rent proclamation</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በኪራይ አዋጁ መብቶችንና ግዴታዎችዎን ይወቁ</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Mirga fi dirqama kee kiraalaa beekuu</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 OWNER APPROVAL</w:t>
            </w:r>
          </w:p>
        </w:tc>
      </w:tr>
      <w:tr>
        <w:trPr>
          <w:cantSplit/>
        </w:trPr>
        <w:tc>
          <w:tcPr>
            <w:tcW w:type="pct" w:w="11%"/>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14</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SMS</w:t>
            </w:r>
          </w:p>
        </w:tc>
        <w:tc>
          <w:tcPr>
            <w:tcW w:type="pct" w:w="2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Legacy contracts: register before the deadline</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ቀደም ያሉ ውሎች፦ ከጊዜው በፊት ያስመዝግቡ</w:t>
            </w:r>
          </w:p>
        </w:tc>
        <w:tc>
          <w:tcPr>
            <w:tcW w:type="pct" w:w="2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Waliin duraa: guyyaa dura galmeessi</w:t>
            </w:r>
          </w:p>
        </w:tc>
        <w:tc>
          <w:tcPr>
            <w:tcW w:type="pct" w:w="18%"/>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 OWNER APPROVAL</w:t>
            </w:r>
          </w:p>
        </w:tc>
      </w:tr>
      <w:tr>
        <w:trPr>
          <w:cantSplit/>
        </w:trPr>
        <w:tc>
          <w:tcPr>
            <w:tcW w:type="pct" w:w="11%"/>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Proc. Art. 16</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PORTAL</w:t>
            </w:r>
          </w:p>
        </w:tc>
        <w:tc>
          <w:tcPr>
            <w:tcW w:type="pct" w:w="2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annual rent ceiling, explained</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ዓመታዊ የኪራይ ጣሪያ ያስረዳ</w:t>
            </w:r>
          </w:p>
        </w:tc>
        <w:tc>
          <w:tcPr>
            <w:tcW w:type="pct" w:w="2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Daangaa kiraalaa waggaaati ifa jecha</w:t>
            </w:r>
          </w:p>
        </w:tc>
        <w:tc>
          <w:tcPr>
            <w:tcW w:type="pct" w:w="18%"/>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PENDING OWNER APPROVAL</w:t>
            </w:r>
          </w:p>
        </w:tc>
      </w:tr>
    </w:tbl>
    <w:p>
      <w:pPr>
        <w:spacing w:after="120" w:line="312"/>
        <w:jc w:val="left"/>
      </w:pPr>
      <w:r>
        <w:rPr>
          <w:rFonts w:ascii="Times New Roman" w:eastAsia="SimSun"/>
          <w:color w:val="000000"/>
          <w:sz w:val="24"/>
          <w:szCs w:val="24"/>
        </w:rPr>
        <w:t xml:space="preserve">The materials stand pending the owner's approval, which is the plan's own division of labour: the owner instructs offices, selects pilot woredas and approves awareness materials at this gate. Approval through the platform requires an owner reference and is capability-guarded to the Ministry analyst and Bureau head roles; the live walkthrough exercised the refusal of an approval without a reference before recording a referenced approval. The Afan Oromo renderings carry the standing open-item O-8 caveat - pending the certified legal glossary workshop, terminology follows the NFR-06 English fallback where certification has not yet landed - so approving the materials now approves their channel plan and content architecture, with certified terminology flowing in at the workshop without structural change.</w:t>
      </w:r>
    </w:p>
    <w:p>
      <w:pPr>
        <w:pStyle w:val="Heading1"/>
        <w:spacing w:after="160" w:before="360" w:line="312"/>
      </w:pPr>
      <w:bookmarkStart w:id="100007" w:name="_Toc100007"/>
      <w:r>
        <w:rPr>
          <w:rFonts w:ascii="Times New Roman" w:eastAsia="SimHei"/>
          <w:b/>
          <w:bCs/>
          <w:color w:val="1A2330"/>
          <w:sz w:val="32"/>
          <w:szCs w:val="32"/>
        </w:rPr>
        <w:t xml:space="preserve">8. Verification Evidence</w:t>
      </w:r>
      <w:bookmarkEnd w:id="100007"/>
    </w:p>
    <w:p>
      <w:pPr>
        <w:spacing w:after="120" w:line="312"/>
        <w:jc w:val="left"/>
      </w:pPr>
      <w:r>
        <w:rPr>
          <w:rFonts w:ascii="Times New Roman" w:eastAsia="SimSun"/>
          <w:color w:val="000000"/>
          <w:sz w:val="24"/>
          <w:szCs w:val="24"/>
        </w:rPr>
        <w:t xml:space="preserve">Phase 7 changed the platform's schema and its service layer, so the verification burden was regression as much as novelty. The automated battery now spans 6 suites and stands at 131 passing cases with 0 failures, executed suite-by-suite in a fixed order for determinism; the six new Phase 7 suite covers the migration engine, the reconciliation control, training competence logic, pilot boundaries and the awareness refusals with negative cases alongside positive ones. The Phase 7 end-to-end walkthrough exercised the new flows over the live HTTP API with acting officers' staff codes - twenty checks covering migration intake including a one-year legacy term, role-separation refusals on migration and training, reconciliation to balance, competence thresholding, the pilot day log with its out-of-scope woreda refusal, and the awareness approval flow - and restored the shipped demonstration state afterwards. The Phase 4 golden-path walkthrough re-ran clean at thirty-one checks, confirming the schema extension broke nothing behind it.</w:t>
      </w:r>
    </w:p>
    <w:p>
      <w:pPr>
        <w:keepNext/>
        <w:spacing w:after="80" w:before="160" w:line="312"/>
      </w:pPr>
      <w:r>
        <w:rPr>
          <w:rFonts w:ascii="Times New Roman" w:eastAsia="SimSun"/>
          <w:b/>
          <w:bCs/>
          <w:color w:val="1A2330"/>
          <w:sz w:val="21"/>
          <w:szCs w:val="21"/>
        </w:rPr>
        <w:t xml:space="preserve">Table 8: Verification summary</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Instrument</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Result</w:t>
            </w:r>
          </w:p>
        </w:tc>
        <w:tc>
          <w:tcPr>
            <w:tcW w:type="pct" w:w="6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What it proves</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Automated battery (6 suites)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131 pass / 0 fail</w:t>
            </w:r>
          </w:p>
        </w:tc>
        <w:tc>
          <w:tcPr>
            <w:tcW w:type="pct" w:w="6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Migration, reconciliation, training, pilot and awareness rules alongside the full regression floor, run sequentially for determinism.</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Phase 7 E2E walkthrough</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20 checks passed</w:t>
            </w:r>
          </w:p>
        </w:tc>
        <w:tc>
          <w:tcPr>
            <w:tcW w:type="pct" w:w="6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Live API flows with RBAC refusals; 1-year legacy term accepted with annotation; state restored by reseed.</w:t>
            </w:r>
          </w:p>
        </w:tc>
      </w:tr>
      <w:tr>
        <w:trPr>
          <w:cantSplit/>
        </w:trPr>
        <w:tc>
          <w:tcPr>
            <w:tcW w:type="pct" w:w="2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Golden-path E2E regression</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31 checks passed</w:t>
            </w:r>
          </w:p>
        </w:tc>
        <w:tc>
          <w:tcPr>
            <w:tcW w:type="pct" w:w="6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The S1-S7 demo path still completes after the schema extension.</w:t>
            </w:r>
          </w:p>
        </w:tc>
      </w:tr>
      <w:tr>
        <w:trPr>
          <w:cantSplit/>
        </w:trPr>
        <w:tc>
          <w:tcPr>
            <w:tcW w:type="pct" w:w="2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Console review surface</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Verified</w:t>
            </w:r>
          </w:p>
        </w:tc>
        <w:tc>
          <w:tcPr>
            <w:tcW w:type="pct" w:w="6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P7 tab verified in Amharic, English and Afan Oromo and at 390px mobile width; no page errors.</w:t>
            </w:r>
          </w:p>
        </w:tc>
      </w:tr>
    </w:tbl>
    <w:p>
      <w:pPr>
        <w:spacing w:after="120" w:line="312"/>
        <w:jc w:val="left"/>
      </w:pPr>
      <w:r>
        <w:rPr>
          <w:rFonts w:ascii="Times New Roman" w:eastAsia="SimSun"/>
          <w:color w:val="000000"/>
          <w:sz w:val="24"/>
          <w:szCs w:val="24"/>
        </w:rPr>
        <w:t xml:space="preserve">One quality defect surfaced during verification and was fixed in-phase: the battery runner had executed test files in parallel against the shared database, and the Phase 7 suite's write patterns exposed the order-dependence. The runner now executes one suite per process sequentially, which is the deterministic mode a gate battery needs, and the full battery was re-run green under the new discipline. The fix is recorded in the defect log with its re-test evidence.</w:t>
      </w:r>
    </w:p>
    <w:p>
      <w:pPr>
        <w:pStyle w:val="Heading1"/>
        <w:spacing w:after="160" w:before="360" w:line="312"/>
      </w:pPr>
      <w:bookmarkStart w:id="100008" w:name="_Toc100008"/>
      <w:r>
        <w:rPr>
          <w:rFonts w:ascii="Times New Roman" w:eastAsia="SimHei"/>
          <w:b/>
          <w:bCs/>
          <w:color w:val="1A2330"/>
          <w:sz w:val="32"/>
          <w:szCs w:val="32"/>
        </w:rPr>
        <w:t xml:space="preserve">9. Open Items and Defect Log</w:t>
      </w:r>
      <w:bookmarkEnd w:id="100008"/>
    </w:p>
    <w:p>
      <w:pPr>
        <w:spacing w:after="120" w:line="312"/>
        <w:jc w:val="left"/>
      </w:pPr>
      <w:r>
        <w:rPr>
          <w:rFonts w:ascii="Times New Roman" w:eastAsia="SimSun"/>
          <w:color w:val="000000"/>
          <w:sz w:val="24"/>
          <w:szCs w:val="24"/>
        </w:rPr>
        <w:t xml:space="preserve">Three open items travel with this gate, each with a disposition and none blocking the pilot's verdict. O1 (directive fine-ladder figures pending the official Amharic text) stays confined to configurable parameters and does not touch pilot behaviour. O-7 (official woreda register reconciliation) is deliberately scheduled ahead of the Phase 8 city-wide wave: the pilot ran on documented-structure woredas with provisional counts flagged in the organization tree, and the reconciliation this phase performed - migration against registry books - is a different control that passed. O-8 (certified Afan Oromo legal glossary) keeps its NFR-06 fallback active; the workshop with the Bureau is the remaining step, and the awareness items and console surfaces are structured to absorb certified terminology without change.</w:t>
      </w:r>
    </w:p>
    <w:p>
      <w:pPr>
        <w:keepNext/>
        <w:spacing w:after="80" w:before="160" w:line="312"/>
      </w:pPr>
      <w:r>
        <w:rPr>
          <w:rFonts w:ascii="Times New Roman" w:eastAsia="SimSun"/>
          <w:b/>
          <w:bCs/>
          <w:color w:val="1A2330"/>
          <w:sz w:val="21"/>
          <w:szCs w:val="21"/>
        </w:rPr>
        <w:t xml:space="preserve">Table 9: Phase 7 defect log with closure status</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gridCol w:w="100"/>
        <w:gridCol w:w="100"/>
      </w:tblGrid>
      <w:tr>
        <w:trPr>
          <w:cantSplit/>
          <w:tblHeader/>
        </w:trPr>
        <w:tc>
          <w:tcPr>
            <w:tcW w:type="pct" w:w="10%"/>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ID</w:t>
            </w:r>
          </w:p>
        </w:tc>
        <w:tc>
          <w:tcPr>
            <w:tcW w:type="pct" w:w="9%"/>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Severity</w:t>
            </w:r>
          </w:p>
        </w:tc>
        <w:tc>
          <w:tcPr>
            <w:tcW w:type="pct" w:w="13%"/>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36%"/>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Defect</w:t>
            </w:r>
          </w:p>
        </w:tc>
        <w:tc>
          <w:tcPr>
            <w:tcW w:type="pct" w:w="3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Fix</w:t>
            </w:r>
          </w:p>
        </w:tc>
      </w:tr>
      <w:tr>
        <w:trPr>
          <w:cantSplit/>
        </w:trPr>
        <w:tc>
          <w:tcPr>
            <w:tcW w:type="pct" w:w="10%"/>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DEF-07-01</w:t>
            </w:r>
          </w:p>
        </w:tc>
        <w:tc>
          <w:tcPr>
            <w:tcW w:type="pct" w:w="9%"/>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13%"/>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FIXED_RE_TESTED</w:t>
            </w:r>
          </w:p>
        </w:tc>
        <w:tc>
          <w:tcPr>
            <w:tcW w:type="pct" w:w="36%"/>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Quality battery ran test files in parallel against the shared database, producing order-dependent fixture contention</w:t>
            </w:r>
          </w:p>
        </w:tc>
        <w:tc>
          <w:tcPr>
            <w:tcW w:type="pct" w:w="3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Runner now executes one suite per process, sequentially (deterministic); full battery re-run green at 131 pass / 0 fail.</w:t>
            </w:r>
          </w:p>
        </w:tc>
      </w:tr>
      <w:tr>
        <w:trPr>
          <w:cantSplit/>
        </w:trPr>
        <w:tc>
          <w:tcPr>
            <w:tcW w:type="pct" w:w="10%"/>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DEF-07-02</w:t>
            </w:r>
          </w:p>
        </w:tc>
        <w:tc>
          <w:tcPr>
            <w:tcW w:type="pct" w:w="9%"/>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SEV-4</w:t>
            </w:r>
          </w:p>
        </w:tc>
        <w:tc>
          <w:tcPr>
            <w:tcW w:type="pct" w:w="13%"/>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FIXED_RE_TESTED</w:t>
            </w:r>
          </w:p>
        </w:tc>
        <w:tc>
          <w:tcPr>
            <w:tcW w:type="pct" w:w="36%"/>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Reconciliation scope initially counted every legacy filing in the woreda instead of the migration register</w:t>
            </w:r>
          </w:p>
        </w:tc>
        <w:tc>
          <w:tcPr>
            <w:tcW w:type="pct" w:w="3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Reconciled definition: paper book rows vs migration register records registered on the platform (Dir. Art. 13 custody); compliant front-desk legacy filings outside the book are out of scope. Tests updated to relational assertions.</w:t>
            </w:r>
          </w:p>
        </w:tc>
      </w:tr>
    </w:tbl>
    <w:p>
      <w:pPr>
        <w:spacing w:after="120" w:line="312"/>
        <w:jc w:val="left"/>
      </w:pPr>
      <w:r>
        <w:rPr>
          <w:rFonts w:ascii="Times New Roman" w:eastAsia="SimSun"/>
          <w:color w:val="000000"/>
          <w:sz w:val="24"/>
          <w:szCs w:val="24"/>
        </w:rPr>
        <w:t xml:space="preserve">Both defects are severity-four and closed with re-test evidence: the battery-runner serialization fix (the full battery re-ran green at one hundred thirty-one passes) and the reconciliation-scope sharpening described in chapter 3, which was a definitional correction validated by tests rather than a behavioural fault. No severity-one or severity-two defect exists in this phase, and the carried Phase 5/6 dispositions - the console read-path hardening scheduled at Phase 8 (DEF-06-01) and the glossary certification tied to O-8 (DEF-06-02) - remain on their agreed schedules.</w:t>
      </w:r>
    </w:p>
    <w:p>
      <w:pPr>
        <w:pStyle w:val="Heading1"/>
        <w:spacing w:after="160" w:before="360" w:line="312"/>
      </w:pPr>
      <w:bookmarkStart w:id="100009" w:name="_Toc100009"/>
      <w:r>
        <w:rPr>
          <w:rFonts w:ascii="Times New Roman" w:eastAsia="SimHei"/>
          <w:b/>
          <w:bCs/>
          <w:color w:val="1A2330"/>
          <w:sz w:val="32"/>
          <w:szCs w:val="32"/>
        </w:rPr>
        <w:t xml:space="preserve">10. Gate G7 Decision Request and Transition to Phase 8</w:t>
      </w:r>
      <w:bookmarkEnd w:id="100009"/>
    </w:p>
    <w:p>
      <w:pPr>
        <w:spacing w:after="120" w:line="312"/>
        <w:jc w:val="left"/>
      </w:pPr>
      <w:r>
        <w:rPr>
          <w:rFonts w:ascii="Times New Roman" w:eastAsia="SimSun"/>
          <w:color w:val="000000"/>
          <w:sz w:val="24"/>
          <w:szCs w:val="24"/>
        </w:rPr>
        <w:t xml:space="preserve">The project asks the owner to take the Gate G7 decision on the plan's own terms. The gate reviews the migration reconciliation report, the training attendance and competence records, and the pilot exit report - all contained in this document and all live on the console's P7 tab - and the owner's part at this gate was to select the pilot woredas, instruct the offices to cooperate and approve the awareness materials. The pilot woredas were configured under the G6 authorization; the awareness materials in chapter 7 are presented for that approval now, and approving them (or amending them) is part of this decision.</w:t>
      </w:r>
    </w:p>
    <w:p>
      <w:pPr>
        <w:keepNext/>
        <w:spacing w:after="80" w:before="160" w:line="312"/>
      </w:pPr>
      <w:r>
        <w:rPr>
          <w:rFonts w:ascii="Times New Roman" w:eastAsia="SimSun"/>
          <w:b/>
          <w:bCs/>
          <w:color w:val="1A2330"/>
          <w:sz w:val="21"/>
          <w:szCs w:val="21"/>
        </w:rPr>
        <w:t xml:space="preserve">Table 10: Exit condition mapping for Gate G7</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42%"/>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Exit condition (plan)</w:t>
            </w:r>
          </w:p>
        </w:tc>
        <w:tc>
          <w:tcPr>
            <w:tcW w:type="pct" w:w="1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Status</w:t>
            </w:r>
          </w:p>
        </w:tc>
        <w:tc>
          <w:tcPr>
            <w:tcW w:type="pct" w:w="44%"/>
            <w:shd w:fill="D4875A" w:val="clear"/>
            <w:tcMar>
              <w:top w:type="dxa" w:w="60"/>
              <w:left w:type="dxa" w:w="120"/>
              <w:bottom w:type="dxa" w:w="60"/>
              <w:right w:type="dxa" w:w="120"/>
            </w:tcMar>
          </w:tcPr>
          <w:p>
            <w:pPr>
              <w:spacing w:line="276"/>
              <w:jc w:val="left"/>
            </w:pPr>
            <w:r>
              <w:rPr>
                <w:rFonts w:ascii="Times New Roman" w:eastAsia="SimSun"/>
                <w:b/>
                <w:bCs/>
                <w:color w:val="FFFFFF"/>
                <w:sz w:val="20"/>
                <w:szCs w:val="20"/>
              </w:rPr>
              <w:t xml:space="preserve">Evidence location</w:t>
            </w:r>
          </w:p>
        </w:tc>
      </w:tr>
      <w:tr>
        <w:trPr>
          <w:cantSplit/>
        </w:trPr>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woredas operate without severity-one issues</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 5 metrics (SEV1 = 0 across all day logs); chapter 6 exit check; negative drill proven in tests.</w:t>
            </w:r>
          </w:p>
        </w:tc>
      </w:tr>
      <w:tr>
        <w:trPr>
          <w:cantSplit/>
        </w:trPr>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Reconciliation balances</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Met</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 3 reports: 28/28/28 with zero variance in every pilot woreda.</w:t>
            </w:r>
          </w:p>
        </w:tc>
      </w:tr>
      <w:tr>
        <w:trPr>
          <w:cantSplit/>
        </w:trPr>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Migration report with reconciliation delivered</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Delivered</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Chapters 2-3; migration register and reports live on the console.</w:t>
            </w:r>
          </w:p>
        </w:tc>
      </w:tr>
      <w:tr>
        <w:trPr>
          <w:cantSplit/>
        </w:trPr>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Training attendance and competence records delivered</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Delivered</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 4; every pilot-critical role covered by a competent trainee.</w:t>
            </w:r>
          </w:p>
        </w:tc>
      </w:tr>
      <w:tr>
        <w:trPr>
          <w:cantSplit/>
        </w:trPr>
        <w:tc>
          <w:tcPr>
            <w:tcW w:type="pct" w:w="42%"/>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Pilot exit report delivered</w:t>
            </w:r>
          </w:p>
        </w:tc>
        <w:tc>
          <w:tcPr>
            <w:tcW w:type="pct" w:w="1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Delivered</w:t>
            </w:r>
          </w:p>
        </w:tc>
        <w:tc>
          <w:tcPr>
            <w:tcW w:type="pct" w:w="44%"/>
            <w:shd w:fill="F8F0EB"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Chapters 5-6 with the re-runnable exit check.</w:t>
            </w:r>
          </w:p>
        </w:tc>
      </w:tr>
      <w:tr>
        <w:trPr>
          <w:cantSplit/>
        </w:trPr>
        <w:tc>
          <w:tcPr>
            <w:tcW w:type="pct" w:w="42%"/>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Awareness materials prepared (Arts. 14, 16)</w:t>
            </w:r>
          </w:p>
        </w:tc>
        <w:tc>
          <w:tcPr>
            <w:tcW w:type="pct" w:w="1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Delivered, approval requested</w:t>
            </w:r>
          </w:p>
        </w:tc>
        <w:tc>
          <w:tcPr>
            <w:tcW w:type="pct" w:w="44%"/>
            <w:shd w:fill="FFFFFF" w:val="clear"/>
            <w:tcMar>
              <w:top w:type="dxa" w:w="60"/>
              <w:left w:type="dxa" w:w="120"/>
              <w:bottom w:type="dxa" w:w="60"/>
              <w:right w:type="dxa" w:w="120"/>
            </w:tcMar>
          </w:tcPr>
          <w:p>
            <w:pPr>
              <w:spacing w:line="276"/>
              <w:jc w:val="left"/>
            </w:pPr>
            <w:r>
              <w:rPr>
                <w:rFonts w:ascii="Times New Roman" w:eastAsia="SimSun"/>
                <w:b w:val="false"/>
                <w:bCs w:val="false"/>
                <w:color w:val="000000"/>
                <w:sz w:val="20"/>
                <w:szCs w:val="20"/>
              </w:rPr>
              <w:t xml:space="preserve">Chapter 7; approval action available at the gate.</w:t>
            </w:r>
          </w:p>
        </w:tc>
      </w:tr>
    </w:tbl>
    <w:p>
      <w:pPr>
        <w:spacing w:after="120" w:line="312"/>
        <w:jc w:val="left"/>
      </w:pPr>
      <w:r>
        <w:rPr>
          <w:rFonts w:ascii="Times New Roman" w:eastAsia="SimSun"/>
          <w:color w:val="000000"/>
          <w:sz w:val="24"/>
          <w:szCs w:val="24"/>
        </w:rPr>
        <w:t xml:space="preserve">Phase 8 - Go-Live, Operations and Continuous Improvement - is the phase this gate authorizes next. Its activities as the plan defines them are the wave rollout from the pilot woredas to all woredas of the pilot sub-city, then city-wide, with preparation for replication to other cities as configuration sets; hypercare support with agreed service levels transitioning into a governed standard operation with the operations manual and runbook; operating the annual adjustment cycle end to end - study workspace, June 1 publication, June 30 effect, amendment wave and compliance follow-up; operating penalty referrals and court-recovery tracking with the competent bodies; and the ninety-day post-implementation review that feeds the continuous improvement backlog and closes the project at Gate G9. Phase 8 is also where the two scheduled dispositions land: console read-path authorization hardening (DEF-06-01) and the official-register confirmation of the woreda structure (O-7) before city-wide exposure, together with session-based production authentication binding to the national identity provider.</w:t>
      </w:r>
    </w:p>
    <w:p>
      <w:pPr>
        <w:spacing w:after="120" w:line="312"/>
        <w:jc w:val="left"/>
      </w:pPr>
      <w:r>
        <w:rPr>
          <w:rFonts w:ascii="Times New Roman" w:eastAsia="SimSun"/>
          <w:color w:val="000000"/>
          <w:sz w:val="24"/>
          <w:szCs w:val="24"/>
        </w:rPr>
        <w:t xml:space="preserve">Requested decision: approve Gate G7 - confirm the pilot exit, approve the awareness materials, and authorize the go-live wave plan of Phase 8. As before, the console's P7 tab re-presents every table in this report from the platform's own API, in Amharic, English or Afan Oromo, for live inspection before the decision.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Rent Control and Administration System - Phase 7 Report: Data Migration, Training and 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House Rent Control and Administration System - Phase 7 Report</dc:title>
  <dc:creator>Rent Control and Administration System Project</dc:creator>
  <cp:lastModifiedBy>Un-named</cp:lastModifiedBy>
  <cp:revision>1</cp:revision>
  <dcterms:created xsi:type="dcterms:W3CDTF">2026-09-10T10:50:20.107Z</dcterms:created>
  <dcterms:modified xsi:type="dcterms:W3CDTF">2026-09-10T10:50:20.107Z</dcterms:modified>
</cp:coreProperties>
</file>

<file path=docProps/custom.xml><?xml version="1.0" encoding="utf-8"?>
<Properties xmlns="http://schemas.openxmlformats.org/officeDocument/2006/custom-properties" xmlns:vt="http://schemas.openxmlformats.org/officeDocument/2006/docPropsVTypes"/>
</file>