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vAlign w:val="top"/>
          </w:tcPr>
          <w:p>
            <w:pPr>
              <w:spacing w:before="3812"/>
            </w:pPr>
          </w:p>
          <w:p>
            <w:pPr>
              <w:pBdr>
                <w:bottom w:val="single" w:color="D4875A" w:sz="6" w:space="8"/>
              </w:pBdr>
              <w:spacing w:after="500"/>
              <w:ind w:left="1200" w:right="800"/>
            </w:pPr>
            <w:r>
              <w:rPr>
                <w:rFonts w:ascii="Calibri" w:eastAsia="SimHei"/>
                <w:color w:val="D4875A"/>
                <w:spacing w:val="40"/>
                <w:sz w:val="18"/>
                <w:szCs w:val="18"/>
              </w:rPr>
              <w:t xml:space="preserve">P  R  O  J  E  C  T     C  L  O  S  U  R  E     D  E  L  I  V  E  R  A  B  L  E</w:t>
            </w:r>
          </w:p>
          <w:p>
            <w:pPr>
              <w:spacing w:after="100" w:line="644" w:lineRule="atLeast"/>
              <w:ind w:left="1200" w:right="800"/>
            </w:pPr>
            <w:r>
              <w:rPr>
                <w:rFonts w:ascii="Arial" w:eastAsia="SimHei"/>
                <w:b/>
                <w:bCs/>
                <w:color w:val="FFFFFF"/>
                <w:sz w:val="56"/>
                <w:szCs w:val="56"/>
              </w:rPr>
              <w:t xml:space="preserve">Project Closure Minute</w:t>
            </w:r>
          </w:p>
          <w:p>
            <w:pPr>
              <w:spacing w:after="100" w:line="644" w:lineRule="atLeast"/>
              <w:ind w:left="1200" w:right="800"/>
            </w:pPr>
            <w:r>
              <w:rPr>
                <w:rFonts w:ascii="Arial" w:eastAsia="SimHei"/>
                <w:b/>
                <w:bCs/>
                <w:color w:val="FFFFFF"/>
                <w:sz w:val="56"/>
                <w:szCs w:val="56"/>
              </w:rPr>
              <w:t xml:space="preserve">(Signed): The Gate G9 Decision</w:t>
            </w:r>
          </w:p>
          <w:p>
            <w:pPr>
              <w:spacing w:after="300" w:line="644" w:lineRule="atLeast"/>
              <w:ind w:left="1200" w:right="800"/>
            </w:pPr>
            <w:r>
              <w:rPr>
                <w:rFonts w:ascii="Arial" w:eastAsia="SimHei"/>
                <w:b/>
                <w:bCs/>
                <w:color w:val="FFFFFF"/>
                <w:sz w:val="56"/>
                <w:szCs w:val="56"/>
              </w:rPr>
              <w:t xml:space="preserve">Executed and the Program Closed</w:t>
            </w:r>
          </w:p>
          <w:p>
            <w:pPr>
              <w:spacing w:after="800" w:line="340" w:lineRule="atLeast"/>
              <w:ind w:left="1200" w:right="800"/>
            </w:pPr>
            <w:r>
              <w:rPr>
                <w:rFonts w:ascii="Arial" w:eastAsia="Microsoft YaHei"/>
                <w:color w:val="B0B8C0"/>
                <w:sz w:val="24"/>
                <w:szCs w:val="24"/>
              </w:rPr>
              <w:t xml:space="preserve">Residential House Rent Control and Administration System - Final Gate Record</w:t>
            </w:r>
          </w:p>
          <w:p>
            <w:pPr>
              <w:pBdr>
                <w:left w:val="single" w:color="D4875A" w:sz="8" w:space="12"/>
              </w:pBdr>
              <w:spacing w:after="80"/>
              <w:ind w:left="1400" w:right="800"/>
            </w:pPr>
            <w:r>
              <w:rPr>
                <w:rFonts w:ascii="Arial" w:eastAsia="Microsoft YaHei"/>
                <w:color w:val="A8B0B8"/>
                <w:sz w:val="24"/>
                <w:szCs w:val="24"/>
              </w:rPr>
              <w:t xml:space="preserve">Legal Basis: Proclamation 1320/2016 + Directive 7/2016 + Model Agreement</w:t>
            </w:r>
          </w:p>
          <w:p>
            <w:pPr>
              <w:pBdr>
                <w:left w:val="single" w:color="D4875A" w:sz="8" w:space="12"/>
              </w:pBdr>
              <w:spacing w:after="80"/>
              <w:ind w:left="1400" w:right="800"/>
            </w:pPr>
            <w:r>
              <w:rPr>
                <w:rFonts w:ascii="Arial" w:eastAsia="Microsoft YaHei"/>
                <w:color w:val="A8B0B8"/>
                <w:sz w:val="24"/>
                <w:szCs w:val="24"/>
              </w:rPr>
              <w:t xml:space="preserve">Contents: Owner Decision Record, Signed Closure Minute CM-P8-G9-01, Lessons, BAU Transitions, Final Open Items, Post-Closure State, Project Record, Signature</w:t>
            </w:r>
          </w:p>
          <w:p>
            <w:pPr>
              <w:pBdr>
                <w:left w:val="single" w:color="D4875A" w:sz="8" w:space="12"/>
              </w:pBdr>
              <w:spacing w:after="80"/>
              <w:ind w:left="1400" w:right="800"/>
            </w:pPr>
            <w:r>
              <w:rPr>
                <w:rFonts w:ascii="Arial" w:eastAsia="Microsoft YaHei"/>
                <w:color w:val="A8B0B8"/>
                <w:sz w:val="24"/>
                <w:szCs w:val="24"/>
              </w:rPr>
              <w:t xml:space="preserve">Decision Reference: GATE-G9-2026-09-11 (closure minute signed and frozen)</w:t>
            </w:r>
          </w:p>
          <w:p>
            <w:pPr>
              <w:pBdr>
                <w:left w:val="single" w:color="D4875A" w:sz="8" w:space="12"/>
              </w:pBdr>
              <w:spacing w:after="80"/>
              <w:ind w:left="1400" w:right="800"/>
            </w:pPr>
            <w:r>
              <w:rPr>
                <w:rFonts w:ascii="Arial" w:eastAsia="Microsoft YaHei"/>
                <w:color w:val="A8B0B8"/>
                <w:sz w:val="24"/>
                <w:szCs w:val="24"/>
              </w:rPr>
              <w:t xml:space="preserve">Baseline: SRS v1.1 (CR-01 Trilingual: Amharic, English, Afan Oromo)</w:t>
            </w:r>
          </w:p>
          <w:p>
            <w:pPr>
              <w:pBdr>
                <w:left w:val="single" w:color="D4875A" w:sz="8" w:space="12"/>
              </w:pBdr>
              <w:spacing w:after="80"/>
              <w:ind w:left="1400" w:right="800"/>
            </w:pPr>
            <w:r>
              <w:rPr>
                <w:rFonts w:ascii="Arial" w:eastAsia="Microsoft YaHei"/>
                <w:color w:val="A8B0B8"/>
                <w:sz w:val="24"/>
                <w:szCs w:val="24"/>
              </w:rPr>
              <w:t xml:space="preserve">Date: September 2026</w:t>
            </w:r>
          </w:p>
          <w:p>
            <w:pPr>
              <w:spacing w:before="3812"/>
            </w:pPr>
          </w:p>
          <w:p>
            <w:pPr>
              <w:pBdr>
                <w:top w:val="single" w:color="D4875A" w:sz="2" w:space="8"/>
              </w:pBdr>
              <w:spacing w:before="200"/>
              <w:ind w:left="1200" w:right="800"/>
            </w:pPr>
            <w:r>
              <w:rPr>
                <w:rFonts w:ascii="Arial"/>
                <w:color w:val="8A929A"/>
                <w:sz w:val="16"/>
                <w:szCs w:val="16"/>
              </w:rPr>
              <w:t xml:space="preserve">Rent Control and Administration System Project</w:t>
            </w:r>
            <w:r>
              <w:t xml:space="preserve">                                        </w:t>
            </w:r>
            <w:r>
              <w:rPr>
                <w:rFonts w:ascii="Arial"/>
                <w:color w:val="8A929A"/>
                <w:sz w:val="16"/>
                <w:szCs w:val="16"/>
              </w:rPr>
              <w:t xml:space="preserve">Project Closure Minute (Signed)</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The Owner's Decision and What It Closes</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The Signature Executed on the Platform</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Lessons Recorded</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Business-as-Usual Transitions to the Standing Service</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The Final Open-Item Register</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6. Post-Closure Platform State</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6.1 The Operational Snapshot at Closure</w:t>
            </w:r>
            <w:r>
              <w:tab/>
            </w:r>
            <w:r>
              <w:fldChar w:fldCharType="begin"/>
            </w:r>
            <w:r>
              <w:instrText xml:space="preserve"> PAGEREF _Toc100006 \h </w:instrText>
            </w:r>
            <w:r>
              <w:fldChar w:fldCharType="separate"/>
            </w:r>
            <w:r>
              <w:t>6</w:t>
            </w:r>
            <w:r>
              <w:fldChar w:fldCharType="end"/>
            </w:r>
          </w:hyperlink>
        </w:p>
        <w:p>
          <w:pPr>
            <w:pStyle w:val="9"/>
            <w:tabs>
              <w:tab w:val="right" w:leader="dot" w:pos="9026"/>
            </w:tabs>
            <w:spacing w:before="120" w:after="60"/>
          </w:pPr>
          <w:hyperlink w:anchor="_Toc100007" w:history="1">
            <w:r>
              <w:rPr>
                <w:rStyle w:val="Hyperlink"/>
              </w:rPr>
              <w:t>7. The Project Record</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7.1 Verification Totals Across the Program</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7.2 The Deliverable Record</w:t>
            </w:r>
            <w:r>
              <w:tab/>
            </w:r>
            <w:r>
              <w:fldChar w:fldCharType="begin"/>
            </w:r>
            <w:r>
              <w:instrText xml:space="preserve"> PAGEREF _Toc100009 \h </w:instrText>
            </w:r>
            <w:r>
              <w:fldChar w:fldCharType="separate"/>
            </w:r>
            <w:r>
              <w:t>7</w:t>
            </w:r>
            <w:r>
              <w:fldChar w:fldCharType="end"/>
            </w:r>
          </w:hyperlink>
        </w:p>
        <w:p>
          <w:pPr>
            <w:pStyle w:val="9"/>
            <w:tabs>
              <w:tab w:val="right" w:leader="dot" w:pos="9026"/>
            </w:tabs>
            <w:spacing w:before="120" w:after="60"/>
          </w:pPr>
          <w:hyperlink w:anchor="_Toc100010" w:history="1">
            <w:r>
              <w:rPr>
                <w:rStyle w:val="Hyperlink"/>
              </w:rPr>
              <w:t>8. The Signature</w:t>
            </w:r>
            <w:r>
              <w:tab/>
            </w:r>
            <w:r>
              <w:fldChar w:fldCharType="begin"/>
            </w:r>
            <w:r>
              <w:instrText xml:space="preserve"> PAGEREF _Toc100010 \h </w:instrText>
            </w:r>
            <w:r>
              <w:fldChar w:fldCharType="separate"/>
            </w:r>
            <w:r>
              <w:t>7</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A2330"/>
          <w:sz w:val="32"/>
          <w:szCs w:val="32"/>
        </w:rPr>
        <w:t xml:space="preserve">1. The Owner's Decision and What It Closes</w:t>
      </w:r>
      <w:bookmarkEnd w:id="100000"/>
    </w:p>
    <w:p>
      <w:pPr>
        <w:spacing w:after="120" w:line="312"/>
        <w:jc w:val="left"/>
      </w:pPr>
      <w:r>
        <w:rPr>
          <w:rFonts w:ascii="Times New Roman" w:eastAsia="SimSun"/>
          <w:color w:val="000000"/>
          <w:sz w:val="24"/>
          <w:szCs w:val="24"/>
        </w:rPr>
        <w:t xml:space="preserve">The owner's Gate G9 decision arrived on the Gate G9 Closure Report as a written approval, and the platform records it under the decision reference GATE-G9-2026-09-11 - the third formal gate reference in the register, following the pilot authorization GATE-G7-2026-09-10 and the go-live order GATE-G8-2026-09-10. The plan gives Gate G9 one sentence and one deliverable: close the project with lessons recorded, in a closure minute. Approval of the package therefore executes three acts at once: the closure minute CM-P8-G9-01 is signed under the written reference, the project team is released, and the owner confirms the standing service's acceptance of the business-as-usual transitions the minute records. This document is the record of those acts, and with it the program reaches the end of the roadmap the implementation plan drew: nine phases, ten gates, and every gate now carrying the owner's decision.</w:t>
      </w:r>
    </w:p>
    <w:p>
      <w:pPr>
        <w:spacing w:after="120" w:line="312"/>
        <w:jc w:val="left"/>
      </w:pPr>
      <w:r>
        <w:rPr>
          <w:rFonts w:ascii="Times New Roman" w:eastAsia="SimSun"/>
          <w:color w:val="000000"/>
          <w:sz w:val="24"/>
          <w:szCs w:val="24"/>
        </w:rPr>
        <w:t xml:space="preserve">The closing is deliberately a transfer rather than a stop. The platform freezes in the closure state this decision produced - the registers immutable, the audit chain unbroken, the signed minute refusing any second signature - and the standing service continues under operations manual v1.1 and runbook v1.1 with the transitions of chapter four as its opening agenda: the Wave 2 cutover order resting with city operations, the production authentication switch thrown at each physical cutover, the monthly Ministry feed, the 2027 annual cycle workspace, and the improvement backlog under monthly review. Nothing in the record requires the project to exist for the service to run; that was the test Gate G9 posed, and the decision recorded here is the answer to it.</w:t>
      </w:r>
    </w:p>
    <w:p>
      <w:pPr>
        <w:pStyle w:val="Heading1"/>
        <w:spacing w:after="160" w:before="360" w:line="312"/>
      </w:pPr>
      <w:bookmarkStart w:id="100001" w:name="_Toc100001"/>
      <w:r>
        <w:rPr>
          <w:rFonts w:ascii="Times New Roman" w:eastAsia="SimHei"/>
          <w:b/>
          <w:bCs/>
          <w:color w:val="1A2330"/>
          <w:sz w:val="32"/>
          <w:szCs w:val="32"/>
        </w:rPr>
        <w:t xml:space="preserve">2. The Signature Executed on the Platform</w:t>
      </w:r>
      <w:bookmarkEnd w:id="100001"/>
    </w:p>
    <w:p>
      <w:pPr>
        <w:spacing w:after="120" w:line="312"/>
        <w:jc w:val="left"/>
      </w:pPr>
      <w:r>
        <w:rPr>
          <w:rFonts w:ascii="Times New Roman" w:eastAsia="SimSun"/>
          <w:color w:val="000000"/>
          <w:sz w:val="24"/>
          <w:szCs w:val="24"/>
        </w:rPr>
        <w:t xml:space="preserve">The decision was executed through the platform's own Gate G9 action - the plan's activity A-48 - over the live HTTP API, by the same governed route every owner act has taken since the first gate: a signed request carrying the required capability (golive:order), evaluated by the platform's guards, written as an audit event into the hash chain. The closure minute CM-P8-G9-01 moved from DRAFT to SIGNED with the signatory and the written decision reference recorded on the minute row itself: signed by Owner, under GATE-G9-2026-09-11, at 2026-09-10T17:05:22.013Z. The signature is not a narrative claim; it is state, and the state refuses revision - a second signature attempt was made and refused by the platform with the reason "Closure minute already signed", which is the freeze proof the closure requires. The post-closure readiness check was re-run after signing and passes ten of ten criteria, and the audit chain verified intact at 814 of 814 events with no broken sequence.</w:t>
      </w:r>
    </w:p>
    <w:p>
      <w:pPr>
        <w:keepNext/>
        <w:spacing w:after="80" w:before="160" w:line="312"/>
      </w:pPr>
      <w:r>
        <w:rPr>
          <w:rFonts w:ascii="Times New Roman" w:eastAsia="SimSun"/>
          <w:b/>
          <w:bCs/>
          <w:color w:val="1A2330"/>
          <w:sz w:val="21"/>
          <w:szCs w:val="21"/>
        </w:rPr>
        <w:t xml:space="preserve">Table 1: The Gate G9 decision record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tblGrid>
      <w:tr>
        <w:trPr>
          <w:cantSplit/>
          <w:tblHeader/>
        </w:trPr>
        <w:tc>
          <w:tcPr>
            <w:tcW w:type="pct" w:w="2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Field</w:t>
            </w:r>
          </w:p>
        </w:tc>
        <w:tc>
          <w:tcPr>
            <w:tcW w:type="pct" w:w="7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Value</w:t>
            </w:r>
          </w:p>
        </w:tc>
      </w:tr>
      <w:tr>
        <w:trPr>
          <w:cantSplit/>
        </w:trPr>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Gate</w:t>
            </w:r>
          </w:p>
        </w:tc>
        <w:tc>
          <w:tcPr>
            <w:tcW w:type="pct" w:w="7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G9 - Close the Project (final gate of ten)</w:t>
            </w:r>
          </w:p>
        </w:tc>
      </w:tr>
      <w:tr>
        <w:trPr>
          <w:cantSplit/>
        </w:trPr>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Decision</w:t>
            </w:r>
          </w:p>
        </w:tc>
        <w:tc>
          <w:tcPr>
            <w:tcW w:type="pct" w:w="7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Approved - sign closure minute CM-P8-G9-01; close the project</w:t>
            </w:r>
          </w:p>
        </w:tc>
      </w:tr>
      <w:tr>
        <w:trPr>
          <w:cantSplit/>
        </w:trPr>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Written decision reference</w:t>
            </w:r>
          </w:p>
        </w:tc>
        <w:tc>
          <w:tcPr>
            <w:tcW w:type="pct" w:w="7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GATE-G9-2026-09-11</w:t>
            </w:r>
          </w:p>
        </w:tc>
      </w:tr>
      <w:tr>
        <w:trPr>
          <w:cantSplit/>
        </w:trPr>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Decision channel</w:t>
            </w:r>
          </w:p>
        </w:tc>
        <w:tc>
          <w:tcPr>
            <w:tcW w:type="pct" w:w="7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Owner approval on the Gate G9 Closure Report (18-page gate package)</w:t>
            </w:r>
          </w:p>
        </w:tc>
      </w:tr>
      <w:tr>
        <w:trPr>
          <w:cantSplit/>
        </w:trPr>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Closure minute</w:t>
            </w:r>
          </w:p>
        </w:tc>
        <w:tc>
          <w:tcPr>
            <w:tcW w:type="pct" w:w="7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CM-P8-G9-01 - status SIGNED</w:t>
            </w:r>
          </w:p>
        </w:tc>
      </w:tr>
      <w:tr>
        <w:trPr>
          <w:cantSplit/>
        </w:trPr>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Signatory</w:t>
            </w:r>
          </w:p>
        </w:tc>
        <w:tc>
          <w:tcPr>
            <w:tcW w:type="pct" w:w="7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Owner</w:t>
            </w:r>
          </w:p>
        </w:tc>
      </w:tr>
      <w:tr>
        <w:trPr>
          <w:cantSplit/>
        </w:trPr>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Executed at (platform record)</w:t>
            </w:r>
          </w:p>
        </w:tc>
        <w:tc>
          <w:tcPr>
            <w:tcW w:type="pct" w:w="7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2026-09-10T17:05:22.013Z</w:t>
            </w:r>
          </w:p>
        </w:tc>
      </w:tr>
      <w:tr>
        <w:trPr>
          <w:cantSplit/>
        </w:trPr>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Freeze proof</w:t>
            </w:r>
          </w:p>
        </w:tc>
        <w:tc>
          <w:tcPr>
            <w:tcW w:type="pct" w:w="7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Re-signature refused: "Closure minute already signed."</w:t>
            </w:r>
          </w:p>
        </w:tc>
      </w:tr>
      <w:tr>
        <w:trPr>
          <w:cantSplit/>
        </w:trPr>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Post-closure G9 check</w:t>
            </w:r>
          </w:p>
        </w:tc>
        <w:tc>
          <w:tcPr>
            <w:tcW w:type="pct" w:w="7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 / 10 criteria PASS (chapter six)</w:t>
            </w:r>
          </w:p>
        </w:tc>
      </w:tr>
      <w:tr>
        <w:trPr>
          <w:cantSplit/>
        </w:trPr>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Audit chain</w:t>
            </w:r>
          </w:p>
        </w:tc>
        <w:tc>
          <w:tcPr>
            <w:tcW w:type="pct" w:w="7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INTACT - 814/814 events hash-verified, no broken sequence</w:t>
            </w:r>
          </w:p>
        </w:tc>
      </w:tr>
    </w:tbl>
    <w:p>
      <w:pPr>
        <w:spacing w:after="120" w:line="312"/>
        <w:jc w:val="left"/>
      </w:pPr>
      <w:r>
        <w:rPr>
          <w:rFonts w:ascii="Times New Roman" w:eastAsia="SimSun"/>
          <w:color w:val="000000"/>
          <w:sz w:val="24"/>
          <w:szCs w:val="24"/>
        </w:rPr>
        <w:t xml:space="preserve">One property of this record deserves its own sentence: the decision is dated and referenced by the platform at the moment of execution, so the closure carries the same evidentiary weight as every registered act in the system's history - from the first legacy contract annotated under Directive Article 8(2) to the last Ministry feed hop. There is no separate closure paperwork whose authenticity depends on trust; there is a signed minute in a hash-chained register, and this document narrates it.</w:t>
      </w:r>
    </w:p>
    <w:p>
      <w:pPr>
        <w:pStyle w:val="Heading1"/>
        <w:spacing w:after="160" w:before="360" w:line="312"/>
      </w:pPr>
      <w:bookmarkStart w:id="100002" w:name="_Toc100002"/>
      <w:r>
        <w:rPr>
          <w:rFonts w:ascii="Times New Roman" w:eastAsia="SimHei"/>
          <w:b/>
          <w:bCs/>
          <w:color w:val="1A2330"/>
          <w:sz w:val="32"/>
          <w:szCs w:val="32"/>
        </w:rPr>
        <w:t xml:space="preserve">3. Lessons Recorded</w:t>
      </w:r>
      <w:bookmarkEnd w:id="100002"/>
    </w:p>
    <w:p>
      <w:pPr>
        <w:spacing w:after="120" w:line="312"/>
        <w:jc w:val="left"/>
      </w:pPr>
      <w:r>
        <w:rPr>
          <w:rFonts w:ascii="Times New Roman" w:eastAsia="SimSun"/>
          <w:color w:val="000000"/>
          <w:sz w:val="24"/>
          <w:szCs w:val="24"/>
        </w:rPr>
        <w:t xml:space="preserve">The plan requires the closure minute to record at least five lessons, and the minute carries six. Each one names the mechanism that taught it rather than praising an abstraction, which is what makes them usable by the next program that reads this register: a lesson that says what worked is a plaque, but a lesson that says which behaviour produced the result is a procedure. They are recorded here verbatim from the signed minute, in the minute's own order and wording.</w:t>
      </w:r>
    </w:p>
    <w:p>
      <w:pPr>
        <w:pStyle w:val="ListParagraph"/>
        <w:numPr>
          <w:ilvl w:val="0"/>
          <w:numId w:val="1"/>
        </w:numPr>
        <w:spacing w:after="80" w:line="312"/>
        <w:jc w:val="left"/>
      </w:pPr>
      <w:r>
        <w:rPr>
          <w:rFonts w:ascii="Times New Roman" w:eastAsia="SimSun"/>
          <w:color w:val="000000"/>
          <w:sz w:val="24"/>
          <w:szCs w:val="24"/>
        </w:rPr>
        <w:t xml:space="preserve">Lesson 1. Migration succeeded because the register was treated as the contract: Dir. Art. 8(2) legacy annotation kept the paper truth while the platform reconciled to it woreda by woreda, and unscanned rows were refused rather than approximated.</w:t>
      </w:r>
    </w:p>
    <w:p>
      <w:pPr>
        <w:pStyle w:val="ListParagraph"/>
        <w:numPr>
          <w:ilvl w:val="0"/>
          <w:numId w:val="1"/>
        </w:numPr>
        <w:spacing w:after="80" w:line="312"/>
        <w:jc w:val="left"/>
      </w:pPr>
      <w:r>
        <w:rPr>
          <w:rFonts w:ascii="Times New Roman" w:eastAsia="SimSun"/>
          <w:color w:val="000000"/>
          <w:sz w:val="24"/>
          <w:szCs w:val="24"/>
        </w:rPr>
        <w:t xml:space="preserve">Lesson 2. Role- and tier-based training paid for itself in hypercare: no severity-one incident traced to front-desk operation, and desk champions absorbed the bulk of tickets at level 1.</w:t>
      </w:r>
    </w:p>
    <w:p>
      <w:pPr>
        <w:pStyle w:val="ListParagraph"/>
        <w:numPr>
          <w:ilvl w:val="0"/>
          <w:numId w:val="1"/>
        </w:numPr>
        <w:spacing w:after="80" w:line="312"/>
        <w:jc w:val="left"/>
      </w:pPr>
      <w:r>
        <w:rPr>
          <w:rFonts w:ascii="Times New Roman" w:eastAsia="SimSun"/>
          <w:color w:val="000000"/>
          <w:sz w:val="24"/>
          <w:szCs w:val="24"/>
        </w:rPr>
        <w:t xml:space="preserve">Lesson 3. Legal gates encoded in software (checklist, two-year term, ceiling, electronic payment) behaved as law rather than as features; officers learned the rules through the platform's refusals, each carrying the article it protects.</w:t>
      </w:r>
    </w:p>
    <w:p>
      <w:pPr>
        <w:pStyle w:val="ListParagraph"/>
        <w:numPr>
          <w:ilvl w:val="0"/>
          <w:numId w:val="1"/>
        </w:numPr>
        <w:spacing w:after="80" w:line="312"/>
        <w:jc w:val="left"/>
      </w:pPr>
      <w:r>
        <w:rPr>
          <w:rFonts w:ascii="Times New Roman" w:eastAsia="SimSun"/>
          <w:color w:val="000000"/>
          <w:sz w:val="24"/>
          <w:szCs w:val="24"/>
        </w:rPr>
        <w:t xml:space="preserve">Lesson 4. Evidence discipline — append-only registers, hash-verified feeds, immutable reconciliation reports — kept gate reviews short because every fact was re-readable live in three languages.</w:t>
      </w:r>
    </w:p>
    <w:p>
      <w:pPr>
        <w:pStyle w:val="ListParagraph"/>
        <w:numPr>
          <w:ilvl w:val="0"/>
          <w:numId w:val="1"/>
        </w:numPr>
        <w:spacing w:after="80" w:line="312"/>
        <w:jc w:val="left"/>
      </w:pPr>
      <w:r>
        <w:rPr>
          <w:rFonts w:ascii="Times New Roman" w:eastAsia="SimSun"/>
          <w:color w:val="000000"/>
          <w:sz w:val="24"/>
          <w:szCs w:val="24"/>
        </w:rPr>
        <w:t xml:space="preserve">Lesson 5. The compressed demonstrator schedule stayed honest by recording the full operational arc with explicit bases and dates rather than claiming wall-clock realism; every seed row cites its plan activity and legal basis.</w:t>
      </w:r>
    </w:p>
    <w:p>
      <w:pPr>
        <w:pStyle w:val="ListParagraph"/>
        <w:numPr>
          <w:ilvl w:val="0"/>
          <w:numId w:val="1"/>
        </w:numPr>
        <w:spacing w:after="80" w:line="312"/>
        <w:jc w:val="left"/>
      </w:pPr>
      <w:r>
        <w:rPr>
          <w:rFonts w:ascii="Times New Roman" w:eastAsia="SimSun"/>
          <w:color w:val="000000"/>
          <w:sz w:val="24"/>
          <w:szCs w:val="24"/>
        </w:rPr>
        <w:t xml:space="preserve">Lesson 6. Escalation levels 2-4 stayed cool because level 1 (woreda desk champions) was staffed and trained first; support structure followed the administrative tiers of the Directive.</w:t>
      </w:r>
    </w:p>
    <w:p>
      <w:pPr>
        <w:spacing w:after="120" w:line="312"/>
        <w:jc w:val="left"/>
      </w:pPr>
      <w:r>
        <w:rPr>
          <w:rFonts w:ascii="Times New Roman" w:eastAsia="SimSun"/>
          <w:color w:val="000000"/>
          <w:sz w:val="24"/>
          <w:szCs w:val="24"/>
        </w:rPr>
        <w:t xml:space="preserve">Read together, the six lessons describe one posture: treat registers as contracts, put the law in the software's refusals, staff the front line first, and let evidence discipline keep every review short. Nothing in them depends on this particular platform's internals; they transfer to any program that must make a regulation executable and then prove, gate by gate, that the execution is faithful.</w:t>
      </w:r>
    </w:p>
    <w:p>
      <w:pPr>
        <w:pStyle w:val="Heading1"/>
        <w:spacing w:after="160" w:before="360" w:line="312"/>
      </w:pPr>
      <w:bookmarkStart w:id="100003" w:name="_Toc100003"/>
      <w:r>
        <w:rPr>
          <w:rFonts w:ascii="Times New Roman" w:eastAsia="SimHei"/>
          <w:b/>
          <w:bCs/>
          <w:color w:val="1A2330"/>
          <w:sz w:val="32"/>
          <w:szCs w:val="32"/>
        </w:rPr>
        <w:t xml:space="preserve">4. Business-as-Usual Transitions to the Standing Service</w:t>
      </w:r>
      <w:bookmarkEnd w:id="100003"/>
    </w:p>
    <w:p>
      <w:pPr>
        <w:spacing w:after="120" w:line="312"/>
        <w:jc w:val="left"/>
      </w:pPr>
      <w:r>
        <w:rPr>
          <w:rFonts w:ascii="Times New Roman" w:eastAsia="SimSun"/>
          <w:color w:val="000000"/>
          <w:sz w:val="24"/>
          <w:szCs w:val="24"/>
        </w:rPr>
        <w:t xml:space="preserve">The minute records six transitions - the concrete items the standing service accepts as its opening agenda, each with its state at closure stated plainly. The owner's approval confirms this acceptance on the record. The transitions are reproduced verbatim from the signed minute.</w:t>
      </w:r>
    </w:p>
    <w:p>
      <w:pPr>
        <w:pStyle w:val="ListParagraph"/>
        <w:numPr>
          <w:ilvl w:val="0"/>
          <w:numId w:val="1"/>
        </w:numPr>
        <w:spacing w:after="80" w:line="312"/>
        <w:jc w:val="left"/>
      </w:pPr>
      <w:r>
        <w:rPr>
          <w:rFonts w:ascii="Times New Roman" w:eastAsia="SimSun"/>
          <w:color w:val="000000"/>
          <w:sz w:val="24"/>
          <w:szCs w:val="24"/>
        </w:rPr>
        <w:t xml:space="preserve">Transition 1. Wave 2 (city-wide, remaining 10 sub-cities): checklist green and sequencing gates satisfied; the cutover order rests with city operations under runbook v1.1 wave procedure.</w:t>
      </w:r>
    </w:p>
    <w:p>
      <w:pPr>
        <w:pStyle w:val="ListParagraph"/>
        <w:numPr>
          <w:ilvl w:val="0"/>
          <w:numId w:val="1"/>
        </w:numPr>
        <w:spacing w:after="80" w:line="312"/>
        <w:jc w:val="left"/>
      </w:pPr>
      <w:r>
        <w:rPr>
          <w:rFonts w:ascii="Times New Roman" w:eastAsia="SimSun"/>
          <w:color w:val="000000"/>
          <w:sz w:val="24"/>
          <w:szCs w:val="24"/>
        </w:rPr>
        <w:t xml:space="preserve">Transition 2. Authentication: production read-path mode armed and drilled; the switch is thrown at each physical cutover per runbook section 'Access management' (DEF-06-01 closure discipline).</w:t>
      </w:r>
    </w:p>
    <w:p>
      <w:pPr>
        <w:pStyle w:val="ListParagraph"/>
        <w:numPr>
          <w:ilvl w:val="0"/>
          <w:numId w:val="1"/>
        </w:numPr>
        <w:spacing w:after="80" w:line="312"/>
        <w:jc w:val="left"/>
      </w:pPr>
      <w:r>
        <w:rPr>
          <w:rFonts w:ascii="Times New Roman" w:eastAsia="SimSun"/>
          <w:color w:val="000000"/>
          <w:sz w:val="24"/>
          <w:szCs w:val="24"/>
        </w:rPr>
        <w:t xml:space="preserve">Transition 3. O-1 (official Amharic fine-ladder figures): configurable PEN-* parameters; the official text lands as a data update without code change.</w:t>
      </w:r>
    </w:p>
    <w:p>
      <w:pPr>
        <w:pStyle w:val="ListParagraph"/>
        <w:numPr>
          <w:ilvl w:val="0"/>
          <w:numId w:val="1"/>
        </w:numPr>
        <w:spacing w:after="80" w:line="312"/>
        <w:jc w:val="left"/>
      </w:pPr>
      <w:r>
        <w:rPr>
          <w:rFonts w:ascii="Times New Roman" w:eastAsia="SimSun"/>
          <w:color w:val="000000"/>
          <w:sz w:val="24"/>
          <w:szCs w:val="24"/>
        </w:rPr>
        <w:t xml:space="preserve">Transition 4. O-8 (certified Afan Oromo legal glossary): CR-01 fallback active; terminology workshop scheduled with the culture bureau as a BAU activity.</w:t>
      </w:r>
    </w:p>
    <w:p>
      <w:pPr>
        <w:pStyle w:val="ListParagraph"/>
        <w:numPr>
          <w:ilvl w:val="0"/>
          <w:numId w:val="1"/>
        </w:numPr>
        <w:spacing w:after="80" w:line="312"/>
        <w:jc w:val="left"/>
      </w:pPr>
      <w:r>
        <w:rPr>
          <w:rFonts w:ascii="Times New Roman" w:eastAsia="SimSun"/>
          <w:color w:val="000000"/>
          <w:sz w:val="24"/>
          <w:szCs w:val="24"/>
        </w:rPr>
        <w:t xml:space="preserve">Transition 5. Improvement backlog BL-01..BL-03 transfers to operations with a monthly review; the PIR register carries the dispositions.</w:t>
      </w:r>
    </w:p>
    <w:p>
      <w:pPr>
        <w:pStyle w:val="ListParagraph"/>
        <w:numPr>
          <w:ilvl w:val="0"/>
          <w:numId w:val="1"/>
        </w:numPr>
        <w:spacing w:after="80" w:line="312"/>
        <w:jc w:val="left"/>
      </w:pPr>
      <w:r>
        <w:rPr>
          <w:rFonts w:ascii="Times New Roman" w:eastAsia="SimSun"/>
          <w:color w:val="000000"/>
          <w:sz w:val="24"/>
          <w:szCs w:val="24"/>
        </w:rPr>
        <w:t xml:space="preserve">Transition 6. Ministry feed continues monthly under runbook v1.1; periods are immutable and hash-verified.</w:t>
      </w:r>
    </w:p>
    <w:p>
      <w:pPr>
        <w:spacing w:after="120" w:line="312"/>
        <w:jc w:val="left"/>
      </w:pPr>
      <w:r>
        <w:rPr>
          <w:rFonts w:ascii="Times New Roman" w:eastAsia="SimSun"/>
          <w:color w:val="000000"/>
          <w:sz w:val="24"/>
          <w:szCs w:val="24"/>
        </w:rPr>
        <w:t xml:space="preserve">The shape of the list is the shape of the handover: the operational decisions that remain (Wave 2's cutover order, the authentication switch at each physical cutover) rest with city operations under runbook v1.1; the data dependencies that await external acts (the official Amharic fine-ladder figures, the certified Afan Oromo glossary) are wired as configuration and workshop activities that need no code change; and the routine cadences - the monthly Ministry feed, the annual adjustment cycle workspace for 2027, the improvement backlog's monthly review - are already running or scheduled, with their procedures in the operations manual the team handed over signed. The standing service begins with nothing unresolved that the project could have resolved.</w:t>
      </w:r>
    </w:p>
    <w:p>
      <w:pPr>
        <w:pStyle w:val="Heading1"/>
        <w:spacing w:after="160" w:before="360" w:line="312"/>
      </w:pPr>
      <w:bookmarkStart w:id="100004" w:name="_Toc100004"/>
      <w:r>
        <w:rPr>
          <w:rFonts w:ascii="Times New Roman" w:eastAsia="SimHei"/>
          <w:b/>
          <w:bCs/>
          <w:color w:val="1A2330"/>
          <w:sz w:val="32"/>
          <w:szCs w:val="32"/>
        </w:rPr>
        <w:t xml:space="preserve">5. The Final Open-Item Register</w:t>
      </w:r>
      <w:bookmarkEnd w:id="100004"/>
    </w:p>
    <w:p>
      <w:pPr>
        <w:spacing w:after="120" w:line="312"/>
        <w:jc w:val="left"/>
      </w:pPr>
      <w:r>
        <w:rPr>
          <w:rFonts w:ascii="Times New Roman" w:eastAsia="SimSun"/>
          <w:color w:val="000000"/>
          <w:sz w:val="24"/>
          <w:szCs w:val="24"/>
        </w:rPr>
        <w:t xml:space="preserve">A closure is credible only if its open items are stated rather than smoothed. The minute's open-item register is short because the program's gate discipline retired items at the gates where they arose, and every line carries its disposition: nothing is open at any severity, and the two external dependencies (O-1 and O-8) were never code debt - they are official-text and terminology acts that land as data updates and workshops by design.</w:t>
      </w:r>
    </w:p>
    <w:p>
      <w:pPr>
        <w:pStyle w:val="ListParagraph"/>
        <w:numPr>
          <w:ilvl w:val="0"/>
          <w:numId w:val="1"/>
        </w:numPr>
        <w:spacing w:after="80" w:line="312"/>
        <w:jc w:val="left"/>
      </w:pPr>
      <w:r>
        <w:rPr>
          <w:rFonts w:ascii="Times New Roman" w:eastAsia="SimSun"/>
          <w:color w:val="000000"/>
          <w:sz w:val="24"/>
          <w:szCs w:val="24"/>
        </w:rPr>
        <w:t xml:space="preserve">O-1: CLOSED_BY_DISPOSITION — configurable penalty parameters await the official figures; engine reads parameters, never constants.</w:t>
      </w:r>
    </w:p>
    <w:p>
      <w:pPr>
        <w:pStyle w:val="ListParagraph"/>
        <w:numPr>
          <w:ilvl w:val="0"/>
          <w:numId w:val="1"/>
        </w:numPr>
        <w:spacing w:after="80" w:line="312"/>
        <w:jc w:val="left"/>
      </w:pPr>
      <w:r>
        <w:rPr>
          <w:rFonts w:ascii="Times New Roman" w:eastAsia="SimSun"/>
          <w:color w:val="000000"/>
          <w:sz w:val="24"/>
          <w:szCs w:val="24"/>
        </w:rPr>
        <w:t xml:space="preserve">O-8: HANDOVER — certified glossary workshop with the culture bureau; trilingual fallback active (CR-01/NFR-06).</w:t>
      </w:r>
    </w:p>
    <w:p>
      <w:pPr>
        <w:pStyle w:val="ListParagraph"/>
        <w:numPr>
          <w:ilvl w:val="0"/>
          <w:numId w:val="1"/>
        </w:numPr>
        <w:spacing w:after="80" w:line="312"/>
        <w:jc w:val="left"/>
      </w:pPr>
      <w:r>
        <w:rPr>
          <w:rFonts w:ascii="Times New Roman" w:eastAsia="SimSun"/>
          <w:color w:val="000000"/>
          <w:sz w:val="24"/>
          <w:szCs w:val="24"/>
        </w:rPr>
        <w:t xml:space="preserve">DEF-08-01: CLOSED — hosting FD provisioning documented in operations manual v1.1.</w:t>
      </w:r>
    </w:p>
    <w:p>
      <w:pPr>
        <w:pStyle w:val="ListParagraph"/>
        <w:numPr>
          <w:ilvl w:val="0"/>
          <w:numId w:val="1"/>
        </w:numPr>
        <w:spacing w:after="80" w:line="312"/>
        <w:jc w:val="left"/>
      </w:pPr>
      <w:r>
        <w:rPr>
          <w:rFonts w:ascii="Times New Roman" w:eastAsia="SimSun"/>
          <w:color w:val="000000"/>
          <w:sz w:val="24"/>
          <w:szCs w:val="24"/>
        </w:rPr>
        <w:t xml:space="preserve">Defect register: no open defects at any severity at closure (DEF-06-01..03, DEF-07-01..02, DEF-08-01..02 all closed).</w:t>
      </w:r>
    </w:p>
    <w:p>
      <w:pPr>
        <w:spacing w:after="120" w:line="312"/>
        <w:jc w:val="left"/>
      </w:pPr>
      <w:r>
        <w:rPr>
          <w:rFonts w:ascii="Times New Roman" w:eastAsia="SimSun"/>
          <w:color w:val="000000"/>
          <w:sz w:val="24"/>
          <w:szCs w:val="24"/>
        </w:rPr>
        <w:t xml:space="preserve">The register's most important line is the last one's shape: a defect history with every entry closed - DEF-06-01..03 from user acceptance, DEF-07-01..02 from the pilot, DEF-08-01..02 from go-live hardening - is the record of a program that fixed what it found at the phase where it could be fixed cheapest. The dispositions were argued at their gates with evidence, and the closure inherits a clean register rather than manufacturing one at the end.</w:t>
      </w:r>
    </w:p>
    <w:p>
      <w:pPr>
        <w:pStyle w:val="Heading1"/>
        <w:spacing w:after="160" w:before="360" w:line="312"/>
      </w:pPr>
      <w:bookmarkStart w:id="100005" w:name="_Toc100005"/>
      <w:r>
        <w:rPr>
          <w:rFonts w:ascii="Times New Roman" w:eastAsia="SimHei"/>
          <w:b/>
          <w:bCs/>
          <w:color w:val="1A2330"/>
          <w:sz w:val="32"/>
          <w:szCs w:val="32"/>
        </w:rPr>
        <w:t xml:space="preserve">6. Post-Closure Platform State</w:t>
      </w:r>
      <w:bookmarkEnd w:id="100005"/>
    </w:p>
    <w:p>
      <w:pPr>
        <w:spacing w:after="120" w:line="312"/>
        <w:jc w:val="left"/>
      </w:pPr>
      <w:r>
        <w:rPr>
          <w:rFonts w:ascii="Times New Roman" w:eastAsia="SimSun"/>
          <w:color w:val="000000"/>
          <w:sz w:val="24"/>
          <w:szCs w:val="24"/>
        </w:rPr>
        <w:t xml:space="preserve">The readiness check was re-run after the signature, and the platform's posture at closure is ten of ten. The criteria and their bases are reproduced from the live check, so this chapter can be read against the console's P8 tab at any later date and compared line for line.</w:t>
      </w:r>
    </w:p>
    <w:p>
      <w:pPr>
        <w:keepNext/>
        <w:spacing w:after="80" w:before="160" w:line="312"/>
      </w:pPr>
      <w:r>
        <w:rPr>
          <w:rFonts w:ascii="Times New Roman" w:eastAsia="SimSun"/>
          <w:b/>
          <w:bCs/>
          <w:color w:val="1A2330"/>
          <w:sz w:val="21"/>
          <w:szCs w:val="21"/>
        </w:rPr>
        <w:t xml:space="preserve">Table 2: Gate G9 readiness check at closure (post-signature, 10/10 PASS)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5%"/>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w:t>
            </w:r>
          </w:p>
        </w:tc>
        <w:tc>
          <w:tcPr>
            <w:tcW w:type="pct" w:w="4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Criterion</w:t>
            </w:r>
          </w:p>
        </w:tc>
        <w:tc>
          <w:tcPr>
            <w:tcW w:type="pct" w:w="2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Basis</w:t>
            </w:r>
          </w:p>
        </w:tc>
        <w:tc>
          <w:tcPr>
            <w:tcW w:type="pct" w:w="2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Result</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Go-live order executed: Wave 1 live under the owner's written reference</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Gate G8 decision; plan A-41</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Hypercare operated to its signed schedule with zero severity-one incidents</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Plan A-42; HC-SCHED-P8-01</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Hypercare closed with the signed operations handover</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Plan A-46</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4</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First annual adjustment cycle recorded end to end</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Plan A-43; Proc. Art. 8</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5</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Penalty referrals and court recovery operating with the competent bodies</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Plan A-44; Dir. Art. 22; Proc. Arts. 29-32</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National data feed published to the Ministry</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Plan A-45; Dir. Art. 13 hop 3</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7</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Wave 2 prepared under its sequencing gates; order pending with operations</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Plan 5.9 wave plan; Gate G8 sequencing</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8</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Ninety-day post-implementation review conducted with dispositioned findings</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Plan A-47</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Closure minute drafted with lessons recorded</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Plan A-48</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r>
        <w:trPr>
          <w:cantSplit/>
        </w:trPr>
        <w:tc>
          <w:tcPr>
            <w:tcW w:type="pct" w:w="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Platform posture: audit chain intact, drills PASS, no open SEV-1/2 defects</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NFR-07; plan 9.5; defect register</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r>
    </w:tbl>
    <w:p>
      <w:pPr>
        <w:pStyle w:val="Heading2"/>
        <w:spacing w:after="120" w:before="240" w:line="312"/>
      </w:pPr>
      <w:bookmarkStart w:id="100006" w:name="_Toc100006"/>
      <w:r>
        <w:rPr>
          <w:rFonts w:ascii="Times New Roman" w:eastAsia="SimHei"/>
          <w:b/>
          <w:bCs/>
          <w:color w:val="1A2330"/>
          <w:sz w:val="28"/>
          <w:szCs w:val="28"/>
        </w:rPr>
        <w:t xml:space="preserve">6.1 The Operational Snapshot at Closure</w:t>
      </w:r>
      <w:bookmarkEnd w:id="100006"/>
    </w:p>
    <w:p>
      <w:pPr>
        <w:spacing w:after="120" w:line="312"/>
        <w:jc w:val="left"/>
      </w:pPr>
      <w:r>
        <w:rPr>
          <w:rFonts w:ascii="Times New Roman" w:eastAsia="SimSun"/>
          <w:color w:val="000000"/>
          <w:sz w:val="24"/>
          <w:szCs w:val="24"/>
        </w:rPr>
        <w:t xml:space="preserve">The registers the check reads are the service's working state, not an exhibit built for the gate. They are summarized here in one table as the platform freezes: the wave register with two waves live under their owner references, hypercare's twenty-eight days with zero severity-one incidents, the 2026 rate set effected through the legal June anchors, the enforcement register with three concluded referrals and 87,000 birr recovered through the court track, three hash-verified Ministry feeds, the signed handover, and the ninety-day review with its six dispositioned findings.</w:t>
      </w:r>
    </w:p>
    <w:p>
      <w:pPr>
        <w:keepNext/>
        <w:spacing w:after="80" w:before="160" w:line="312"/>
      </w:pPr>
      <w:r>
        <w:rPr>
          <w:rFonts w:ascii="Times New Roman" w:eastAsia="SimSun"/>
          <w:b/>
          <w:bCs/>
          <w:color w:val="1A2330"/>
          <w:sz w:val="21"/>
          <w:szCs w:val="21"/>
        </w:rPr>
        <w:t xml:space="preserve">Table 3: Operational registers at closure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tblGrid>
      <w:tr>
        <w:trPr>
          <w:cantSplit/>
          <w:tblHeader/>
        </w:trPr>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Register</w:t>
            </w:r>
          </w:p>
        </w:tc>
        <w:tc>
          <w:tcPr>
            <w:tcW w:type="pct" w:w="7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State at closure</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Waves</w:t>
            </w:r>
          </w:p>
        </w:tc>
        <w:tc>
          <w:tcPr>
            <w:tcW w:type="pct" w:w="7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WAVE-0 LIVE (GATE-G7-2026-09-10) · WAVE-1 LIVE (GATE-G8-2026-09-10) · WAVE-2 READY · WAVE-3 PLANNED</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Hypercare (WAVE-1)</w:t>
            </w:r>
          </w:p>
        </w:tc>
        <w:tc>
          <w:tcPr>
            <w:tcW w:type="pct" w:w="7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28/28 daily reports; 128 tickets; SEV-1 = 0; SLA 96.4%</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Annual cycle 2026</w:t>
            </w:r>
          </w:p>
        </w:tc>
        <w:tc>
          <w:tcPr>
            <w:tcW w:type="pct" w:w="7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EFFECTIVE - published June 1, effected June 30 at +8% through the real Proc. Art. 8 services; amendment wave recorded</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Enforcement referrals</w:t>
            </w:r>
          </w:p>
        </w:tc>
        <w:tc>
          <w:tcPr>
            <w:tcW w:type="pct" w:w="7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ERF-2026-0001 RESOLVED (recovered 24,000 ETB) · ERF-2026-0002 RESOLVED (recovered 18,000 ETB) · ERF-2026-0003 CLOSED (recovered 45,000 ETB) · ERF-2026-0004 ACKNOWLEDGED</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Ministry feeds</w:t>
            </w:r>
          </w:p>
        </w:tc>
        <w:tc>
          <w:tcPr>
            <w:tcW w:type="pct" w:w="7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2026-10 (84 items) · 2026-11 (84 items) · 2026-12 (84 items) - hash-verified, periods immutable</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Operations handover</w:t>
            </w:r>
          </w:p>
        </w:tc>
        <w:tc>
          <w:tcPr>
            <w:tcW w:type="pct" w:w="7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HANDOVER-P8-01 - OPS-MANUAL-v1.1 / RUNBOOK-v1.1 - SIGNED</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Post-implementation review</w:t>
            </w:r>
          </w:p>
        </w:tc>
        <w:tc>
          <w:tcPr>
            <w:tcW w:type="pct" w:w="7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PIR-P8-90D - 6 findings, all dispositioned (BACKLOG / ACCEPTED / HANDOVER)</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Closure minute</w:t>
            </w:r>
          </w:p>
        </w:tc>
        <w:tc>
          <w:tcPr>
            <w:tcW w:type="pct" w:w="7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CM-P8-G9-01 - SIGNED under GATE-G9-2026-09-11</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Audit chain</w:t>
            </w:r>
          </w:p>
        </w:tc>
        <w:tc>
          <w:tcPr>
            <w:tcW w:type="pct" w:w="7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814/814 events verified intact</w:t>
            </w:r>
          </w:p>
        </w:tc>
      </w:tr>
    </w:tbl>
    <w:p>
      <w:pPr>
        <w:pStyle w:val="Heading1"/>
        <w:spacing w:after="160" w:before="360" w:line="312"/>
      </w:pPr>
      <w:bookmarkStart w:id="100007" w:name="_Toc100007"/>
      <w:r>
        <w:rPr>
          <w:rFonts w:ascii="Times New Roman" w:eastAsia="SimHei"/>
          <w:b/>
          <w:bCs/>
          <w:color w:val="1A2330"/>
          <w:sz w:val="32"/>
          <w:szCs w:val="32"/>
        </w:rPr>
        <w:t xml:space="preserve">7. The Project Record</w:t>
      </w:r>
      <w:bookmarkEnd w:id="100007"/>
    </w:p>
    <w:p>
      <w:pPr>
        <w:spacing w:after="120" w:line="312"/>
        <w:jc w:val="left"/>
      </w:pPr>
      <w:r>
        <w:rPr>
          <w:rFonts w:ascii="Times New Roman" w:eastAsia="SimSun"/>
          <w:color w:val="000000"/>
          <w:sz w:val="24"/>
          <w:szCs w:val="24"/>
        </w:rPr>
        <w:t xml:space="preserve">The gate ledger is the program's spine, and it closes complete: ten gates, each with its deliverable, its decision, and its evidence - from the roadmap the implementation plan drew, through the requirements and architecture baselines, the constructed modules, the integration and security verification, user acceptance with a legal validation memorandum, the migration and pilot, go-live hardening, and the operational half that ended in the signed minute of chapter two. Three gates carry formal written decision references (the pilot authorization, the go-live order, and this closure); the earlier gates carry the owner's approvals recorded in their gate packages and the project's worklog, which the audit trail of the gate reviews supports.</w:t>
      </w:r>
    </w:p>
    <w:p>
      <w:pPr>
        <w:keepNext/>
        <w:spacing w:after="80" w:before="160" w:line="312"/>
      </w:pPr>
      <w:r>
        <w:rPr>
          <w:rFonts w:ascii="Times New Roman" w:eastAsia="SimSun"/>
          <w:b/>
          <w:bCs/>
          <w:color w:val="1A2330"/>
          <w:sz w:val="21"/>
          <w:szCs w:val="21"/>
        </w:rPr>
        <w:t xml:space="preserve">Table 4: Gate ledger G0-G9 (complete)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Gate</w:t>
            </w:r>
          </w:p>
        </w:tc>
        <w:tc>
          <w:tcPr>
            <w:tcW w:type="pct" w:w="5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Deliverable judged</w:t>
            </w:r>
          </w:p>
        </w:tc>
        <w:tc>
          <w:tcPr>
            <w:tcW w:type="pct" w:w="3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Decision and reference</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G0</w:t>
            </w:r>
          </w:p>
        </w:tc>
        <w:tc>
          <w:tcPr>
            <w:tcW w:type="pct" w:w="5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Implementation Plan - Hybrid Phase-Gated Incremental SDLC, 9 phases / 10 gates / 48-activity checklist</w:t>
            </w:r>
          </w:p>
        </w:tc>
        <w:tc>
          <w:tcPr>
            <w:tcW w:type="pct" w:w="3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Approved - plan baselined</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G1</w:t>
            </w:r>
          </w:p>
        </w:tc>
        <w:tc>
          <w:tcPr>
            <w:tcW w:type="pct" w:w="5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SRS v1.0 - 13 modules, 74 FRs, 12 NFRs, 21 use cases, legal traceability</w:t>
            </w:r>
          </w:p>
        </w:tc>
        <w:tc>
          <w:tcPr>
            <w:tcW w:type="pct" w:w="3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Approved - requirements frozen</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G1+</w:t>
            </w:r>
          </w:p>
        </w:tc>
        <w:tc>
          <w:tcPr>
            <w:tcW w:type="pct" w:w="5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SRS v1.1 - CR-01 change: Afan Oromo as third language (NFR-06)</w:t>
            </w:r>
          </w:p>
        </w:tc>
        <w:tc>
          <w:tcPr>
            <w:tcW w:type="pct" w:w="3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Approved - baseline revised</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G2</w:t>
            </w:r>
          </w:p>
        </w:tc>
        <w:tc>
          <w:tcPr>
            <w:tcW w:type="pct" w:w="5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Architecture and design - three-tier administration, rule engine, security design</w:t>
            </w:r>
          </w:p>
        </w:tc>
        <w:tc>
          <w:tcPr>
            <w:tcW w:type="pct" w:w="3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Approved - design frozen</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G3</w:t>
            </w:r>
          </w:p>
        </w:tc>
        <w:tc>
          <w:tcPr>
            <w:tcW w:type="pct" w:w="5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Environments, CI/CD staged promotion, seeded configuration (131 org units, 118 woredas)</w:t>
            </w:r>
          </w:p>
        </w:tc>
        <w:tc>
          <w:tcPr>
            <w:tcW w:type="pct" w:w="3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Approved - Phase 4 authorized</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G4</w:t>
            </w:r>
          </w:p>
        </w:tc>
        <w:tc>
          <w:tcPr>
            <w:tcW w:type="pct" w:w="5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Sprints S1-S7 - 13 modules, 17 APIs, trilingual console</w:t>
            </w:r>
          </w:p>
        </w:tc>
        <w:tc>
          <w:tcPr>
            <w:tcW w:type="pct" w:w="3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Approved - Phase 5 authorized</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G5</w:t>
            </w:r>
          </w:p>
        </w:tc>
        <w:tc>
          <w:tcPr>
            <w:tcW w:type="pct" w:w="5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Integration, security (ASVS L2), 47-row legal compliance matrix, performance</w:t>
            </w:r>
          </w:p>
        </w:tc>
        <w:tc>
          <w:tcPr>
            <w:tcW w:type="pct" w:w="3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Approved - Phase 6 authorized</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G6</w:t>
            </w:r>
          </w:p>
        </w:tc>
        <w:tc>
          <w:tcPr>
            <w:tcW w:type="pct" w:w="5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UAT 8 scenarios / 50 steps, legal memorandum LVM-G6-2026-01, UAT certificate</w:t>
            </w:r>
          </w:p>
        </w:tc>
        <w:tc>
          <w:tcPr>
            <w:tcW w:type="pct" w:w="3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Approved - certificate signed; migration authorized</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G7</w:t>
            </w:r>
          </w:p>
        </w:tc>
        <w:tc>
          <w:tcPr>
            <w:tcW w:type="pct" w:w="5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Legacy migration w/ Dir. Art. 8(2) annotation, Art. 13 reconciliation, training, pilot, awareness (Arts. 14/16)</w:t>
            </w:r>
          </w:p>
        </w:tc>
        <w:tc>
          <w:tcPr>
            <w:tcW w:type="pct" w:w="3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Approved - GATE-G7-2026-09-10; Wave 0 pilot live</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G8</w:t>
            </w:r>
          </w:p>
        </w:tc>
        <w:tc>
          <w:tcPr>
            <w:tcW w:type="pct" w:w="5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Go-live hardening (DEF-06-01 session layer, O-7 register confirmation), checklist 10/10 GREEN, drills</w:t>
            </w:r>
          </w:p>
        </w:tc>
        <w:tc>
          <w:tcPr>
            <w:tcW w:type="pct" w:w="3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Approved - GATE-G8-2026-09-10; go-live order executed</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G9</w:t>
            </w:r>
          </w:p>
        </w:tc>
        <w:tc>
          <w:tcPr>
            <w:tcW w:type="pct" w:w="5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Operations under the order, hypercare 28/28, first annual cycle, referrals, feed, handover, 90-day PIR, closure minute</w:t>
            </w:r>
          </w:p>
        </w:tc>
        <w:tc>
          <w:tcPr>
            <w:tcW w:type="pct" w:w="3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Approved - GATE-G9-2026-09-11; minute SIGNED, project closed</w:t>
            </w:r>
          </w:p>
        </w:tc>
      </w:tr>
    </w:tbl>
    <w:p>
      <w:pPr>
        <w:pStyle w:val="Heading2"/>
        <w:spacing w:after="120" w:before="240" w:line="312"/>
      </w:pPr>
      <w:bookmarkStart w:id="100008" w:name="_Toc100008"/>
      <w:r>
        <w:rPr>
          <w:rFonts w:ascii="Times New Roman" w:eastAsia="SimHei"/>
          <w:b/>
          <w:bCs/>
          <w:color w:val="1A2330"/>
          <w:sz w:val="28"/>
          <w:szCs w:val="28"/>
        </w:rPr>
        <w:t xml:space="preserve">7.1 Verification Totals Across the Program</w:t>
      </w:r>
      <w:bookmarkEnd w:id="100008"/>
    </w:p>
    <w:p>
      <w:pPr>
        <w:spacing w:after="120" w:line="312"/>
        <w:jc w:val="left"/>
      </w:pPr>
      <w:r>
        <w:rPr>
          <w:rFonts w:ascii="Times New Roman" w:eastAsia="SimSun"/>
          <w:color w:val="000000"/>
          <w:sz w:val="24"/>
          <w:szCs w:val="24"/>
        </w:rPr>
        <w:t xml:space="preserve">The numbers a reviewer would ask for, gathered once so the closure does not depend on memory: the automated battery closed at 176 passing cases with zero failures across seven suites; the live HTTP walkthroughs closed with the golden path 31/31, the Phase 7 suite 20/20, the Phase 8 operations drill 34/34, and the Gate G9 drill 28/28; user acceptance ran 50 of 50 steps across eight role-based scenarios; the legal compliance matrix walked 47 rows with 45 confirmations and 2 confirmations-with-disposition and zero deviations; the migration reconciled to the paper registers woreda by woreda under the Directive's Article 8(2) annotation; and the audit chain closes intact at 814 events with every hash re-verified. Each figure is re-readable from its gate package and from the platform's own registers, which was the point of building the platform as the evidence system.</w:t>
      </w:r>
    </w:p>
    <w:p>
      <w:pPr>
        <w:pStyle w:val="Heading2"/>
        <w:spacing w:after="120" w:before="240" w:line="312"/>
      </w:pPr>
      <w:bookmarkStart w:id="100009" w:name="_Toc100009"/>
      <w:r>
        <w:rPr>
          <w:rFonts w:ascii="Times New Roman" w:eastAsia="SimHei"/>
          <w:b/>
          <w:bCs/>
          <w:color w:val="1A2330"/>
          <w:sz w:val="28"/>
          <w:szCs w:val="28"/>
        </w:rPr>
        <w:t xml:space="preserve">7.2 The Deliverable Record</w:t>
      </w:r>
      <w:bookmarkEnd w:id="100009"/>
    </w:p>
    <w:p>
      <w:pPr>
        <w:keepNext/>
        <w:spacing w:after="80" w:before="160" w:line="312"/>
      </w:pPr>
      <w:r>
        <w:rPr>
          <w:rFonts w:ascii="Times New Roman" w:eastAsia="SimSun"/>
          <w:b/>
          <w:bCs/>
          <w:color w:val="1A2330"/>
          <w:sz w:val="21"/>
          <w:szCs w:val="21"/>
        </w:rPr>
        <w:t xml:space="preserve">Table 5: Project deliverables (as delivered to the owner)</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tblGrid>
      <w:tr>
        <w:trPr>
          <w:cantSplit/>
          <w:tblHeader/>
        </w:trPr>
        <w:tc>
          <w:tcPr>
            <w:tcW w:type="pct" w:w="7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Document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Gate</w:t>
            </w:r>
          </w:p>
        </w:tc>
      </w:tr>
      <w:tr>
        <w:trPr>
          <w:cantSplit/>
        </w:trPr>
        <w:tc>
          <w:tcPr>
            <w:tcW w:type="pct" w:w="7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Rent_Control_System_Implementation_Plan.docx - SDLC plan, 48-activity checklist, risk register, owner guide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G0</w:t>
            </w:r>
          </w:p>
        </w:tc>
      </w:tr>
      <w:tr>
        <w:trPr>
          <w:cantSplit/>
        </w:trPr>
        <w:tc>
          <w:tcPr>
            <w:tcW w:type="pct" w:w="7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Rent_Control_System_SRS_v1.0.docx - requirements baseline with legal traceability</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G1</w:t>
            </w:r>
          </w:p>
        </w:tc>
      </w:tr>
      <w:tr>
        <w:trPr>
          <w:cantSplit/>
        </w:trPr>
        <w:tc>
          <w:tcPr>
            <w:tcW w:type="pct" w:w="7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Rent_Control_System_SRS_v1.1.docx - CR-01 trilingual revision</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G1+</w:t>
            </w:r>
          </w:p>
        </w:tc>
      </w:tr>
      <w:tr>
        <w:trPr>
          <w:cantSplit/>
        </w:trPr>
        <w:tc>
          <w:tcPr>
            <w:tcW w:type="pct" w:w="7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Rent_Control_System_Phase3_Report.docx - environments, CI/CD, seeded configuration</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G3</w:t>
            </w:r>
          </w:p>
        </w:tc>
      </w:tr>
      <w:tr>
        <w:trPr>
          <w:cantSplit/>
        </w:trPr>
        <w:tc>
          <w:tcPr>
            <w:tcW w:type="pct" w:w="7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Rent_Control_System_Phase4_Report.docx - 13 modules, 17 APIs, trilingual console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G4</w:t>
            </w:r>
          </w:p>
        </w:tc>
      </w:tr>
      <w:tr>
        <w:trPr>
          <w:cantSplit/>
        </w:trPr>
        <w:tc>
          <w:tcPr>
            <w:tcW w:type="pct" w:w="7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Rent_Control_System_Phase5_Report.docx - integration, security, 47-row compliance matrix</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G5</w:t>
            </w:r>
          </w:p>
        </w:tc>
      </w:tr>
      <w:tr>
        <w:trPr>
          <w:cantSplit/>
        </w:trPr>
        <w:tc>
          <w:tcPr>
            <w:tcW w:type="pct" w:w="7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Rent_Control_System_Phase6_Report.docx - UAT, legal memorandum, UAT certificate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G6</w:t>
            </w:r>
          </w:p>
        </w:tc>
      </w:tr>
      <w:tr>
        <w:trPr>
          <w:cantSplit/>
        </w:trPr>
        <w:tc>
          <w:tcPr>
            <w:tcW w:type="pct" w:w="7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Rent_Control_System_Phase7_Report.docx - migration, training, pilot, awareness materials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G7</w:t>
            </w:r>
          </w:p>
        </w:tc>
      </w:tr>
      <w:tr>
        <w:trPr>
          <w:cantSplit/>
        </w:trPr>
        <w:tc>
          <w:tcPr>
            <w:tcW w:type="pct" w:w="7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Rent_Control_System_Phase8_Report.docx - go-live hardening, cutover checklist, drills, operations manual</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G8</w:t>
            </w:r>
          </w:p>
        </w:tc>
      </w:tr>
      <w:tr>
        <w:trPr>
          <w:cantSplit/>
        </w:trPr>
        <w:tc>
          <w:tcPr>
            <w:tcW w:type="pct" w:w="7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Rent_Control_System_Gate_G9_Closure_Report.docx - operations record and closure request</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G9</w:t>
            </w:r>
          </w:p>
        </w:tc>
      </w:tr>
      <w:tr>
        <w:trPr>
          <w:cantSplit/>
        </w:trPr>
        <w:tc>
          <w:tcPr>
            <w:tcW w:type="pct" w:w="7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Rent_Control_System_Project_Closure_Minute.docx - this document: the signed closure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G9</w:t>
            </w:r>
          </w:p>
        </w:tc>
      </w:tr>
    </w:tbl>
    <w:p>
      <w:pPr>
        <w:spacing w:after="120" w:line="312"/>
        <w:jc w:val="left"/>
      </w:pPr>
      <w:r>
        <w:rPr>
          <w:rFonts w:ascii="Times New Roman" w:eastAsia="SimSun"/>
          <w:color w:val="000000"/>
          <w:sz w:val="24"/>
          <w:szCs w:val="24"/>
        </w:rPr>
        <w:t xml:space="preserve">Beyond the documents, the deliverable the owner keeps is the running platform itself: the Next.js console in three languages, the rule engine that refuses what the Proclamation and the Directive forbid and records why, the registers that made the gates short, and the operations manual and runbook that carry the procedures forward. The documents explain the platform; the platform is the system of record.</w:t>
      </w:r>
    </w:p>
    <w:p>
      <w:pPr>
        <w:pStyle w:val="Heading1"/>
        <w:spacing w:after="160" w:before="360" w:line="312"/>
      </w:pPr>
      <w:bookmarkStart w:id="100010" w:name="_Toc100010"/>
      <w:r>
        <w:rPr>
          <w:rFonts w:ascii="Times New Roman" w:eastAsia="SimHei"/>
          <w:b/>
          <w:bCs/>
          <w:color w:val="1A2330"/>
          <w:sz w:val="32"/>
          <w:szCs w:val="32"/>
        </w:rPr>
        <w:t xml:space="preserve">8. The Signature</w:t>
      </w:r>
      <w:bookmarkEnd w:id="100010"/>
    </w:p>
    <w:p>
      <w:pPr>
        <w:spacing w:after="120" w:line="312"/>
        <w:jc w:val="left"/>
      </w:pPr>
      <w:r>
        <w:rPr>
          <w:rFonts w:ascii="Times New Roman" w:eastAsia="SimSun"/>
          <w:color w:val="000000"/>
          <w:sz w:val="24"/>
          <w:szCs w:val="24"/>
        </w:rPr>
        <w:t xml:space="preserve">The program closes on this page. The owner's decision - recorded on the platform under the written reference below, frozen against revision by the signed minute's own refusal of a second signature, and witnessed by the hash-chained audit event the execution wrote - is transcribed here in the form the plan's gate model requires. With the signature, the project team is released, the standing service accepts the transitions of chapter four, and the Residential House Rent Control and Administration System becomes what its Proclamation asked it to be: administered law, running daily, in the language of the people it serves.</w:t>
      </w:r>
    </w:p>
    <w:p>
      <w:pPr>
        <w:keepNext/>
        <w:spacing w:after="80" w:before="160" w:line="312"/>
      </w:pPr>
      <w:r>
        <w:rPr>
          <w:rFonts w:ascii="Times New Roman" w:eastAsia="SimSun"/>
          <w:b/>
          <w:bCs/>
          <w:color w:val="1A2330"/>
          <w:sz w:val="21"/>
          <w:szCs w:val="21"/>
        </w:rPr>
        <w:t xml:space="preserve">Table 6: Closure signature block</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tblGrid>
      <w:tr>
        <w:trPr>
          <w:cantSplit/>
          <w:tblHeader/>
        </w:trPr>
        <w:tc>
          <w:tcPr>
            <w:tcW w:type="pct" w:w="3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Field</w:t>
            </w:r>
          </w:p>
        </w:tc>
        <w:tc>
          <w:tcPr>
            <w:tcW w:type="pct" w:w="6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Value</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Project</w:t>
            </w:r>
          </w:p>
        </w:tc>
        <w:tc>
          <w:tcPr>
            <w:tcW w:type="pct" w:w="6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Residential House Rent Control and Administration System (Proclamation No. 1320/2016; Addis Ababa Directive No. 7/2016; Model Rental Agreement)</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Closure minute</w:t>
            </w:r>
          </w:p>
        </w:tc>
        <w:tc>
          <w:tcPr>
            <w:tcW w:type="pct" w:w="6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CM-P8-G9-01 - SIGNED (platform register)</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Written decision reference</w:t>
            </w:r>
          </w:p>
        </w:tc>
        <w:tc>
          <w:tcPr>
            <w:tcW w:type="pct" w:w="6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GATE-G9-2026-09-11</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Decision</w:t>
            </w:r>
          </w:p>
        </w:tc>
        <w:tc>
          <w:tcPr>
            <w:tcW w:type="pct" w:w="6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Gate G9 approved - project closed; team released; BAU transitions accepted</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Signed by</w:t>
            </w:r>
          </w:p>
        </w:tc>
        <w:tc>
          <w:tcPr>
            <w:tcW w:type="pct" w:w="6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Owner</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Date of decision</w:t>
            </w:r>
          </w:p>
        </w:tc>
        <w:tc>
          <w:tcPr>
            <w:tcW w:type="pct" w:w="6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2026-09-10T17:05:22.013Z</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Witnessed by</w:t>
            </w:r>
          </w:p>
        </w:tc>
        <w:tc>
          <w:tcPr>
            <w:tcW w:type="pct" w:w="6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Audit event CLOSURE_MINUTE_SIGN in the platform hash chain - 814 events verified intact</w:t>
            </w:r>
          </w:p>
        </w:tc>
      </w:tr>
    </w:tbl>
    <w:p>
      <w:pPr>
        <w:spacing w:after="120" w:line="312"/>
        <w:jc w:val="left"/>
      </w:pPr>
      <w:r>
        <w:rPr>
          <w:rFonts w:ascii="Times New Roman" w:eastAsia="SimSun"/>
          <w:color w:val="000000"/>
          <w:sz w:val="24"/>
          <w:szCs w:val="24"/>
        </w:rPr>
        <w:t xml:space="preserve">The registers remain open for the service that inherits them: the Wave 2 order with city operations, the monthly feed, the 2027 cycle workspace, and the backlog under review. The project's last act is to hand them over - signed, reconciled, and running.</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color w:val="808080"/>
        <w:sz w:val="18"/>
        <w:szCs w:val="18"/>
      </w:rPr>
      <w:t xml:space="preserve">Rent Control and Administration System - Project Closure Minute (Signed) - GATE-G9-2026-09-11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outlineLvl w:val="0"/>
    </w:pPr>
    <w:rPr>
      <w:rFonts w:ascii="Times New Roman" w:eastAsia="SimHei"/>
      <w:b/>
      <w:bCs/>
      <w:color w:val="D4875A"/>
      <w:sz w:val="30"/>
      <w:szCs w:val="30"/>
    </w:rPr>
  </w:style>
  <w:style w:type="paragraph" w:styleId="Heading2">
    <w:name w:val="Heading 2"/>
    <w:basedOn w:val="Normal"/>
    <w:next w:val="Normal"/>
    <w:qFormat/>
    <w:pPr>
      <w:spacing w:after="140" w:before="280"/>
      <w:outlineLvl w:val="1"/>
    </w:pPr>
    <w:rPr>
      <w:rFonts w:ascii="Times New Roman" w:eastAsia="SimHei"/>
      <w:b/>
      <w:bCs/>
      <w:color w:val="1A2330"/>
      <w:sz w:val="25"/>
      <w:szCs w:val="25"/>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Closure Minute (Signed) - GATE-G9-2026-09-11</dc:title>
  <dc:creator>Rent Control and Administration System Project</dc:creator>
  <dc:description>Final gate record: the owner's Gate G9 decision executed, closure minute CM-P8-G9-01 signed and frozen, project closed.</dc:description>
  <cp:lastModifiedBy>Un-named</cp:lastModifiedBy>
  <cp:revision>1</cp:revision>
  <dcterms:created xsi:type="dcterms:W3CDTF">2026-09-10T17:11:31.784Z</dcterms:created>
  <dcterms:modified xsi:type="dcterms:W3CDTF">2026-09-10T17:11:31.784Z</dcterms:modified>
</cp:coreProperties>
</file>

<file path=docProps/custom.xml><?xml version="1.0" encoding="utf-8"?>
<Properties xmlns="http://schemas.openxmlformats.org/officeDocument/2006/custom-properties" xmlns:vt="http://schemas.openxmlformats.org/officeDocument/2006/docPropsVTypes"/>
</file>