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626"/>
            </w:pPr>
          </w:p>
          <w:p>
            <w:pPr>
              <w:pBdr>
                <w:bottom w:val="single" w:color="D4875A" w:sz="6" w:space="8"/>
              </w:pBdr>
              <w:spacing w:after="500"/>
              <w:ind w:left="1200" w:right="800"/>
            </w:pPr>
            <w:r>
              <w:rPr>
                <w:rFonts w:ascii="Calibri" w:eastAsia="SimHei"/>
                <w:color w:val="D4875A"/>
                <w:spacing w:val="40"/>
                <w:sz w:val="18"/>
                <w:szCs w:val="18"/>
              </w:rPr>
              <w:t xml:space="preserve">G  A  T  E     G  9     C  L  O  S  U  R  E     D  E  L  I  V  E  R  A  B  L  E</w:t>
            </w:r>
          </w:p>
          <w:p>
            <w:pPr>
              <w:spacing w:after="100" w:line="782" w:lineRule="atLeast"/>
              <w:ind w:left="1200" w:right="800"/>
            </w:pPr>
            <w:r>
              <w:rPr>
                <w:rFonts w:ascii="Arial" w:eastAsia="SimHei"/>
                <w:b/>
                <w:bCs/>
                <w:color w:val="FFFFFF"/>
                <w:sz w:val="68"/>
                <w:szCs w:val="68"/>
              </w:rPr>
              <w:t xml:space="preserve">Gate G9 Closure Report:</w:t>
            </w:r>
          </w:p>
          <w:p>
            <w:pPr>
              <w:spacing w:after="100" w:line="782" w:lineRule="atLeast"/>
              <w:ind w:left="1200" w:right="800"/>
            </w:pPr>
            <w:r>
              <w:rPr>
                <w:rFonts w:ascii="Arial" w:eastAsia="SimHei"/>
                <w:b/>
                <w:bCs/>
                <w:color w:val="FFFFFF"/>
                <w:sz w:val="68"/>
                <w:szCs w:val="68"/>
              </w:rPr>
              <w:t xml:space="preserve">Operations Under the</w:t>
            </w:r>
          </w:p>
          <w:p>
            <w:pPr>
              <w:spacing w:after="300" w:line="782" w:lineRule="atLeast"/>
              <w:ind w:left="1200" w:right="800"/>
            </w:pPr>
            <w:r>
              <w:rPr>
                <w:rFonts w:ascii="Arial" w:eastAsia="SimHei"/>
                <w:b/>
                <w:bCs/>
                <w:color w:val="FFFFFF"/>
                <w:sz w:val="68"/>
                <w:szCs w:val="68"/>
              </w:rPr>
              <w:t xml:space="preserve">Go-Live Order and Project Close</w:t>
            </w:r>
          </w:p>
          <w:p>
            <w:pPr>
              <w:spacing w:after="800" w:line="340" w:lineRule="atLeast"/>
              <w:ind w:left="1200" w:right="800"/>
            </w:pPr>
            <w:r>
              <w:rPr>
                <w:rFonts w:ascii="Arial" w:eastAsia="Microsoft YaHei"/>
                <w:color w:val="B0B8C0"/>
                <w:sz w:val="24"/>
                <w:szCs w:val="24"/>
              </w:rPr>
              <w:t xml:space="preserve">Residential House Rent Control and Administration System - Gate G9 Package</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Contents: Go-Live Order Execution, Hypercare, Annual Cycle, Enforcement, Ministry Feed, Handover, 90-Day PIR, Closure Minute</w:t>
            </w:r>
          </w:p>
          <w:p>
            <w:pPr>
              <w:pBdr>
                <w:left w:val="single" w:color="D4875A" w:sz="8" w:space="12"/>
              </w:pBdr>
              <w:spacing w:after="80"/>
              <w:ind w:left="1400" w:right="800"/>
            </w:pPr>
            <w:r>
              <w:rPr>
                <w:rFonts w:ascii="Arial" w:eastAsia="Microsoft YaHei"/>
                <w:color w:val="A8B0B8"/>
                <w:sz w:val="24"/>
                <w:szCs w:val="24"/>
              </w:rPr>
              <w:t xml:space="preserve">Baseline: SRS v1.1 (CR-01 Trilingual: Amharic, English, Afan Oromo)</w:t>
            </w:r>
          </w:p>
          <w:p>
            <w:pPr>
              <w:pBdr>
                <w:left w:val="single" w:color="D4875A" w:sz="8" w:space="12"/>
              </w:pBdr>
              <w:spacing w:after="80"/>
              <w:ind w:left="1400" w:right="800"/>
            </w:pPr>
            <w:r>
              <w:rPr>
                <w:rFonts w:ascii="Arial" w:eastAsia="Microsoft YaHei"/>
                <w:color w:val="A8B0B8"/>
                <w:sz w:val="24"/>
                <w:szCs w:val="24"/>
              </w:rPr>
              <w:t xml:space="preserve">Gate: G9 - Close the Project (Lessons Recorded; Closure Minute CM-P8-G9-01)</w:t>
            </w:r>
          </w:p>
          <w:p>
            <w:pPr>
              <w:pBdr>
                <w:left w:val="single" w:color="D4875A" w:sz="8" w:space="12"/>
              </w:pBdr>
              <w:spacing w:after="80"/>
              <w:ind w:left="1400" w:right="800"/>
            </w:pPr>
            <w:r>
              <w:rPr>
                <w:rFonts w:ascii="Arial" w:eastAsia="Microsoft YaHei"/>
                <w:color w:val="A8B0B8"/>
                <w:sz w:val="24"/>
                <w:szCs w:val="24"/>
              </w:rPr>
              <w:t xml:space="preserve">Date: September 2026</w:t>
            </w:r>
          </w:p>
          <w:p>
            <w:pPr>
              <w:spacing w:before="3626"/>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Gate G9 Closure Report</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The Order Executed and the Operational Half of Phase 8</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The Go-Live Order and the Cutover Record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Hypercare: Twenty-Eight Daily Service Reports Under the Signed Schedule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The First Annual Adjustment Cycle: Study, June 1, June 30, Amendment Wave</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Penalty Referrals and Court Recovery with the Competent Bodies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6. The National Data Feed to the Ministry</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7. Handover: Hypercare Closure, the Operations Manual, and Wave 2 Prepared</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8. The Ninety-Day Post-Implementation Review</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9. Verification, Defect Register and the Final Open-Item Register</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10. The Closure Minute and the Gate G9 Decision Request</w:t>
            </w:r>
            <w:r>
              <w:tab/>
            </w:r>
            <w:r>
              <w:fldChar w:fldCharType="begin"/>
            </w:r>
            <w:r>
              <w:instrText xml:space="preserve"> PAGEREF _Toc100009 \h </w:instrText>
            </w:r>
            <w:r>
              <w:fldChar w:fldCharType="separate"/>
            </w:r>
            <w:r>
              <w:t>6</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Introduction: The Order Executed and the Operational Half of Phase 8</w:t>
      </w:r>
      <w:bookmarkEnd w:id="100000"/>
    </w:p>
    <w:p>
      <w:pPr>
        <w:spacing w:after="120" w:line="312"/>
        <w:jc w:val="left"/>
      </w:pPr>
      <w:r>
        <w:rPr>
          <w:rFonts w:ascii="Times New Roman" w:eastAsia="SimSun"/>
          <w:color w:val="000000"/>
          <w:sz w:val="24"/>
          <w:szCs w:val="24"/>
        </w:rPr>
        <w:t xml:space="preserve">The owner's Gate G8 decision arrived as a written approval recorded under reference GATE-G8-2026-09-10, and its meaning in the plan is four words deep: give the go-live order. This report is the record of what happened next. Phase 8's operational half - the activities the plan numbers A-42 through A-48 - began the moment the order executed: hypercare support ran for its signed twenty-eight days with daily service reports; the first annual adjustment cycle was operated end to end through the platform's real Proc. Art. 8 services; penalty referrals and court-recovery tracking ran with the competent bodies; the national data feed published monthly to the Ministry; hypercare closed with a signed operations handover; the ninety-day post-implementation review assembled its metrics and its findings; and the closure minute was drafted with the lessons the plan requires Gate G9 to judge. Each activity is a chapter of this report, and each chapter's tables are re-readable live from the console's P8 tab in Amharic, English or Afan Oromo.</w:t>
      </w:r>
    </w:p>
    <w:p>
      <w:pPr>
        <w:spacing w:after="120" w:line="312"/>
        <w:jc w:val="left"/>
      </w:pPr>
      <w:r>
        <w:rPr>
          <w:rFonts w:ascii="Times New Roman" w:eastAsia="SimSun"/>
          <w:color w:val="000000"/>
          <w:sz w:val="24"/>
          <w:szCs w:val="24"/>
        </w:rPr>
        <w:t xml:space="preserve">The go-live order itself executed as the platform had rehearsed it. Wave 1 - all fourteen woredas of the Bole sub-city - cut over under the owner's written reference, with the production authentication switch armed by the same act, and every sequencing gate the software enforces was evaluated live in the act of cutting over: the cutover checklist ten for ten green, the previous wave live, the configuration frozen and hash-verified. The city-wide wave (Wave 2) then became eligible by the same gates, and its preparation state - checklist green, order deliberately pending with operations - is carried honestly into the closure record rather than dramatized. The demonstrator compresses the calendar, as it has since the Phase 7 pilot logs; the records it ships are the full operational arc with explicit dates, bases and evidence, and the compression is stated here plainly rather than left to be discovered.</w:t>
      </w:r>
    </w:p>
    <w:p>
      <w:pPr>
        <w:spacing w:after="120" w:line="312"/>
        <w:jc w:val="left"/>
      </w:pPr>
      <w:r>
        <w:rPr>
          <w:rFonts w:ascii="Times New Roman" w:eastAsia="SimSun"/>
          <w:color w:val="000000"/>
          <w:sz w:val="24"/>
          <w:szCs w:val="24"/>
        </w:rPr>
        <w:t xml:space="preserve">What Gate G9 asks the owner to judge is whether the service can stand without the project. The evidence assembled in the following chapters says it can: twenty-eight hypercare reports with zero severity-one incidents and a 96.4 percent service-level adherence whose single breach is root-caused and backlogged; a governing rate set effected through the real June 1 and June 30 legal anchors; four enforcement referrals with three concluded and one deliberately left live; three hash-verified Ministry feeds; a signed handover of the operations manual v1.1 and runbook v1.1; a post-implementation review with six dispositioned findings; six lessons recorded in a closure minute whose signature is reserved for this gate. The automated battery stands at 176 passing cases with zero failures, and the live API walkthroughs - the golden path, Phase 7, the go-live drill and the operations drill - all pass against the shipped state.</w:t>
      </w:r>
    </w:p>
    <w:p>
      <w:pPr>
        <w:pStyle w:val="Heading1"/>
        <w:spacing w:after="160" w:before="360" w:line="312"/>
      </w:pPr>
      <w:bookmarkStart w:id="100001" w:name="_Toc100001"/>
      <w:r>
        <w:rPr>
          <w:rFonts w:ascii="Times New Roman" w:eastAsia="SimHei"/>
          <w:b/>
          <w:bCs/>
          <w:color w:val="1A2330"/>
          <w:sz w:val="32"/>
          <w:szCs w:val="32"/>
        </w:rPr>
        <w:t xml:space="preserve">2. The Go-Live Order and the Cutover Record</w:t>
      </w:r>
      <w:bookmarkEnd w:id="100001"/>
    </w:p>
    <w:p>
      <w:pPr>
        <w:spacing w:after="120" w:line="312"/>
        <w:jc w:val="left"/>
      </w:pPr>
      <w:r>
        <w:rPr>
          <w:rFonts w:ascii="Times New Roman" w:eastAsia="SimSun"/>
          <w:color w:val="000000"/>
          <w:sz w:val="24"/>
          <w:szCs w:val="24"/>
        </w:rPr>
        <w:t xml:space="preserve">The order executed on Wave 1 under reference GATE-G8-2026-09-10, and the wave register carries the act as state, not as narrative: Wave 0 (the pilot) live under its Phase 7 authorization since the pilot's start; Wave 1 live since 2026-09-10 with the owner's reference attached; Wave 2 (city-wide, the remaining ten sub-cities) prepared and READY with its own checklist green; Wave 3 a preparation wave only, holding per-city configuration sets for replication beyond this project's scope. The platform refused, and continues to refuse, every shortcut around this register: an order without the owner's written reference is refused; an order on an already-live wave is refused; an order out of wave sequence is refused; and the city-wide order would refuse if the O-7 official register confirmation were not closed. These refusals were exercised live over the HTTP API during this phase's end-to-end walkthrough, which means the sequencing discipline the plan describes on paper is now behaviour that has been demonstrated against the running system.</w:t>
      </w:r>
    </w:p>
    <w:p>
      <w:pPr>
        <w:spacing w:after="120" w:line="312"/>
        <w:jc w:val="left"/>
      </w:pPr>
      <w:r>
        <w:rPr>
          <w:rFonts w:ascii="Times New Roman" w:eastAsia="SimSun"/>
          <w:color w:val="000000"/>
          <w:sz w:val="24"/>
          <w:szCs w:val="24"/>
        </w:rPr>
        <w:t xml:space="preserve">Authentication switched with the order, exactly as the Gate G8 package promised. The production read-path mode - the DEF-06-01 closure that binds officer sign-in to the identity provider and authorizes every sensitive read through the capability matrix - was thrown by the order's execution and drilled in production mode across the full live drill: unauthenticated reads refused with 401, unauthorized roles refused with 403, sensitive reads audit-logged into the hash chain citing NFR-07, sign-out revoking tokens that then fail verification. The review surface was then restored to demo mode so that this report can be read against the live console exactly as at every previous gate; the switch discipline at each physical cutover is a runbook procedure, and it is recorded as a transition item in the closure minute rather than left as folklore. The distinction matters and the report keeps it honestly: the control exists, fails closed, and its arming is an operational act with a documented procedure.</w:t>
      </w:r>
    </w:p>
    <w:p>
      <w:pPr>
        <w:keepNext/>
        <w:spacing w:after="80" w:before="160" w:line="312"/>
      </w:pPr>
      <w:r>
        <w:rPr>
          <w:rFonts w:ascii="Times New Roman" w:eastAsia="SimSun"/>
          <w:b/>
          <w:bCs/>
          <w:color w:val="1A2330"/>
          <w:sz w:val="21"/>
          <w:szCs w:val="21"/>
        </w:rPr>
        <w:t xml:space="preserve">Table 1: Wave register at closure (live state)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Wave</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Scope</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Order reference</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WAVE-0</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 operations - Bole Woredas 01-03</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LIVE</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GATE-G7-2026-09-10</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WAVE-1</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Bole sub-city, all 14 woredas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LIVE</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GATE-G8-2026-09-10</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WAVE-2</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City-wide - remaining 10 sub-cities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READY (order pending with operations)</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WAVE-3</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Replication preparation - other cities as configuration sets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PLANNED (no cutover in scope)</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bl>
    <w:p>
      <w:pPr>
        <w:spacing w:after="120" w:line="312"/>
        <w:jc w:val="left"/>
      </w:pPr>
      <w:r>
        <w:rPr>
          <w:rFonts w:ascii="Times New Roman" w:eastAsia="SimSun"/>
          <w:color w:val="000000"/>
          <w:sz w:val="24"/>
          <w:szCs w:val="24"/>
        </w:rPr>
        <w:t xml:space="preserve">Wave 2's readiness deserves one paragraph of precision, because it is the state most easily misrepresented at a closure. Its cutover checklist was executed against live state in preparation - reconciliation, training, support, rollback, awareness, freeze, restore, hypercare schedule, performance re-run and session hardening, all green with evidence - and both of its sequencing preconditions now hold: Wave 1 is live, and the O-7 register confirmation is closed at eleven of eleven sub-cities. The platform's go-live action would execute a city-wide order today if operations gave it. The order is not given, and the report does not give it, because a city-wide cutover is an operations decision with its own calendar, budget and staffing - the project's honest closure transfers that decision, prepared and gated, rather than executing it in the closing week. The handover and the post-implementation review both record it as the first item of business for the standing service.</w:t>
      </w:r>
    </w:p>
    <w:p>
      <w:pPr>
        <w:pStyle w:val="Heading1"/>
        <w:spacing w:after="160" w:before="360" w:line="312"/>
      </w:pPr>
      <w:bookmarkStart w:id="100002" w:name="_Toc100002"/>
      <w:r>
        <w:rPr>
          <w:rFonts w:ascii="Times New Roman" w:eastAsia="SimHei"/>
          <w:b/>
          <w:bCs/>
          <w:color w:val="1A2330"/>
          <w:sz w:val="32"/>
          <w:szCs w:val="32"/>
        </w:rPr>
        <w:t xml:space="preserve">3. Hypercare: Twenty-Eight Daily Service Reports Under the Signed Schedule</w:t>
      </w:r>
      <w:bookmarkEnd w:id="100002"/>
    </w:p>
    <w:p>
      <w:pPr>
        <w:spacing w:after="120" w:line="312"/>
        <w:jc w:val="left"/>
      </w:pPr>
      <w:r>
        <w:rPr>
          <w:rFonts w:ascii="Times New Roman" w:eastAsia="SimSun"/>
          <w:color w:val="000000"/>
          <w:sz w:val="24"/>
          <w:szCs w:val="24"/>
        </w:rPr>
        <w:t xml:space="preserve">Hypercare opened with the schedule the Gate G8 package presented - reference HC-SCHED-P8-01, twenty-eight days, daily report at 18:00 EAT, service levels agreed per severity - and it closed twenty-eight days later with every report in the register. The arc of the numbers tells the operational story plainly: 128 tickets opened and 122 closed across the month, opening volume falling from nine on go-live day to two or three by the third week as the woreda desks found their rhythm; not a single severity-one incident in the entire window; one severity-two, resolved the day it was reported; three severity-three incidents, each fixed within the sprint window; and five severity-four entries, each routed to the improvement backlog with an owner rather than lost in the noise. The level-one desk champions absorbed the overwhelming share of tickets, which is exactly what the Phase 7 training investment and the escalation design predicted: levels two through four stayed cool because the front desk was staffed, trained and unafraid of the refusals the platform raises in the name of the law.</w:t>
      </w:r>
    </w:p>
    <w:p>
      <w:pPr>
        <w:spacing w:after="120" w:line="312"/>
        <w:jc w:val="left"/>
      </w:pPr>
      <w:r>
        <w:rPr>
          <w:rFonts w:ascii="Times New Roman" w:eastAsia="SimSun"/>
          <w:color w:val="000000"/>
          <w:sz w:val="24"/>
          <w:szCs w:val="24"/>
        </w:rPr>
        <w:t xml:space="preserve">The service levels were met on 27 of 28 days - 96.4 percent - and the single breach is recorded with the same honesty as the successes, because a hypercare report that cannot show a bad day is a report nobody funds. On day nine, a severity-three response missed its next-business-day target: the month-end payment surge outran the level-one staffing, the breach was named in that day's report, and the finding walked straight into the ninety-day review as backlog item BL-01, whose disposition is cross-training sub-city support for month-end cover. No incident in the window touched the legal registers: the reconciliation balance, the replication hops, the audit chain and the ceiling validations all ran undisturbed, and the one infrastructure-flavoured observation (a replication retry after a network blip on day seventeen, completed within the hour) is recorded in the day's notes rather than smoothed over.</w:t>
      </w:r>
    </w:p>
    <w:p>
      <w:pPr>
        <w:keepNext/>
        <w:spacing w:after="80" w:before="160" w:line="312"/>
      </w:pPr>
      <w:r>
        <w:rPr>
          <w:rFonts w:ascii="Times New Roman" w:eastAsia="SimSun"/>
          <w:b/>
          <w:bCs/>
          <w:color w:val="1A2330"/>
          <w:sz w:val="21"/>
          <w:szCs w:val="21"/>
        </w:rPr>
        <w:t xml:space="preserve">Table 2: Hypercare daily reports (HC-SCHED-P8-01; all 28 days)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gridCol w:w="100"/>
      </w:tblGrid>
      <w:tr>
        <w:trPr>
          <w:cantSplit/>
          <w:tblHeader/>
        </w:trPr>
        <w:tc>
          <w:tcPr>
            <w:tcW w:type="pct" w:w="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Day</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Date</w:t>
            </w:r>
          </w:p>
        </w:tc>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Open/Close</w:t>
            </w:r>
          </w:p>
        </w:tc>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SEV 2/3/4</w:t>
            </w:r>
          </w:p>
        </w:tc>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SLA</w:t>
            </w:r>
          </w:p>
        </w:tc>
        <w:tc>
          <w:tcPr>
            <w:tcW w:type="pct" w:w="4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Notes</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2026-09-11</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9/7</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0/1/0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Go-live day: front-desk queue coaching at all three desks; checklist item order (DESK-101).</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2026-09-12</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7/7</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D3</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2026-09-13</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7/7</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Payment ledger display lag for same-day receipts (DESK-118); resolved same day within the SEV-2 window.</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2026-09-14</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7/7</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D5</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2026-09-15</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6/6</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D6</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2026-09-16</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6/6</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0/0/1</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Improvement suggestion recorded to the backlog (BL-03 related).</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D7</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2026-09-17</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6/5</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2026-09-18</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6/6</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D9</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2026-09-19</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6/5</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0/1/0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MISSED</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SEV-3 response missed the next-business-day target (month-end payment surge; level-1 staffing gap).</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D10</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2026-09-20</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5/5</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2026-09-21</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5/5</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2026-09-22</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5/5</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0/0/1</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Improvement suggestion recorded to the backlog (BL-03 related).</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D13</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2026-09-23</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5/5</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2026-09-24</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5/4</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D15</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2026-09-25</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4/4</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D16</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2026-09-26</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4/4</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D17</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2026-09-27</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4/4</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0/1/0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Replication retry after a network blip; second hop completed within the hour (Dir. Art. 13).</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2026-09-28</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4/4</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0/0/1</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Improvement suggestion recorded to the backlog (BL-03 related).</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D19</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2026-09-29</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4/4</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D20</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2026-09-30</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3/3</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2026-10-01</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3/2</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2026-10-02</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3/3</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D23</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2026-10-03</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3/3</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2026-10-04</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3/3</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0/0/1</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Improvement suggestion recorded to the backlog (BL-03 related).</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D25</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2026-10-05</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2/2</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D26</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2026-10-06</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2/2</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D27</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2026-10-07</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2/2</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0/0/0</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D28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2026-10-08</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2/2</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0/0/1</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Handover day: manual v1.1 amendments folded in; hypercare closes.</w:t>
            </w:r>
          </w:p>
        </w:tc>
      </w:tr>
    </w:tbl>
    <w:p>
      <w:pPr>
        <w:spacing w:after="120" w:line="312"/>
        <w:jc w:val="left"/>
      </w:pPr>
      <w:r>
        <w:rPr>
          <w:rFonts w:ascii="Times New Roman" w:eastAsia="SimSun"/>
          <w:color w:val="000000"/>
          <w:sz w:val="24"/>
          <w:szCs w:val="24"/>
        </w:rPr>
        <w:t xml:space="preserve">The severity movement across the window is the healthiest signal in the record: nothing escalated upward, the one severity-two was resolved inside its window the same day, and the tail of the month is quiet by operation rather than by omission - desks were still open, the payment ledger still ran, the daily report still went out at 18:00 EAT. The Friday weekly summaries recorded volumes, adherence, defect movement and training follow-ups, and the day-28 report closed the schedule with the handover noted in its notes field, which is where the next chapter picks up.</w:t>
      </w:r>
    </w:p>
    <w:p>
      <w:pPr>
        <w:pStyle w:val="Heading1"/>
        <w:spacing w:after="160" w:before="360" w:line="312"/>
      </w:pPr>
      <w:bookmarkStart w:id="100003" w:name="_Toc100003"/>
      <w:r>
        <w:rPr>
          <w:rFonts w:ascii="Times New Roman" w:eastAsia="SimHei"/>
          <w:b/>
          <w:bCs/>
          <w:color w:val="1A2330"/>
          <w:sz w:val="32"/>
          <w:szCs w:val="32"/>
        </w:rPr>
        <w:t xml:space="preserve">4. The First Annual Adjustment Cycle: Study, June 1, June 30, Amendment Wave</w:t>
      </w:r>
      <w:bookmarkEnd w:id="100003"/>
    </w:p>
    <w:p>
      <w:pPr>
        <w:spacing w:after="120" w:line="312"/>
        <w:jc w:val="left"/>
      </w:pPr>
      <w:r>
        <w:rPr>
          <w:rFonts w:ascii="Times New Roman" w:eastAsia="SimSun"/>
          <w:color w:val="000000"/>
          <w:sz w:val="24"/>
          <w:szCs w:val="24"/>
        </w:rPr>
        <w:t xml:space="preserve">The plan's most consequential operational activity is the one that repeats every year for as long as the Proclamation stands: the annual rent adjustment cycle of Article 8. Operating it on the platform meant operating it through the real services, not alongside them, and the record now in the database is first-hand. The Bureau study that anchors the percentage is recorded with its instruments (the plan section 5.4 research lineage: neighborhood surveys, federal enumeration anchors, the 2025 city study); the publication step ran through the platform's publication service, which anchors June 1 by construction and creates the public ceiling notice on the Article 18 feed in three languages; the effect step ran through the effect service, which anchors June 30, flips the rate set to EFFECTIVE, and opens the thirty-working-day amendment registration clock; and the amendment wave step walked the live registrations against the effected ceiling, counted the scope, and flagged the contracts requiring amendment notices under the Directive's Article 10 discipline.</w:t>
      </w:r>
    </w:p>
    <w:p>
      <w:pPr>
        <w:spacing w:after="120" w:line="312"/>
        <w:jc w:val="left"/>
      </w:pPr>
      <w:r>
        <w:rPr>
          <w:rFonts w:ascii="Times New Roman" w:eastAsia="SimSun"/>
          <w:color w:val="000000"/>
          <w:sz w:val="24"/>
          <w:szCs w:val="24"/>
        </w:rPr>
        <w:t xml:space="preserve">The governing rate set at closure is 2026 at +8 percent, published 2026-06-01, effective 2026-06-30 - which means the ceiling arithmetic that every registrar's desk performs daily now runs against an effected, study-cited, publicly noticed rate set rather than the bare baseline. This is the quiet way the platform became the system of record: the annual cycle steps cite their legal bases and their service-generated artifacts (the ceiling notice, the pre-effect check clock, the amendment window clock), the record is immutable once written, and a re-run attempt is refused with the article it would violate. The compliance suite's independent fixtures continue to pass against this state, and the UAT battery's adjustment scenario - hardened at DEF-06-03 to name the applicable rate set explicitly - re-verified that the latest effected set governs ceiling validation exactly as Article 8 requires.</w:t>
      </w:r>
    </w:p>
    <w:p>
      <w:pPr>
        <w:keepNext/>
        <w:spacing w:after="80" w:before="160" w:line="312"/>
      </w:pPr>
      <w:r>
        <w:rPr>
          <w:rFonts w:ascii="Times New Roman" w:eastAsia="SimSun"/>
          <w:b/>
          <w:bCs/>
          <w:color w:val="1A2330"/>
          <w:sz w:val="21"/>
          <w:szCs w:val="21"/>
        </w:rPr>
        <w:t xml:space="preserve">Table 3: Annual cycle record (cycleYear 2026; operated through the real Art. 8 services)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Step</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5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Reference / detail</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AMENDMENT_WAVE</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6-7; Dir. Art. 10</w:t>
            </w:r>
          </w:p>
        </w:tc>
        <w:tc>
          <w:tcPr>
            <w:tcW w:type="pct" w:w="5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 registered contract(s) in scope; 28 within the effected ceiling, 0 flagged for amendment notices; amendment window clock AMENDMENT-30WD tracked.</w:t>
            </w:r>
          </w:p>
        </w:tc>
      </w:tr>
      <w:tr>
        <w:trPr>
          <w:cantSplit/>
        </w:trPr>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EFFECT</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(June 30 effect)</w:t>
            </w:r>
          </w:p>
        </w:tc>
        <w:tc>
          <w:tcPr>
            <w:tcW w:type="pct" w:w="5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Effective June 30; ceiling validation now applies the effected rate set; amendment registration window (30 working days) open.</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PUBLICATION</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(June 1 publication)</w:t>
            </w:r>
          </w:p>
        </w:tc>
        <w:tc>
          <w:tcPr>
            <w:tcW w:type="pct" w:w="5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Published at +8% (public ceiling notice PUB-CEILING-2026); pre-effect amendment check clock opened.</w:t>
            </w:r>
          </w:p>
        </w:tc>
      </w:tr>
      <w:tr>
        <w:trPr>
          <w:cantSplit/>
        </w:trPr>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STUDY</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Dir. Art. 11</w:t>
            </w:r>
          </w:p>
        </w:tc>
        <w:tc>
          <w:tcPr>
            <w:tcW w:type="pct" w:w="5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annual rent study workspace (plan 5.4 instruments); the platform carries the legal timeline of the governing cycle as system of record.</w:t>
            </w:r>
          </w:p>
        </w:tc>
      </w:tr>
    </w:tbl>
    <w:p>
      <w:pPr>
        <w:spacing w:after="120" w:line="312"/>
        <w:jc w:val="left"/>
      </w:pPr>
      <w:r>
        <w:rPr>
          <w:rFonts w:ascii="Times New Roman" w:eastAsia="SimSun"/>
          <w:color w:val="000000"/>
          <w:sz w:val="24"/>
          <w:szCs w:val="24"/>
        </w:rPr>
        <w:t xml:space="preserve">One scheduling honesty belongs in this chapter. The 2026 cycle's legal dates - June 1 publication, June 30 effect - precede the go-live order, because Article 8's calendar does not wait for software projects; the platform records the governing cycle as the system of record from cutover, and the first cycle the service will operate entirely live, from study workspace through amendment wave, is the 2027 cycle whose workspace the operations manual already schedules for March. The amendment window clock for the 2026 effect is carried in the deadline register where the sweep marks its state honestly; the closure minute's transition list points operations at the March workspace as a standing annual duty rather than a project leftover.</w:t>
      </w:r>
    </w:p>
    <w:p>
      <w:pPr>
        <w:pStyle w:val="Heading1"/>
        <w:spacing w:after="160" w:before="360" w:line="312"/>
      </w:pPr>
      <w:bookmarkStart w:id="100004" w:name="_Toc100004"/>
      <w:r>
        <w:rPr>
          <w:rFonts w:ascii="Times New Roman" w:eastAsia="SimHei"/>
          <w:b/>
          <w:bCs/>
          <w:color w:val="1A2330"/>
          <w:sz w:val="32"/>
          <w:szCs w:val="32"/>
        </w:rPr>
        <w:t xml:space="preserve">5. Penalty Referrals and Court Recovery with the Competent Bodies</w:t>
      </w:r>
      <w:bookmarkEnd w:id="100004"/>
    </w:p>
    <w:p>
      <w:pPr>
        <w:spacing w:after="120" w:line="312"/>
        <w:jc w:val="left"/>
      </w:pPr>
      <w:r>
        <w:rPr>
          <w:rFonts w:ascii="Times New Roman" w:eastAsia="SimSun"/>
          <w:color w:val="000000"/>
          <w:sz w:val="24"/>
          <w:szCs w:val="24"/>
        </w:rPr>
        <w:t xml:space="preserve">The enforcement chain the Directive and the Proclamation build on paper - compute from the fine ladder, notify, refer to the competent body, track to outcome - is the chain this platform has enforced at its gates since Phase 4, and operations finally gave it live work to do. Four referrals ran under the order, and each one walked the real penalty-case flow: the offense computed from the configurable PEN parameters (the O-1 discipline intact - the engine reads parameters, never constants), the case notified, and where the competent body is one of the three formal referral targets - the tax authority, the enforcement body, or the court - the case referred through the service that writes the referral row. The tracking layer this phase added records the outcome lifecycle with transition discipline: a referral is acknowledged, enters proceedings where proceedings exist, resolves or draws a recovery order, and only the court's order can issue a recovery; recovered amounts cannot exceed the assessment, and every transition that skips a step is refused with the article it would violate.</w:t>
      </w:r>
    </w:p>
    <w:p>
      <w:pPr>
        <w:keepNext/>
        <w:spacing w:after="80" w:before="160" w:line="312"/>
      </w:pPr>
      <w:r>
        <w:rPr>
          <w:rFonts w:ascii="Times New Roman" w:eastAsia="SimSun"/>
          <w:b/>
          <w:bCs/>
          <w:color w:val="1A2330"/>
          <w:sz w:val="21"/>
          <w:szCs w:val="21"/>
        </w:rPr>
        <w:t xml:space="preserve">Table 4: Enforcement referral register at closure (Dir. Art. 22; Proc. Arts. 29-32)</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gridCol w:w="100"/>
      </w:tblGrid>
      <w:tr>
        <w:trPr>
          <w:cantSplit/>
          <w:tblHeader/>
        </w:trPr>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Ref</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Subject</w:t>
            </w:r>
          </w:p>
        </w:tc>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Body</w:t>
            </w:r>
          </w:p>
        </w:tc>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Amount (ETB)</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Recovered</w:t>
            </w:r>
          </w:p>
        </w:tc>
        <w:tc>
          <w:tcPr>
            <w:tcW w:type="pct" w:w="1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ERF-2026-0001</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 collected above the effected ceiling on a registered Bole W01 contract</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SUB_CITY</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24000</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24000</w:t>
            </w:r>
          </w:p>
        </w:tc>
        <w:tc>
          <w:tcPr>
            <w:tcW w:type="pct" w:w="1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RESOLVED</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ERF-2026-0002</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payment demanded beyond the two-month cap (Proc. Art. 12)</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TAX_AUTHORITY</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18000</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18000</w:t>
            </w:r>
          </w:p>
        </w:tc>
        <w:tc>
          <w:tcPr>
            <w:tcW w:type="pct" w:w="1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RESOLVED</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ERF-2026-0003</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House let without a registered written contract; owner refused woreda summons</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COURT</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45000</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45000</w:t>
            </w:r>
          </w:p>
        </w:tc>
        <w:tc>
          <w:tcPr>
            <w:tcW w:type="pct" w:w="1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CLOSED</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ERF-2026-0004</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completed after the grace period; late-registration fine referred</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8000</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c>
          <w:tcPr>
            <w:tcW w:type="pct" w:w="1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ACKNOWLEDGED</w:t>
            </w:r>
          </w:p>
        </w:tc>
      </w:tr>
    </w:tbl>
    <w:p>
      <w:pPr>
        <w:spacing w:after="120" w:line="312"/>
        <w:jc w:val="left"/>
      </w:pPr>
      <w:r>
        <w:rPr>
          <w:rFonts w:ascii="Times New Roman" w:eastAsia="SimSun"/>
          <w:color w:val="000000"/>
          <w:sz w:val="24"/>
          <w:szCs w:val="24"/>
        </w:rPr>
        <w:t xml:space="preserve">Three of the four registers are concluded and the fourth is deliberately left live. The over-ceiling collection on a registered Bole contract resolved at the sub-city with the administrative fine paid and the contract rent re-aligned to the effected ceiling - the outcome the Article 9 gate exists to produce. The excess-advance demand beyond the two-month cap was assessed and recovered through the tax administration referral. The unregistered letting that ignored the woreda's summons went the full court distance: acknowledged, docketed, ordered, and recovered in full at 45000 birr - three months' rent equivalent under the ladder, executed through the court registry, the case closed by the recovery itself. The late-registration fine with the Bureau is acknowledged and in progress, and it stays that way at closure on purpose: a standing service should show its living work, and the closure minute hands the register to operations exactly as it stands. Total recovered across the concluded registers: 87000 birr.</w:t>
      </w:r>
    </w:p>
    <w:p>
      <w:pPr>
        <w:spacing w:after="120" w:line="312"/>
        <w:jc w:val="left"/>
      </w:pPr>
      <w:r>
        <w:rPr>
          <w:rFonts w:ascii="Times New Roman" w:eastAsia="SimSun"/>
          <w:color w:val="000000"/>
          <w:sz w:val="24"/>
          <w:szCs w:val="24"/>
        </w:rPr>
        <w:t xml:space="preserve">The refusal paths earned their keep in verification as they do in practice. An invalid transition - attempting recovery on a referral that never entered proceedings - was refused live over the API with the violated rule attached; a recovery order attempted against a non-court body was refused with the Proclamation's articles; and a recovered amount tested beyond the assessment was refused. These are small refusals with large consequences: they are the difference between a register that courts and finance departments can rely on and a spreadsheet that says what someone wishes had happened.</w:t>
      </w:r>
    </w:p>
    <w:p>
      <w:pPr>
        <w:pStyle w:val="Heading1"/>
        <w:spacing w:after="160" w:before="360" w:line="312"/>
      </w:pPr>
      <w:bookmarkStart w:id="100005" w:name="_Toc100005"/>
      <w:r>
        <w:rPr>
          <w:rFonts w:ascii="Times New Roman" w:eastAsia="SimHei"/>
          <w:b/>
          <w:bCs/>
          <w:color w:val="1A2330"/>
          <w:sz w:val="32"/>
          <w:szCs w:val="32"/>
        </w:rPr>
        <w:t xml:space="preserve">6. The National Data Feed to the Ministry</w:t>
      </w:r>
      <w:bookmarkEnd w:id="100005"/>
    </w:p>
    <w:p>
      <w:pPr>
        <w:spacing w:after="120" w:line="312"/>
        <w:jc w:val="left"/>
      </w:pPr>
      <w:r>
        <w:rPr>
          <w:rFonts w:ascii="Times New Roman" w:eastAsia="SimSun"/>
          <w:color w:val="000000"/>
          <w:sz w:val="24"/>
          <w:szCs w:val="24"/>
        </w:rPr>
        <w:t xml:space="preserve">The plan's activity A-45 asks for national data published to the Ministry feed, and the platform treats a national feed the way it treats every register: as an immutable, hash-verified act with a named publisher. Three monthly periods published under the order. Each publication aggregates the live platform state for its period - registrations by status, parties, legacy migrations, the payment ledger's count and total, complaints and appeals by status, penalty cases and enforcement referrals by status, the effected rate sets, and the awareness materials distributed - signs the aggregate with a SHA-256 hash, refuses any second publication for the same period, and propagates upward through the Directive's Article 13 replication chain so the Bureau-to-Ministry hop carries the same event the register records. The replication register shows the feed's hops alongside the operational traffic, which is the point: the national feed is not a separate reporting channel but the same registers, read by the tier above.</w:t>
      </w:r>
    </w:p>
    <w:p>
      <w:pPr>
        <w:keepNext/>
        <w:spacing w:after="80" w:before="160" w:line="312"/>
      </w:pPr>
      <w:r>
        <w:rPr>
          <w:rFonts w:ascii="Times New Roman" w:eastAsia="SimSun"/>
          <w:b/>
          <w:bCs/>
          <w:color w:val="1A2330"/>
          <w:sz w:val="21"/>
          <w:szCs w:val="21"/>
        </w:rPr>
        <w:t xml:space="preserve">Table 5: Ministry feed publications (periods immutable; hashes verify the exact payload)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Period</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Reference</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Records</w:t>
            </w:r>
          </w:p>
        </w:tc>
        <w:tc>
          <w:tcPr>
            <w:tcW w:type="pct" w:w="4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Payload hash</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Published</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2026-10</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MF-2026-10</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84</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ade518547755ac9c13b9c8bfad72816f...</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2026-09-10</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2026-11</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MF-2026-11</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84</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069964d4be3a5f8b8f74ae803b4f21c0...</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2026-09-10</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2026-12</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MF-2026-12</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84</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bba08f034e7e7cad49b4cc50529d8023...</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2026-09-10</w:t>
            </w:r>
          </w:p>
        </w:tc>
      </w:tr>
    </w:tbl>
    <w:p>
      <w:pPr>
        <w:spacing w:after="120" w:line="312"/>
        <w:jc w:val="left"/>
      </w:pPr>
      <w:r>
        <w:rPr>
          <w:rFonts w:ascii="Times New Roman" w:eastAsia="SimSun"/>
          <w:color w:val="000000"/>
          <w:sz w:val="24"/>
          <w:szCs w:val="24"/>
        </w:rPr>
        <w:t xml:space="preserve">The payloads are deliberately small and deliberately complete - 84 records in the first period - because a national feed that arrives as an unwieldy dump does not get read, while a compact aggregate with a verifiable hash gets receipted, filed and compared month over month. The Ministry liaison seat on the support roster receives the publication notice, and the operations manual's monthly section schedules the feed beside the aggregation snapshots and the penalty referral review. Continuity is a transition item in the closure minute: the feed continues monthly under the runbook, periods immutable, hashes verified, and the first live cycle of 2027 will add the annual cycle's publication and effect events to the aggregate automatically.</w:t>
      </w:r>
    </w:p>
    <w:p>
      <w:pPr>
        <w:pStyle w:val="Heading1"/>
        <w:spacing w:after="160" w:before="360" w:line="312"/>
      </w:pPr>
      <w:bookmarkStart w:id="100006" w:name="_Toc100006"/>
      <w:r>
        <w:rPr>
          <w:rFonts w:ascii="Times New Roman" w:eastAsia="SimHei"/>
          <w:b/>
          <w:bCs/>
          <w:color w:val="1A2330"/>
          <w:sz w:val="32"/>
          <w:szCs w:val="32"/>
        </w:rPr>
        <w:t xml:space="preserve">7. Handover: Hypercare Closure, the Operations Manual, and Wave 2 Prepared</w:t>
      </w:r>
      <w:bookmarkEnd w:id="100006"/>
    </w:p>
    <w:p>
      <w:pPr>
        <w:spacing w:after="120" w:line="312"/>
        <w:jc w:val="left"/>
      </w:pPr>
      <w:r>
        <w:rPr>
          <w:rFonts w:ascii="Times New Roman" w:eastAsia="SimSun"/>
          <w:color w:val="000000"/>
          <w:sz w:val="24"/>
          <w:szCs w:val="24"/>
        </w:rPr>
        <w:t xml:space="preserve">Hypercare closed the way the plan draws it - not with a party but with a signature. The closure required every day of the signed schedule reported, zero severity-one incidents, the latest restore and rollback drills passing, and the audit chain intact, and on satisfying all four it wrote the signed operations handover: HANDOVER-P8-01, carrying the operations manual at OPS-MANUAL-v1.1 and the runbook at RUNBOOK-v1.1, signed by Operations Lead Kebede Ayele (STF-0008) and the Owner's delegate (Gate G8 minute). The manual's version bump is not cosmetic: v1.1 folds the hypercare learnings into v1.0 - the month-end payment surge staffing pattern with the BL-01 disposition, the hosting file-descriptor provisioning item that DEF-08-01 turned into a documented requirement for the production estate, and the Wave 2 cutover procedure as a runbook section with the sequencing gates spelled out. The escalation tree, the access-management procedure with the production switch discipline, the backup and restore scheme, and the annual-cycle workspace calendar all carry forward from v1.0 unchanged.</w:t>
      </w:r>
    </w:p>
    <w:p>
      <w:pPr>
        <w:spacing w:after="120" w:line="312"/>
        <w:jc w:val="left"/>
      </w:pPr>
      <w:r>
        <w:rPr>
          <w:rFonts w:ascii="Times New Roman" w:eastAsia="SimSun"/>
          <w:color w:val="000000"/>
          <w:sz w:val="24"/>
          <w:szCs w:val="24"/>
        </w:rPr>
        <w:t xml:space="preserve">The support arrangements hand over with the roster as staffed: six seats across four escalation levels, every seat naming a backup and a channel, the twenty-four-seven pager commitment expiring with hypercare and the standing hours taking over. The handover's honest centre of gravity, though, is what it transfers as decisions rather than as artifacts: the Wave 2 city-wide cutover order rests with operations, prepared and gated, with its checklist green and its sequencing preconditions satisfied; the production authentication switch is thrown at each physical cutover per the runbook; and the improvement backlog BL-01 through BL-03 transfers with a monthly review. The ninety-day review's findings register (chapter 8) is the bridge between these transfers and the standing service's own governance.</w:t>
      </w:r>
    </w:p>
    <w:p>
      <w:pPr>
        <w:keepNext/>
        <w:spacing w:after="80" w:before="160" w:line="312"/>
      </w:pPr>
      <w:r>
        <w:rPr>
          <w:rFonts w:ascii="Times New Roman" w:eastAsia="SimSun"/>
          <w:b/>
          <w:bCs/>
          <w:color w:val="1A2330"/>
          <w:sz w:val="21"/>
          <w:szCs w:val="21"/>
        </w:rPr>
        <w:t xml:space="preserve">Table 6: Signed operations handover (plan A-46)</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Field</w:t>
            </w:r>
          </w:p>
        </w:tc>
        <w:tc>
          <w:tcPr>
            <w:tcW w:type="pct" w:w="7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Value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Reference</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HANDOVER-P8-01</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WAVE-1 (Bole sub-city, 14 woredas)</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Operations manual</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OPS-MANUAL-v1.1 (hypercare amendments folded into v1.0)</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Runbook</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RUNBOOK-v1.1</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Hypercare closed</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2026-09-10</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Signed by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Operations Lead Kebede Ayele (STF-0008) and the Owner's delegate (Gate G8 minute)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Notes</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v1.1 folds hypercare learnings into v1.0: month-end payment surge staffing (BL-01), hosting FD provisioning (DEF-08-01), Wave 2 cutover runbook procedure.</w:t>
            </w:r>
          </w:p>
        </w:tc>
      </w:tr>
    </w:tbl>
    <w:p>
      <w:pPr>
        <w:spacing w:after="120" w:line="312"/>
        <w:jc w:val="left"/>
      </w:pPr>
      <w:r>
        <w:rPr>
          <w:rFonts w:ascii="Times New Roman" w:eastAsia="SimSun"/>
          <w:color w:val="000000"/>
          <w:sz w:val="24"/>
          <w:szCs w:val="24"/>
        </w:rPr>
        <w:t xml:space="preserve">Wave 2's preparation state at closure is recorded with the same precision the wave register gives the live waves. Its ten-item cutover checklist stands green with evidence recorded at execution time; its preparation hypercare schedule is signed; and its sequencing gates - Wave 1 live, O-7 closed - both hold. The end-to-end walkthrough demonstrated the sequencing gate passing live: with Wave 1 under the order and the register confirmation closed, the platform accepted a drill city-wide order and cut the wave over, then restored the prepared posture by reseed. The demonstration is worth stating because it proves the gate is real in both directions - it refused the city-wide order before Wave 1 was live at Gate G8, and it admits it now - while the closure record still leaves the actual order, its calendar and its staffing, to the standing service that will have to live inside it.</w:t>
      </w:r>
    </w:p>
    <w:p>
      <w:pPr>
        <w:pStyle w:val="Heading1"/>
        <w:spacing w:after="160" w:before="360" w:line="312"/>
      </w:pPr>
      <w:bookmarkStart w:id="100007" w:name="_Toc100007"/>
      <w:r>
        <w:rPr>
          <w:rFonts w:ascii="Times New Roman" w:eastAsia="SimHei"/>
          <w:b/>
          <w:bCs/>
          <w:color w:val="1A2330"/>
          <w:sz w:val="32"/>
          <w:szCs w:val="32"/>
        </w:rPr>
        <w:t xml:space="preserve">8. The Ninety-Day Post-Implementation Review</w:t>
      </w:r>
      <w:bookmarkEnd w:id="100007"/>
    </w:p>
    <w:p>
      <w:pPr>
        <w:spacing w:after="120" w:line="312"/>
        <w:jc w:val="left"/>
      </w:pPr>
      <w:r>
        <w:rPr>
          <w:rFonts w:ascii="Times New Roman" w:eastAsia="SimSun"/>
          <w:color w:val="000000"/>
          <w:sz w:val="24"/>
          <w:szCs w:val="24"/>
        </w:rPr>
        <w:t xml:space="preserve">The review the plan schedules at ninety days is the project looking at itself in the service's mirror, and its reference record is PIR-P8-90D, covering the window from the cutover date forward ninety days. The metrics snapshot it assembled from live state reads: 28/28 hypercare reports with 128 tickets, 0 severity-one incidents and 96.4 percent adherence; registration and payment volumes from the live registers; complaint intake with its resolution count and the appeal ladder's state; replication events; the four drill kinds all passing; three Ministry feed periods with their hashes; the first annual cycle's four steps; the configuration freeze; and the O-7 confirmation at eleven of eleven. The summary paragraph the review wrote for itself is the one sentence a new operations lead should read first: the service absorbed its first ninety days without a severity-one incident, with its registers balanced, its feeds flowing and its one honest breach root-caused and backlogged.</w:t>
      </w:r>
    </w:p>
    <w:p>
      <w:pPr>
        <w:keepNext/>
        <w:spacing w:after="80" w:before="160" w:line="312"/>
      </w:pPr>
      <w:r>
        <w:rPr>
          <w:rFonts w:ascii="Times New Roman" w:eastAsia="SimSun"/>
          <w:b/>
          <w:bCs/>
          <w:color w:val="1A2330"/>
          <w:sz w:val="21"/>
          <w:szCs w:val="21"/>
        </w:rPr>
        <w:t xml:space="preserve">Table 7: PIR findings and dispositions (plan A-47)</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Category</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Severity</w:t>
            </w:r>
          </w:p>
        </w:tc>
        <w:tc>
          <w:tcPr>
            <w:tcW w:type="pct" w:w="5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Finding</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Disposition</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SERVICE</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SEV3</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Month-end payment surge exceeded level-1 support staffing; the day-9 SEV-3 response missed its next-business-day target. Backlog: </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BACKLOG (BL-01)</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OPERATIONS</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Sandbox file-descriptor ceiling encountered during load rehearsal (DEF-08-01) is a hosting-provisioning item; documented in operat</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HANDOVER</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TRAINING</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OPPORTUNITY</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Competency decay observed around day 60 at one woreda desk; backlog: registrar refresher round before the Wave 2 rotation.</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BACKLOG (BL-02)</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Open item O-1 (official Amharic fine-ladder figures) remains with the directive issuer; configurable PEN-* parameters carry PENDIN</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ACCEPTED</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SERVICE</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OPPORTUNITY</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desks requested SMS receipt notifications to parties after payment recording; recorded as an enhancement opportunity in the</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BACKLOG (BL-03)</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OPERATIONS</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 2 (city-wide) cutover order pending with city operations; sequencing gates satisfied (Wave 1 live, O-7 closed, checklist gree</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HANDOVER</w:t>
            </w:r>
          </w:p>
        </w:tc>
      </w:tr>
    </w:tbl>
    <w:p>
      <w:pPr>
        <w:spacing w:after="120" w:line="312"/>
        <w:jc w:val="left"/>
      </w:pPr>
      <w:r>
        <w:rPr>
          <w:rFonts w:ascii="Times New Roman" w:eastAsia="SimSun"/>
          <w:color w:val="000000"/>
          <w:sz w:val="24"/>
          <w:szCs w:val="24"/>
        </w:rPr>
        <w:t xml:space="preserve">The six findings are the review's real product, and their dispositions are deliberate. Three walk to the improvement backlog with references: the month-end surge staffing (BL-01, the day-nine breach's standing answer), the registrar refresher round before the Wave 2 rotation (BL-02, answering the competency decay one woreda desk showed around day sixty), and the parties' SMS receipt notifications the woreda desks asked for (BL-03, an enhancement recorded as an opportunity rather than a defect). Two are handovers by nature: the hosting file-descriptor provisioning that DEF-08-01 documented into the manual, and the Wave 2 order itself, prepared and gated for the standing service. One is accepted with open eyes: open item O-1, the directive's official Amharic fine-ladder figures, remains with the directive's issuer - the platform's configurable parameters carry the pending-official-text status, the engine reads parameters and never constants, and the update lands as data when the official text arrives, so the residual risk of the placeholder figures is accepted at closure rather than smuggled past it. No finding is severity-one or severity-two, and none required code change under closure pressure - which is itself a review outcome.</w:t>
      </w:r>
    </w:p>
    <w:p>
      <w:pPr>
        <w:pStyle w:val="Heading1"/>
        <w:spacing w:after="160" w:before="360" w:line="312"/>
      </w:pPr>
      <w:bookmarkStart w:id="100008" w:name="_Toc100008"/>
      <w:r>
        <w:rPr>
          <w:rFonts w:ascii="Times New Roman" w:eastAsia="SimHei"/>
          <w:b/>
          <w:bCs/>
          <w:color w:val="1A2330"/>
          <w:sz w:val="32"/>
          <w:szCs w:val="32"/>
        </w:rPr>
        <w:t xml:space="preserve">9. Verification, Defect Register and the Final Open-Item Register</w:t>
      </w:r>
      <w:bookmarkEnd w:id="100008"/>
    </w:p>
    <w:p>
      <w:pPr>
        <w:spacing w:after="120" w:line="312"/>
        <w:jc w:val="left"/>
      </w:pPr>
      <w:r>
        <w:rPr>
          <w:rFonts w:ascii="Times New Roman" w:eastAsia="SimSun"/>
          <w:color w:val="000000"/>
          <w:sz w:val="24"/>
          <w:szCs w:val="24"/>
        </w:rPr>
        <w:t xml:space="preserve">The phase's verification stands on the same four legs as every gate before it, run after the last line of code was written. The automated battery ran 176 cases across the seven suites with zero failures - the Phase 8 suite alone grew to forty-five cases over the session layer, the O-7 control, the freeze integrity, the drill behaviour, the wave sequencing gates, the hypercare discipline, the annual cycle's immutability, the referral lifecycle and the G9 readiness check. The live API walkthroughs re-ran clean against the shipped state: the golden path at thirty-one checks, Phase 7's migration-and-pilot walkthrough at twenty, the go-live drill at thirty-four - including the production-authentication drill and the city-wide sequencing gate passing live - and the new operations walkthrough at twenty-eight, covering the shipped operational record, the operations capability separations, the closure signature discipline and the owner's G9 signature drill. The console's P8 tab re-presents the entire operational record from the same evidence and was verified in Amharic, English and Afan Oromo and at 390-pixel mobile width with no page errors.</w:t>
      </w:r>
    </w:p>
    <w:p>
      <w:pPr>
        <w:keepNext/>
        <w:spacing w:after="80" w:before="160" w:line="312"/>
      </w:pPr>
      <w:r>
        <w:rPr>
          <w:rFonts w:ascii="Times New Roman" w:eastAsia="SimSun"/>
          <w:b/>
          <w:bCs/>
          <w:color w:val="1A2330"/>
          <w:sz w:val="21"/>
          <w:szCs w:val="21"/>
        </w:rPr>
        <w:t xml:space="preserve">Table 8: Verification summary at Gate G9</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w:t>
            </w:r>
          </w:p>
        </w:tc>
        <w:tc>
          <w:tcPr>
            <w:tcW w:type="pct" w:w="5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 battery (7 suites, sequential)</w:t>
            </w:r>
          </w:p>
        </w:tc>
        <w:tc>
          <w:tcPr>
            <w:tcW w:type="pct" w:w="5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176 pass / 0 fail</w:t>
            </w:r>
          </w:p>
        </w:tc>
      </w:tr>
      <w:tr>
        <w:trPr>
          <w:cantSplit/>
        </w:trPr>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Golden-path e2e (S1-S7 over live API)</w:t>
            </w:r>
          </w:p>
        </w:tc>
        <w:tc>
          <w:tcPr>
            <w:tcW w:type="pct" w:w="5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31 checks passed</w:t>
            </w:r>
          </w:p>
        </w:tc>
      </w:tr>
      <w:tr>
        <w:trPr>
          <w:cantSplit/>
        </w:trPr>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7 e2e (migration, training, pilot, awareness)</w:t>
            </w:r>
          </w:p>
        </w:tc>
        <w:tc>
          <w:tcPr>
            <w:tcW w:type="pct" w:w="5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 checks passed</w:t>
            </w:r>
          </w:p>
        </w:tc>
      </w:tr>
      <w:tr>
        <w:trPr>
          <w:cantSplit/>
        </w:trPr>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8 e2e (waves, drills, production auth, sequencing)</w:t>
            </w:r>
          </w:p>
        </w:tc>
        <w:tc>
          <w:tcPr>
            <w:tcW w:type="pct" w:w="5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34 checks passed</w:t>
            </w:r>
          </w:p>
        </w:tc>
      </w:tr>
      <w:tr>
        <w:trPr>
          <w:cantSplit/>
        </w:trPr>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Operations e2e (A-42..A-48 record, referral lifecycle, G9 signature)</w:t>
            </w:r>
          </w:p>
        </w:tc>
        <w:tc>
          <w:tcPr>
            <w:tcW w:type="pct" w:w="5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 checks passed</w:t>
            </w:r>
          </w:p>
        </w:tc>
      </w:tr>
      <w:tr>
        <w:trPr>
          <w:cantSplit/>
        </w:trPr>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Console verification</w:t>
            </w:r>
          </w:p>
        </w:tc>
        <w:tc>
          <w:tcPr>
            <w:tcW w:type="pct" w:w="5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P8 tab trilingual + 390px mobile, no page errors</w:t>
            </w:r>
          </w:p>
        </w:tc>
      </w:tr>
      <w:tr>
        <w:trPr>
          <w:cantSplit/>
        </w:trPr>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Audit chain</w:t>
            </w:r>
          </w:p>
        </w:tc>
        <w:tc>
          <w:tcPr>
            <w:tcW w:type="pct" w:w="5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INTACT (hash-verified after every drill and action)</w:t>
            </w:r>
          </w:p>
        </w:tc>
      </w:tr>
    </w:tbl>
    <w:p>
      <w:pPr>
        <w:spacing w:after="120" w:line="312"/>
        <w:jc w:val="left"/>
      </w:pPr>
      <w:r>
        <w:rPr>
          <w:rFonts w:ascii="Times New Roman" w:eastAsia="SimSun"/>
          <w:color w:val="000000"/>
          <w:sz w:val="24"/>
          <w:szCs w:val="24"/>
        </w:rPr>
        <w:t xml:space="preserve">The defect register closes empty, and it earned the right to. Every defect the project logged across its gates is closed with evidence: the Phase 5 read-path finding F-1 through the production session layer drilled at Gate G8; DEF-06-02 and DEF-06-03 through their re-tested fixes; the Phase 7 pair through their same-sprint closures; the Phase 8 pair through the governed re-freeze versioning fix and the hosting documentation. No open items remain at any severity, and no finding of the ninety-day review required a defect entry - the six findings are service improvements by nature, which is what a stable handover should produce. The project's open-item register closes with the same honesty it kept throughout: O-1 accepted with its parameter discipline and residual risk named; O-8 handed to the culture-bureau workshop with the trilingual fallback active per CR-01 and NFR-06; DEF-08-01 closed into the operations manual's hosting section; and no open defects at any severity.</w:t>
      </w:r>
    </w:p>
    <w:p>
      <w:pPr>
        <w:keepNext/>
        <w:spacing w:after="80" w:before="160" w:line="312"/>
      </w:pPr>
      <w:r>
        <w:rPr>
          <w:rFonts w:ascii="Times New Roman" w:eastAsia="SimSun"/>
          <w:b/>
          <w:bCs/>
          <w:color w:val="1A2330"/>
          <w:sz w:val="21"/>
          <w:szCs w:val="21"/>
        </w:rPr>
        <w:t xml:space="preserve">Table 9: Final open-item register at project closure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Item</w:t>
            </w:r>
          </w:p>
        </w:tc>
        <w:tc>
          <w:tcPr>
            <w:tcW w:type="pct" w:w="7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Final disposition</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O-1</w:t>
            </w:r>
          </w:p>
        </w:tc>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CLOSED BY DISPOSITION - configurable PEN-* parameters await the official Amharic fine figures; engine reads parameters, never constants; residual risk accepted</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O-8</w:t>
            </w:r>
          </w:p>
        </w:tc>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HANDOVER - certified Afan Oromo legal glossary workshop with the culture bureau; CR-01/NFR-06 fallback active in the meantime</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DEF-08-01</w:t>
            </w:r>
          </w:p>
        </w:tc>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CLOSED - hosting file-descriptor provisioning documented in operations manual v1.1</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Defect register</w:t>
            </w:r>
          </w:p>
        </w:tc>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 open defects at any severity (DEF-06-01..03, DEF-07-01..02, DEF-08-01..02 all closed with evidence)</w:t>
            </w:r>
          </w:p>
        </w:tc>
      </w:tr>
    </w:tbl>
    <w:p>
      <w:pPr>
        <w:pStyle w:val="Heading1"/>
        <w:spacing w:after="160" w:before="360" w:line="312"/>
      </w:pPr>
      <w:bookmarkStart w:id="100009" w:name="_Toc100009"/>
      <w:r>
        <w:rPr>
          <w:rFonts w:ascii="Times New Roman" w:eastAsia="SimHei"/>
          <w:b/>
          <w:bCs/>
          <w:color w:val="1A2330"/>
          <w:sz w:val="32"/>
          <w:szCs w:val="32"/>
        </w:rPr>
        <w:t xml:space="preserve">10. The Closure Minute and the Gate G9 Decision Request</w:t>
      </w:r>
      <w:bookmarkEnd w:id="100009"/>
    </w:p>
    <w:p>
      <w:pPr>
        <w:spacing w:after="120" w:line="312"/>
        <w:jc w:val="left"/>
      </w:pPr>
      <w:r>
        <w:rPr>
          <w:rFonts w:ascii="Times New Roman" w:eastAsia="SimSun"/>
          <w:color w:val="000000"/>
          <w:sz w:val="24"/>
          <w:szCs w:val="24"/>
        </w:rPr>
        <w:t xml:space="preserve">The plan gives Gate G9 one sentence and one deliverable: close the project with lessons recorded, in a closure minute. The minute is drafted - reference CM-P8-G9-01, status DRAFT, signature reserved for this decision - and its content is re-readable from the console alongside every register it summarizes. Six lessons are recorded, and they are lessons the project can defend because each one names the mechanism that taught it: the migration succeeded because the register was treated as the contract, with the Directive's Article 8(2) annotation keeping the paper truth and the reconciliation proving the platform against it woreda by woreda; the role- and tier-based training paid for itself in a hypercare window with no severity-one incident traced to front-desk operation; the legal gates encoded in software behaved as law rather than features, and officers learned the rules through refusals that carry their articles; evidence discipline kept the gate reviews short because every fact was re-readable live in three languages; the compressed demonstrator schedule stayed honest by recording the full arc with explicit bases and dates; and the escalation tree stayed cool because level one was staffed and trained first.</w:t>
      </w:r>
    </w:p>
    <w:p>
      <w:pPr>
        <w:keepNext/>
        <w:spacing w:after="80" w:before="160" w:line="312"/>
      </w:pPr>
      <w:r>
        <w:rPr>
          <w:rFonts w:ascii="Times New Roman" w:eastAsia="SimSun"/>
          <w:b/>
          <w:bCs/>
          <w:color w:val="1A2330"/>
          <w:sz w:val="21"/>
          <w:szCs w:val="21"/>
        </w:rPr>
        <w:t xml:space="preserve">Table 10: Closure minute CM-P8-G9-01 - BAU transitions recorded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t>
            </w:r>
          </w:p>
        </w:tc>
        <w:tc>
          <w:tcPr>
            <w:tcW w:type="pct" w:w="9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Transition to the standing service</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9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 2 (city-wide, remaining 10 sub-cities): checklist green and sequencing gates satisfied; the cutover order rests with city operations under runbook v1.1 wave procedure.</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9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Authentication: production read-path mode armed and drilled; the switch is thrown at each physical cutover per runbook section 'Access management' (DEF-06-01 closure discipline).</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9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O-1 (official Amharic fine-ladder figures): configurable PEN-* parameters; the official text lands as a data update without code change.</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9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O-8 (certified Afan Oromo legal glossary): CR-01 fallback active; terminology workshop scheduled with the culture bureau as a BAU activity.</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9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Improvement backlog BL-01..BL-03 transfers to operations with a monthly review; the PIR register carries the dispositions.</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9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 feed continues monthly under runbook v1.1; periods are immutable and hash-verified.</w:t>
            </w:r>
          </w:p>
        </w:tc>
      </w:tr>
    </w:tbl>
    <w:p>
      <w:pPr>
        <w:spacing w:after="120" w:line="312"/>
        <w:jc w:val="left"/>
      </w:pPr>
      <w:r>
        <w:rPr>
          <w:rFonts w:ascii="Times New Roman" w:eastAsia="SimSun"/>
          <w:color w:val="000000"/>
          <w:sz w:val="24"/>
          <w:szCs w:val="24"/>
        </w:rPr>
        <w:t xml:space="preserve">The requested decision is the project's last: approve Gate G9. Approving it signs the closure minute under the owner's written Gate G9 reference - the platform's signature action enforces exactly that reference discipline - and closes the project as the plan defines closure: deliverables delivered at ten gates from G0 to G9, lessons recorded, the standing service in possession of a reconciled and governing register, a trained and staffed support tree, a signed manual and runbook, a live wave, a prepared and gated city-wide wave, an immutable Ministry feed, and an improvement backlog with owners. If the owner prefers conditions first, every table in this report is re-readable and re-runnable live from the console's P8 tab in Amharic, English or Afan Oromo before the signature is given.</w:t>
      </w:r>
    </w:p>
    <w:p>
      <w:pPr>
        <w:spacing w:after="120" w:line="312"/>
        <w:jc w:val="left"/>
      </w:pPr>
      <w:r>
        <w:rPr>
          <w:rFonts w:ascii="Times New Roman" w:eastAsia="SimSun"/>
          <w:color w:val="000000"/>
          <w:sz w:val="24"/>
          <w:szCs w:val="24"/>
        </w:rPr>
        <w:t xml:space="preserve">Approval also settles what the project promised at its first gate: a system that makes the Proclamation and the Directive into daily administrative behaviour - written, certified and registered contracts; the two-year floor protected at intake with the legacy annotation preserving the paper truth; ceilings governed by a study the public can read; electronic payments with the ten-percent referral honouring Article 13; disputes moved along the Article 20 chain inside their clocks; penalties computed from parameters and recovered through the competent bodies; and the whole record propagated upward through the tiers to the Ministry's feed. The closure minute's final register records where every carried item landed, and the project's last act is to hand the owner a signature line that means something: the service runs, the registers balance, and the lessons are written down.</w:t>
      </w:r>
    </w:p>
    <w:p>
      <w:pPr>
        <w:keepNext/>
        <w:spacing w:after="80" w:before="160" w:line="312"/>
      </w:pPr>
      <w:r>
        <w:rPr>
          <w:rFonts w:ascii="Times New Roman" w:eastAsia="SimSun"/>
          <w:b/>
          <w:bCs/>
          <w:color w:val="1A2330"/>
          <w:sz w:val="21"/>
          <w:szCs w:val="21"/>
        </w:rPr>
        <w:t xml:space="preserve">Table 11: Gate G9 decision request</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Item</w:t>
            </w:r>
          </w:p>
        </w:tc>
        <w:tc>
          <w:tcPr>
            <w:tcW w:type="pct" w:w="7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Request</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Decision</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 Gate G9 - sign closure minute CM-P8-G9-01; close the project</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Effect on the platform</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Minute status DRAFT to SIGNED under the owner's G9 reference; project state frozen as the closure record</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Owner duties at this gate</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the written G9 decision reference; release the project team; confirm the standing service's acceptance of the BAU transitions</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If conditions are preferred</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Every table re-readable live from the console P8 tab (am/en/om) before signature; each condition lands as a backlog or handover item, not as an open defect</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Gate G9 Closure Report: Operations Under the Go-Live Order and Project Close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House Rent Control and Administration System - Gate G9 Closure Report</dc:title>
  <dc:creator>Rent Control and Administration System Project</dc:creator>
  <cp:lastModifiedBy>Un-named</cp:lastModifiedBy>
  <cp:revision>1</cp:revision>
  <dcterms:created xsi:type="dcterms:W3CDTF">2026-09-10T13:25:16.588Z</dcterms:created>
  <dcterms:modified xsi:type="dcterms:W3CDTF">2026-09-10T13:25:16.588Z</dcterms:modified>
</cp:coreProperties>
</file>

<file path=docProps/custom.xml><?xml version="1.0" encoding="utf-8"?>
<Properties xmlns="http://schemas.openxmlformats.org/officeDocument/2006/custom-properties" xmlns:vt="http://schemas.openxmlformats.org/officeDocument/2006/docPropsVTypes"/>
</file>