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2330" w:val="clear"/>
            <w:vAlign w:val="top"/>
          </w:tcPr>
          <w:p>
            <w:pPr>
              <w:spacing w:before="3588"/>
            </w:pPr>
          </w:p>
          <w:p>
            <w:pPr>
              <w:pBdr>
                <w:bottom w:val="single" w:color="D4875A" w:sz="6" w:space="8"/>
              </w:pBdr>
              <w:spacing w:after="500"/>
              <w:ind w:left="1200" w:right="800"/>
            </w:pPr>
            <w:r>
              <w:rPr>
                <w:rFonts w:ascii="Calibri" w:eastAsia="SimHei"/>
                <w:color w:val="D4875A"/>
                <w:spacing w:val="40"/>
                <w:sz w:val="18"/>
                <w:szCs w:val="18"/>
              </w:rPr>
              <w:t xml:space="preserve">I  M  P  L  E  M  E  N  T  A  T  I  O  N     P  L  A  N</w:t>
            </w:r>
          </w:p>
          <w:p>
            <w:pPr>
              <w:spacing w:after="100" w:line="920" w:lineRule="atLeast"/>
              <w:ind w:left="1200" w:right="800"/>
            </w:pPr>
            <w:r>
              <w:rPr>
                <w:rFonts w:ascii="Arial" w:eastAsia="SimHei"/>
                <w:b/>
                <w:bCs/>
                <w:color w:val="FFFFFF"/>
                <w:sz w:val="80"/>
                <w:szCs w:val="80"/>
              </w:rPr>
              <w:t xml:space="preserve">Residential House</w:t>
            </w:r>
          </w:p>
          <w:p>
            <w:pPr>
              <w:spacing w:after="100" w:line="920" w:lineRule="atLeast"/>
              <w:ind w:left="1200" w:right="800"/>
            </w:pPr>
            <w:r>
              <w:rPr>
                <w:rFonts w:ascii="Arial" w:eastAsia="SimHei"/>
                <w:b/>
                <w:bCs/>
                <w:color w:val="FFFFFF"/>
                <w:sz w:val="80"/>
                <w:szCs w:val="80"/>
              </w:rPr>
              <w:t xml:space="preserve">Rent Control and</w:t>
            </w:r>
          </w:p>
          <w:p>
            <w:pPr>
              <w:spacing w:after="300" w:line="920" w:lineRule="atLeast"/>
              <w:ind w:left="1200" w:right="800"/>
            </w:pPr>
            <w:r>
              <w:rPr>
                <w:rFonts w:ascii="Arial" w:eastAsia="SimHei"/>
                <w:b/>
                <w:bCs/>
                <w:color w:val="FFFFFF"/>
                <w:sz w:val="80"/>
                <w:szCs w:val="80"/>
              </w:rPr>
              <w:t xml:space="preserve">Administration System</w:t>
            </w:r>
          </w:p>
          <w:p>
            <w:pPr>
              <w:spacing w:after="800" w:line="340" w:lineRule="atLeast"/>
              <w:ind w:left="1200" w:right="800"/>
            </w:pPr>
            <w:r>
              <w:rPr>
                <w:rFonts w:ascii="Arial" w:eastAsia="Microsoft YaHei"/>
                <w:color w:val="B0B8C0"/>
                <w:sz w:val="24"/>
                <w:szCs w:val="24"/>
              </w:rPr>
              <w:t xml:space="preserve">Master Implementation Plan and Step-by-Step Development Guide</w:t>
            </w:r>
          </w:p>
          <w:p>
            <w:pPr>
              <w:pBdr>
                <w:left w:val="single" w:color="D4875A" w:sz="8" w:space="12"/>
              </w:pBdr>
              <w:spacing w:after="80"/>
              <w:ind w:left="1400" w:right="800"/>
            </w:pPr>
            <w:r>
              <w:rPr>
                <w:rFonts w:ascii="Arial" w:eastAsia="Microsoft YaHei"/>
                <w:color w:val="A8B0B8"/>
                <w:sz w:val="24"/>
                <w:szCs w:val="24"/>
              </w:rPr>
              <w:t xml:space="preserve">Legal Basis: Proclamation 1320/2016 + Directive 7/2016 + Model Agreement</w:t>
            </w:r>
          </w:p>
          <w:p>
            <w:pPr>
              <w:pBdr>
                <w:left w:val="single" w:color="D4875A" w:sz="8" w:space="12"/>
              </w:pBdr>
              <w:spacing w:after="80"/>
              <w:ind w:left="1400" w:right="800"/>
            </w:pPr>
            <w:r>
              <w:rPr>
                <w:rFonts w:ascii="Arial" w:eastAsia="Microsoft YaHei"/>
                <w:color w:val="A8B0B8"/>
                <w:sz w:val="24"/>
                <w:szCs w:val="24"/>
              </w:rPr>
              <w:t xml:space="preserve">Methodology: Hybrid V-Model + Incremental Agile, Phase-Gated</w:t>
            </w:r>
          </w:p>
          <w:p>
            <w:pPr>
              <w:pBdr>
                <w:left w:val="single" w:color="D4875A" w:sz="8" w:space="12"/>
              </w:pBdr>
              <w:spacing w:after="80"/>
              <w:ind w:left="1400" w:right="800"/>
            </w:pPr>
            <w:r>
              <w:rPr>
                <w:rFonts w:ascii="Arial" w:eastAsia="Microsoft YaHei"/>
                <w:color w:val="A8B0B8"/>
                <w:sz w:val="24"/>
                <w:szCs w:val="24"/>
              </w:rPr>
              <w:t xml:space="preserve">Scope: Federal - City Bureau - Sub-city - Woreda Tiers</w:t>
            </w:r>
          </w:p>
          <w:p>
            <w:pPr>
              <w:pBdr>
                <w:left w:val="single" w:color="D4875A" w:sz="8" w:space="12"/>
              </w:pBdr>
              <w:spacing w:after="80"/>
              <w:ind w:left="1400" w:right="800"/>
            </w:pPr>
            <w:r>
              <w:rPr>
                <w:rFonts w:ascii="Arial" w:eastAsia="Microsoft YaHei"/>
                <w:color w:val="A8B0B8"/>
                <w:sz w:val="24"/>
                <w:szCs w:val="24"/>
              </w:rPr>
              <w:t xml:space="preserve">Version 1.0 - September 2026</w:t>
            </w:r>
          </w:p>
          <w:p>
            <w:pPr>
              <w:spacing w:before="3588"/>
            </w:pPr>
          </w:p>
          <w:p>
            <w:pPr>
              <w:pBdr>
                <w:top w:val="single" w:color="D4875A" w:sz="2" w:space="8"/>
              </w:pBdr>
              <w:spacing w:before="200"/>
              <w:ind w:left="1200" w:right="800"/>
            </w:pPr>
            <w:r>
              <w:rPr>
                <w:rFonts w:ascii="Arial"/>
                <w:color w:val="8A929A"/>
                <w:sz w:val="16"/>
                <w:szCs w:val="16"/>
              </w:rPr>
              <w:t xml:space="preserve">Rent Control and Administration System Project</w:t>
            </w:r>
            <w:r>
              <w:t xml:space="preserve">                                        </w:t>
            </w:r>
            <w:r>
              <w:rPr>
                <w:rFonts w:ascii="Arial"/>
                <w:color w:val="8A929A"/>
                <w:sz w:val="16"/>
                <w:szCs w:val="16"/>
              </w:rPr>
              <w:t xml:space="preserve">Implementation Plan V1.0</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A233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Regulatory Foundation and Administrative Structure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The Three Legal Instruments and How They Interlock</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Directive Rules That Sharpen the Requirements Baseline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The Administrative Structure the System Must Mirror</w:t>
            </w:r>
            <w:r>
              <w:tab/>
            </w:r>
            <w:r>
              <w:fldChar w:fldCharType="begin"/>
            </w:r>
            <w:r>
              <w:instrText xml:space="preserve"> PAGEREF _Toc100004 \h </w:instrText>
            </w:r>
            <w:r>
              <w:fldChar w:fldCharType="separate"/>
            </w:r>
            <w:r>
              <w:t>5</w:t>
            </w:r>
            <w:r>
              <w:fldChar w:fldCharType="end"/>
            </w:r>
          </w:hyperlink>
        </w:p>
        <w:p>
          <w:pPr>
            <w:pStyle w:val="11"/>
            <w:ind w:left="360"/>
            <w:tabs>
              <w:tab w:val="right" w:leader="dot" w:pos="9026"/>
            </w:tabs>
            <w:spacing w:before="120" w:after="60"/>
          </w:pPr>
          <w:hyperlink w:anchor="_Toc100005" w:history="1">
            <w:r>
              <w:rPr>
                <w:rStyle w:val="Hyperlink"/>
              </w:rPr>
              <w:t>2.4 From a City Directive to a National Platform</w:t>
            </w:r>
            <w:r>
              <w:tab/>
            </w:r>
            <w:r>
              <w:fldChar w:fldCharType="begin"/>
            </w:r>
            <w:r>
              <w:instrText xml:space="preserve"> PAGEREF _Toc100005 \h </w:instrText>
            </w:r>
            <w:r>
              <w:fldChar w:fldCharType="separate"/>
            </w:r>
            <w:r>
              <w:t>5</w:t>
            </w:r>
            <w:r>
              <w:fldChar w:fldCharType="end"/>
            </w:r>
          </w:hyperlink>
        </w:p>
        <w:p>
          <w:pPr>
            <w:pStyle w:val="9"/>
            <w:tabs>
              <w:tab w:val="right" w:leader="dot" w:pos="9026"/>
            </w:tabs>
            <w:spacing w:before="120" w:after="60"/>
          </w:pPr>
          <w:hyperlink w:anchor="_Toc100006" w:history="1">
            <w:r>
              <w:rPr>
                <w:rStyle w:val="Hyperlink"/>
              </w:rPr>
              <w:t>3. Software Development Model and Engineering Standards</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3.1 The Chosen Model: Hybrid Phase-Gated Incremental</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3.2 How the Phase Gates Work</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3.3 Engineering Standards Applied</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3.4 The Documentation Set</w:t>
            </w:r>
            <w:r>
              <w:tab/>
            </w:r>
            <w:r>
              <w:fldChar w:fldCharType="begin"/>
            </w:r>
            <w:r>
              <w:instrText xml:space="preserve"> PAGEREF _Toc100010 \h </w:instrText>
            </w:r>
            <w:r>
              <w:fldChar w:fldCharType="separate"/>
            </w:r>
            <w:r>
              <w:t>6</w:t>
            </w:r>
            <w:r>
              <w:fldChar w:fldCharType="end"/>
            </w:r>
          </w:hyperlink>
        </w:p>
        <w:p>
          <w:pPr>
            <w:pStyle w:val="9"/>
            <w:tabs>
              <w:tab w:val="right" w:leader="dot" w:pos="9026"/>
            </w:tabs>
            <w:spacing w:before="120" w:after="60"/>
          </w:pPr>
          <w:hyperlink w:anchor="_Toc100011" w:history="1">
            <w:r>
              <w:rPr>
                <w:rStyle w:val="Hyperlink"/>
              </w:rPr>
              <w:t>4. System Scope: Actors, Modules and Functional Baseline</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4.1 Actors</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4.2 The Thirteen Modules</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4.3 Exclusions</w:t>
            </w:r>
            <w:r>
              <w:tab/>
            </w:r>
            <w:r>
              <w:fldChar w:fldCharType="begin"/>
            </w:r>
            <w:r>
              <w:instrText xml:space="preserve"> PAGEREF _Toc100014 \h </w:instrText>
            </w:r>
            <w:r>
              <w:fldChar w:fldCharType="separate"/>
            </w:r>
            <w:r>
              <w:t>8</w:t>
            </w:r>
            <w:r>
              <w:fldChar w:fldCharType="end"/>
            </w:r>
          </w:hyperlink>
        </w:p>
        <w:p>
          <w:pPr>
            <w:pStyle w:val="9"/>
            <w:tabs>
              <w:tab w:val="right" w:leader="dot" w:pos="9026"/>
            </w:tabs>
            <w:spacing w:before="120" w:after="60"/>
          </w:pPr>
          <w:hyperlink w:anchor="_Toc100015" w:history="1">
            <w:r>
              <w:rPr>
                <w:rStyle w:val="Hyperlink"/>
              </w:rPr>
              <w:t>5. Phase-Gated Implementation Roadmap</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5.1 Phase 0: Initiation and Governance</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5.2 Phase 1: Requirements Consolidation and Legal Traceability</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5.3 Phase 2: System and Software Design</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5.4 Phase 3: Environments and Seed Configuration</w:t>
            </w:r>
            <w:r>
              <w:tab/>
            </w:r>
            <w:r>
              <w:fldChar w:fldCharType="begin"/>
            </w:r>
            <w:r>
              <w:instrText xml:space="preserve"> PAGEREF _Toc100019 \h </w:instrText>
            </w:r>
            <w:r>
              <w:fldChar w:fldCharType="separate"/>
            </w:r>
            <w:r>
              <w:t>11</w:t>
            </w:r>
            <w:r>
              <w:fldChar w:fldCharType="end"/>
            </w:r>
          </w:hyperlink>
        </w:p>
        <w:p>
          <w:pPr>
            <w:pStyle w:val="11"/>
            <w:ind w:left="360"/>
            <w:tabs>
              <w:tab w:val="right" w:leader="dot" w:pos="9026"/>
            </w:tabs>
            <w:spacing w:before="120" w:after="60"/>
          </w:pPr>
          <w:hyperlink w:anchor="_Toc100020" w:history="1">
            <w:r>
              <w:rPr>
                <w:rStyle w:val="Hyperlink"/>
              </w:rPr>
              <w:t>5.5 Phase 4: Incremental Module Construction</w:t>
            </w:r>
            <w:r>
              <w:tab/>
            </w:r>
            <w:r>
              <w:fldChar w:fldCharType="begin"/>
            </w:r>
            <w:r>
              <w:instrText xml:space="preserve"> PAGEREF _Toc100020 \h </w:instrText>
            </w:r>
            <w:r>
              <w:fldChar w:fldCharType="separate"/>
            </w:r>
            <w:r>
              <w:t>11</w:t>
            </w:r>
            <w:r>
              <w:fldChar w:fldCharType="end"/>
            </w:r>
          </w:hyperlink>
        </w:p>
        <w:p>
          <w:pPr>
            <w:pStyle w:val="11"/>
            <w:ind w:left="360"/>
            <w:tabs>
              <w:tab w:val="right" w:leader="dot" w:pos="9026"/>
            </w:tabs>
            <w:spacing w:before="120" w:after="60"/>
          </w:pPr>
          <w:hyperlink w:anchor="_Toc100021" w:history="1">
            <w:r>
              <w:rPr>
                <w:rStyle w:val="Hyperlink"/>
              </w:rPr>
              <w:t>5.6 Phase 5: Integration, Security and Compliance Testing</w:t>
            </w:r>
            <w:r>
              <w:tab/>
            </w:r>
            <w:r>
              <w:fldChar w:fldCharType="begin"/>
            </w:r>
            <w:r>
              <w:instrText xml:space="preserve"> PAGEREF _Toc100021 \h </w:instrText>
            </w:r>
            <w:r>
              <w:fldChar w:fldCharType="separate"/>
            </w:r>
            <w:r>
              <w:t>12</w:t>
            </w:r>
            <w:r>
              <w:fldChar w:fldCharType="end"/>
            </w:r>
          </w:hyperlink>
        </w:p>
        <w:p>
          <w:pPr>
            <w:pStyle w:val="11"/>
            <w:ind w:left="360"/>
            <w:tabs>
              <w:tab w:val="right" w:leader="dot" w:pos="9026"/>
            </w:tabs>
            <w:spacing w:before="120" w:after="60"/>
          </w:pPr>
          <w:hyperlink w:anchor="_Toc100022" w:history="1">
            <w:r>
              <w:rPr>
                <w:rStyle w:val="Hyperlink"/>
              </w:rPr>
              <w:t>5.7 Phase 6: User Acceptance and Legal Validation</w:t>
            </w:r>
            <w:r>
              <w:tab/>
            </w:r>
            <w:r>
              <w:fldChar w:fldCharType="begin"/>
            </w:r>
            <w:r>
              <w:instrText xml:space="preserve"> PAGEREF _Toc100022 \h </w:instrText>
            </w:r>
            <w:r>
              <w:fldChar w:fldCharType="separate"/>
            </w:r>
            <w:r>
              <w:t>13</w:t>
            </w:r>
            <w:r>
              <w:fldChar w:fldCharType="end"/>
            </w:r>
          </w:hyperlink>
        </w:p>
        <w:p>
          <w:pPr>
            <w:pStyle w:val="11"/>
            <w:ind w:left="360"/>
            <w:tabs>
              <w:tab w:val="right" w:leader="dot" w:pos="9026"/>
            </w:tabs>
            <w:spacing w:before="120" w:after="60"/>
          </w:pPr>
          <w:hyperlink w:anchor="_Toc100023" w:history="1">
            <w:r>
              <w:rPr>
                <w:rStyle w:val="Hyperlink"/>
              </w:rPr>
              <w:t>5.8 Phase 7: Data Migration, Training and Pilot</w:t>
            </w:r>
            <w:r>
              <w:tab/>
            </w:r>
            <w:r>
              <w:fldChar w:fldCharType="begin"/>
            </w:r>
            <w:r>
              <w:instrText xml:space="preserve"> PAGEREF _Toc100023 \h </w:instrText>
            </w:r>
            <w:r>
              <w:fldChar w:fldCharType="separate"/>
            </w:r>
            <w:r>
              <w:t>14</w:t>
            </w:r>
            <w:r>
              <w:fldChar w:fldCharType="end"/>
            </w:r>
          </w:hyperlink>
        </w:p>
        <w:p>
          <w:pPr>
            <w:pStyle w:val="11"/>
            <w:ind w:left="360"/>
            <w:tabs>
              <w:tab w:val="right" w:leader="dot" w:pos="9026"/>
            </w:tabs>
            <w:spacing w:before="120" w:after="60"/>
          </w:pPr>
          <w:hyperlink w:anchor="_Toc100024" w:history="1">
            <w:r>
              <w:rPr>
                <w:rStyle w:val="Hyperlink"/>
              </w:rPr>
              <w:t>5.9 Phase 8: Go-Live, Operations and Continuous Improvement</w:t>
            </w:r>
            <w:r>
              <w:tab/>
            </w:r>
            <w:r>
              <w:fldChar w:fldCharType="begin"/>
            </w:r>
            <w:r>
              <w:instrText xml:space="preserve"> PAGEREF _Toc100024 \h </w:instrText>
            </w:r>
            <w:r>
              <w:fldChar w:fldCharType="separate"/>
            </w:r>
            <w:r>
              <w:t>14</w:t>
            </w:r>
            <w:r>
              <w:fldChar w:fldCharType="end"/>
            </w:r>
          </w:hyperlink>
        </w:p>
        <w:p>
          <w:pPr>
            <w:pStyle w:val="9"/>
            <w:tabs>
              <w:tab w:val="right" w:leader="dot" w:pos="9026"/>
            </w:tabs>
            <w:spacing w:before="120" w:after="60"/>
          </w:pPr>
          <w:hyperlink w:anchor="_Toc100025" w:history="1">
            <w:r>
              <w:rPr>
                <w:rStyle w:val="Hyperlink"/>
              </w:rPr>
              <w:t>6. Interaction and Governance Model</w:t>
            </w:r>
            <w:r>
              <w:tab/>
            </w:r>
            <w:r>
              <w:fldChar w:fldCharType="begin"/>
            </w:r>
            <w:r>
              <w:instrText xml:space="preserve"> PAGEREF _Toc100025 \h </w:instrText>
            </w:r>
            <w:r>
              <w:fldChar w:fldCharType="separate"/>
            </w:r>
            <w:r>
              <w:t>15</w:t>
            </w:r>
            <w:r>
              <w:fldChar w:fldCharType="end"/>
            </w:r>
          </w:hyperlink>
        </w:p>
        <w:p>
          <w:pPr>
            <w:pStyle w:val="9"/>
            <w:tabs>
              <w:tab w:val="right" w:leader="dot" w:pos="9026"/>
            </w:tabs>
            <w:spacing w:before="120" w:after="60"/>
          </w:pPr>
          <w:hyperlink w:anchor="_Toc100026" w:history="1">
            <w:r>
              <w:rPr>
                <w:rStyle w:val="Hyperlink"/>
              </w:rPr>
              <w:t>7. Step-by-Step Guide for the Project Owner</w:t>
            </w:r>
            <w:r>
              <w:tab/>
            </w:r>
            <w:r>
              <w:fldChar w:fldCharType="begin"/>
            </w:r>
            <w:r>
              <w:instrText xml:space="preserve"> PAGEREF _Toc100026 \h </w:instrText>
            </w:r>
            <w:r>
              <w:fldChar w:fldCharType="separate"/>
            </w:r>
            <w:r>
              <w:t>16</w:t>
            </w:r>
            <w:r>
              <w:fldChar w:fldCharType="end"/>
            </w:r>
          </w:hyperlink>
        </w:p>
        <w:p>
          <w:pPr>
            <w:pStyle w:val="9"/>
            <w:tabs>
              <w:tab w:val="right" w:leader="dot" w:pos="9026"/>
            </w:tabs>
            <w:spacing w:before="120" w:after="60"/>
          </w:pPr>
          <w:hyperlink w:anchor="_Toc100027" w:history="1">
            <w:r>
              <w:rPr>
                <w:rStyle w:val="Hyperlink"/>
              </w:rPr>
              <w:t>8. Quality Assurance and Compliance Testing</w:t>
            </w:r>
            <w:r>
              <w:tab/>
            </w:r>
            <w:r>
              <w:fldChar w:fldCharType="begin"/>
            </w:r>
            <w:r>
              <w:instrText xml:space="preserve"> PAGEREF _Toc100027 \h </w:instrText>
            </w:r>
            <w:r>
              <w:fldChar w:fldCharType="separate"/>
            </w:r>
            <w:r>
              <w:t>17</w:t>
            </w:r>
            <w:r>
              <w:fldChar w:fldCharType="end"/>
            </w:r>
          </w:hyperlink>
        </w:p>
        <w:p>
          <w:pPr>
            <w:pStyle w:val="11"/>
            <w:ind w:left="360"/>
            <w:tabs>
              <w:tab w:val="right" w:leader="dot" w:pos="9026"/>
            </w:tabs>
            <w:spacing w:before="120" w:after="60"/>
          </w:pPr>
          <w:hyperlink w:anchor="_Toc100028" w:history="1">
            <w:r>
              <w:rPr>
                <w:rStyle w:val="Hyperlink"/>
              </w:rPr>
              <w:t>8.1 Test Levels</w:t>
            </w:r>
            <w:r>
              <w:tab/>
            </w:r>
            <w:r>
              <w:fldChar w:fldCharType="begin"/>
            </w:r>
            <w:r>
              <w:instrText xml:space="preserve"> PAGEREF _Toc100028 \h </w:instrText>
            </w:r>
            <w:r>
              <w:fldChar w:fldCharType="separate"/>
            </w:r>
            <w:r>
              <w:t>17</w:t>
            </w:r>
            <w:r>
              <w:fldChar w:fldCharType="end"/>
            </w:r>
          </w:hyperlink>
        </w:p>
        <w:p>
          <w:pPr>
            <w:pStyle w:val="11"/>
            <w:ind w:left="360"/>
            <w:tabs>
              <w:tab w:val="right" w:leader="dot" w:pos="9026"/>
            </w:tabs>
            <w:spacing w:before="120" w:after="60"/>
          </w:pPr>
          <w:hyperlink w:anchor="_Toc100029" w:history="1">
            <w:r>
              <w:rPr>
                <w:rStyle w:val="Hyperlink"/>
              </w:rPr>
              <w:t>8.2 The Legal Compliance Test Matrix</w:t>
            </w:r>
            <w:r>
              <w:tab/>
            </w:r>
            <w:r>
              <w:fldChar w:fldCharType="begin"/>
            </w:r>
            <w:r>
              <w:instrText xml:space="preserve"> PAGEREF _Toc100029 \h </w:instrText>
            </w:r>
            <w:r>
              <w:fldChar w:fldCharType="separate"/>
            </w:r>
            <w:r>
              <w:t>17</w:t>
            </w:r>
            <w:r>
              <w:fldChar w:fldCharType="end"/>
            </w:r>
          </w:hyperlink>
        </w:p>
        <w:p>
          <w:pPr>
            <w:pStyle w:val="11"/>
            <w:ind w:left="360"/>
            <w:tabs>
              <w:tab w:val="right" w:leader="dot" w:pos="9026"/>
            </w:tabs>
            <w:spacing w:before="120" w:after="60"/>
          </w:pPr>
          <w:hyperlink w:anchor="_Toc100030" w:history="1">
            <w:r>
              <w:rPr>
                <w:rStyle w:val="Hyperlink"/>
              </w:rPr>
              <w:t>8.3 Defect Management and Quality Gates</w:t>
            </w:r>
            <w:r>
              <w:tab/>
            </w:r>
            <w:r>
              <w:fldChar w:fldCharType="begin"/>
            </w:r>
            <w:r>
              <w:instrText xml:space="preserve"> PAGEREF _Toc100030 \h </w:instrText>
            </w:r>
            <w:r>
              <w:fldChar w:fldCharType="separate"/>
            </w:r>
            <w:r>
              <w:t>17</w:t>
            </w:r>
            <w:r>
              <w:fldChar w:fldCharType="end"/>
            </w:r>
          </w:hyperlink>
        </w:p>
        <w:p>
          <w:pPr>
            <w:pStyle w:val="9"/>
            <w:tabs>
              <w:tab w:val="right" w:leader="dot" w:pos="9026"/>
            </w:tabs>
            <w:spacing w:before="120" w:after="60"/>
          </w:pPr>
          <w:hyperlink w:anchor="_Toc100031" w:history="1">
            <w:r>
              <w:rPr>
                <w:rStyle w:val="Hyperlink"/>
              </w:rPr>
              <w:t>9. Deployment, Data Migration and Tiered Rollout</w:t>
            </w:r>
            <w:r>
              <w:tab/>
            </w:r>
            <w:r>
              <w:fldChar w:fldCharType="begin"/>
            </w:r>
            <w:r>
              <w:instrText xml:space="preserve"> PAGEREF _Toc100031 \h </w:instrText>
            </w:r>
            <w:r>
              <w:fldChar w:fldCharType="separate"/>
            </w:r>
            <w:r>
              <w:t>18</w:t>
            </w:r>
            <w:r>
              <w:fldChar w:fldCharType="end"/>
            </w:r>
          </w:hyperlink>
        </w:p>
        <w:p>
          <w:pPr>
            <w:pStyle w:val="11"/>
            <w:ind w:left="360"/>
            <w:tabs>
              <w:tab w:val="right" w:leader="dot" w:pos="9026"/>
            </w:tabs>
            <w:spacing w:before="120" w:after="60"/>
          </w:pPr>
          <w:hyperlink w:anchor="_Toc100032" w:history="1">
            <w:r>
              <w:rPr>
                <w:rStyle w:val="Hyperlink"/>
              </w:rPr>
              <w:t>9.1 Environments and Promotion Path</w:t>
            </w:r>
            <w:r>
              <w:tab/>
            </w:r>
            <w:r>
              <w:fldChar w:fldCharType="begin"/>
            </w:r>
            <w:r>
              <w:instrText xml:space="preserve"> PAGEREF _Toc100032 \h </w:instrText>
            </w:r>
            <w:r>
              <w:fldChar w:fldCharType="separate"/>
            </w:r>
            <w:r>
              <w:t>18</w:t>
            </w:r>
            <w:r>
              <w:fldChar w:fldCharType="end"/>
            </w:r>
          </w:hyperlink>
        </w:p>
        <w:p>
          <w:pPr>
            <w:pStyle w:val="11"/>
            <w:ind w:left="360"/>
            <w:tabs>
              <w:tab w:val="right" w:leader="dot" w:pos="9026"/>
            </w:tabs>
            <w:spacing w:before="120" w:after="60"/>
          </w:pPr>
          <w:hyperlink w:anchor="_Toc100033" w:history="1">
            <w:r>
              <w:rPr>
                <w:rStyle w:val="Hyperlink"/>
              </w:rPr>
              <w:t>9.2 Rollout Waves</w:t>
            </w:r>
            <w:r>
              <w:tab/>
            </w:r>
            <w:r>
              <w:fldChar w:fldCharType="begin"/>
            </w:r>
            <w:r>
              <w:instrText xml:space="preserve"> PAGEREF _Toc100033 \h </w:instrText>
            </w:r>
            <w:r>
              <w:fldChar w:fldCharType="separate"/>
            </w:r>
            <w:r>
              <w:t>18</w:t>
            </w:r>
            <w:r>
              <w:fldChar w:fldCharType="end"/>
            </w:r>
          </w:hyperlink>
        </w:p>
        <w:p>
          <w:pPr>
            <w:pStyle w:val="11"/>
            <w:ind w:left="360"/>
            <w:tabs>
              <w:tab w:val="right" w:leader="dot" w:pos="9026"/>
            </w:tabs>
            <w:spacing w:before="120" w:after="60"/>
          </w:pPr>
          <w:hyperlink w:anchor="_Toc100034" w:history="1">
            <w:r>
              <w:rPr>
                <w:rStyle w:val="Hyperlink"/>
              </w:rPr>
              <w:t>9.3 Legacy Data Migration</w:t>
            </w:r>
            <w:r>
              <w:tab/>
            </w:r>
            <w:r>
              <w:fldChar w:fldCharType="begin"/>
            </w:r>
            <w:r>
              <w:instrText xml:space="preserve"> PAGEREF _Toc100034 \h </w:instrText>
            </w:r>
            <w:r>
              <w:fldChar w:fldCharType="separate"/>
            </w:r>
            <w:r>
              <w:t>18</w:t>
            </w:r>
            <w:r>
              <w:fldChar w:fldCharType="end"/>
            </w:r>
          </w:hyperlink>
        </w:p>
        <w:p>
          <w:pPr>
            <w:pStyle w:val="11"/>
            <w:ind w:left="360"/>
            <w:tabs>
              <w:tab w:val="right" w:leader="dot" w:pos="9026"/>
            </w:tabs>
            <w:spacing w:before="120" w:after="60"/>
          </w:pPr>
          <w:hyperlink w:anchor="_Toc100035" w:history="1">
            <w:r>
              <w:rPr>
                <w:rStyle w:val="Hyperlink"/>
              </w:rPr>
              <w:t>9.4 Training by Role and Tier</w:t>
            </w:r>
            <w:r>
              <w:tab/>
            </w:r>
            <w:r>
              <w:fldChar w:fldCharType="begin"/>
            </w:r>
            <w:r>
              <w:instrText xml:space="preserve"> PAGEREF _Toc100035 \h </w:instrText>
            </w:r>
            <w:r>
              <w:fldChar w:fldCharType="separate"/>
            </w:r>
            <w:r>
              <w:t>19</w:t>
            </w:r>
            <w:r>
              <w:fldChar w:fldCharType="end"/>
            </w:r>
          </w:hyperlink>
        </w:p>
        <w:p>
          <w:pPr>
            <w:pStyle w:val="11"/>
            <w:ind w:left="360"/>
            <w:tabs>
              <w:tab w:val="right" w:leader="dot" w:pos="9026"/>
            </w:tabs>
            <w:spacing w:before="120" w:after="60"/>
          </w:pPr>
          <w:hyperlink w:anchor="_Toc100036" w:history="1">
            <w:r>
              <w:rPr>
                <w:rStyle w:val="Hyperlink"/>
              </w:rPr>
              <w:t>9.5 Cutover Checklist</w:t>
            </w:r>
            <w:r>
              <w:tab/>
            </w:r>
            <w:r>
              <w:fldChar w:fldCharType="begin"/>
            </w:r>
            <w:r>
              <w:instrText xml:space="preserve"> PAGEREF _Toc100036 \h </w:instrText>
            </w:r>
            <w:r>
              <w:fldChar w:fldCharType="separate"/>
            </w:r>
            <w:r>
              <w:t>19</w:t>
            </w:r>
            <w:r>
              <w:fldChar w:fldCharType="end"/>
            </w:r>
          </w:hyperlink>
        </w:p>
        <w:p>
          <w:pPr>
            <w:pStyle w:val="9"/>
            <w:tabs>
              <w:tab w:val="right" w:leader="dot" w:pos="9026"/>
            </w:tabs>
            <w:spacing w:before="120" w:after="60"/>
          </w:pPr>
          <w:hyperlink w:anchor="_Toc100037" w:history="1">
            <w:r>
              <w:rPr>
                <w:rStyle w:val="Hyperlink"/>
              </w:rPr>
              <w:t>10. Timeline, Milestones and Risk Register</w:t>
            </w:r>
            <w:r>
              <w:tab/>
            </w:r>
            <w:r>
              <w:fldChar w:fldCharType="begin"/>
            </w:r>
            <w:r>
              <w:instrText xml:space="preserve"> PAGEREF _Toc100037 \h </w:instrText>
            </w:r>
            <w:r>
              <w:fldChar w:fldCharType="separate"/>
            </w:r>
            <w:r>
              <w:t>19</w:t>
            </w:r>
            <w:r>
              <w:fldChar w:fldCharType="end"/>
            </w:r>
          </w:hyperlink>
        </w:p>
        <w:p>
          <w:pPr>
            <w:pStyle w:val="11"/>
            <w:ind w:left="360"/>
            <w:tabs>
              <w:tab w:val="right" w:leader="dot" w:pos="9026"/>
            </w:tabs>
            <w:spacing w:before="120" w:after="60"/>
          </w:pPr>
          <w:hyperlink w:anchor="_Toc100038" w:history="1">
            <w:r>
              <w:rPr>
                <w:rStyle w:val="Hyperlink"/>
              </w:rPr>
              <w:t>10.1 Indicative Schedule</w:t>
            </w:r>
            <w:r>
              <w:tab/>
            </w:r>
            <w:r>
              <w:fldChar w:fldCharType="begin"/>
            </w:r>
            <w:r>
              <w:instrText xml:space="preserve"> PAGEREF _Toc100038 \h </w:instrText>
            </w:r>
            <w:r>
              <w:fldChar w:fldCharType="separate"/>
            </w:r>
            <w:r>
              <w:t>19</w:t>
            </w:r>
            <w:r>
              <w:fldChar w:fldCharType="end"/>
            </w:r>
          </w:hyperlink>
        </w:p>
        <w:p>
          <w:pPr>
            <w:pStyle w:val="11"/>
            <w:ind w:left="360"/>
            <w:tabs>
              <w:tab w:val="right" w:leader="dot" w:pos="9026"/>
            </w:tabs>
            <w:spacing w:before="120" w:after="60"/>
          </w:pPr>
          <w:hyperlink w:anchor="_Toc100039" w:history="1">
            <w:r>
              <w:rPr>
                <w:rStyle w:val="Hyperlink"/>
              </w:rPr>
              <w:t>10.2 Risk Register</w:t>
            </w:r>
            <w:r>
              <w:tab/>
            </w:r>
            <w:r>
              <w:fldChar w:fldCharType="begin"/>
            </w:r>
            <w:r>
              <w:instrText xml:space="preserve"> PAGEREF _Toc100039 \h </w:instrText>
            </w:r>
            <w:r>
              <w:fldChar w:fldCharType="separate"/>
            </w:r>
            <w:r>
              <w:t>20</w:t>
            </w:r>
            <w:r>
              <w:fldChar w:fldCharType="end"/>
            </w:r>
          </w:hyperlink>
        </w:p>
        <w:p>
          <w:pPr>
            <w:pStyle w:val="9"/>
            <w:tabs>
              <w:tab w:val="right" w:leader="dot" w:pos="9026"/>
            </w:tabs>
            <w:spacing w:before="120" w:after="60"/>
          </w:pPr>
          <w:hyperlink w:anchor="_Toc100040" w:history="1">
            <w:r>
              <w:rPr>
                <w:rStyle w:val="Hyperlink"/>
              </w:rPr>
              <w:t>11. Master Activity Checklist</w:t>
            </w:r>
            <w:r>
              <w:tab/>
            </w:r>
            <w:r>
              <w:fldChar w:fldCharType="begin"/>
            </w:r>
            <w:r>
              <w:instrText xml:space="preserve"> PAGEREF _Toc100040 \h </w:instrText>
            </w:r>
            <w:r>
              <w:fldChar w:fldCharType="separate"/>
            </w:r>
            <w:r>
              <w:t>20</w:t>
            </w:r>
            <w:r>
              <w:fldChar w:fldCharType="end"/>
            </w:r>
          </w:hyperlink>
        </w:p>
        <w:p>
          <w:pPr>
            <w:pStyle w:val="9"/>
            <w:tabs>
              <w:tab w:val="right" w:leader="dot" w:pos="9026"/>
            </w:tabs>
            <w:spacing w:before="120" w:after="60"/>
          </w:pPr>
          <w:hyperlink w:anchor="_Toc100041" w:history="1">
            <w:r>
              <w:rPr>
                <w:rStyle w:val="Hyperlink"/>
              </w:rPr>
              <w:t>12. Appendix A: Legal Traceability Matrix and Glossary</w:t>
            </w:r>
            <w:r>
              <w:tab/>
            </w:r>
            <w:r>
              <w:fldChar w:fldCharType="begin"/>
            </w:r>
            <w:r>
              <w:instrText xml:space="preserve"> PAGEREF _Toc100041 \h </w:instrText>
            </w:r>
            <w:r>
              <w:fldChar w:fldCharType="separate"/>
            </w:r>
            <w:r>
              <w:t>20</w:t>
            </w:r>
            <w:r>
              <w:fldChar w:fldCharType="end"/>
            </w:r>
          </w:hyperlink>
        </w:p>
        <w:p>
          <w:pPr>
            <w:pStyle w:val="11"/>
            <w:ind w:left="360"/>
            <w:tabs>
              <w:tab w:val="right" w:leader="dot" w:pos="9026"/>
            </w:tabs>
            <w:spacing w:before="120" w:after="60"/>
          </w:pPr>
          <w:hyperlink w:anchor="_Toc100042" w:history="1">
            <w:r>
              <w:rPr>
                <w:rStyle w:val="Hyperlink"/>
              </w:rPr>
              <w:t>12.1 Traceability Matrix (Summary View)</w:t>
            </w:r>
            <w:r>
              <w:tab/>
            </w:r>
            <w:r>
              <w:fldChar w:fldCharType="begin"/>
            </w:r>
            <w:r>
              <w:instrText xml:space="preserve"> PAGEREF _Toc100042 \h </w:instrText>
            </w:r>
            <w:r>
              <w:fldChar w:fldCharType="separate"/>
            </w:r>
            <w:r>
              <w:t>20</w:t>
            </w:r>
            <w:r>
              <w:fldChar w:fldCharType="end"/>
            </w:r>
          </w:hyperlink>
        </w:p>
        <w:p>
          <w:pPr>
            <w:pStyle w:val="11"/>
            <w:ind w:left="360"/>
            <w:tabs>
              <w:tab w:val="right" w:leader="dot" w:pos="9026"/>
            </w:tabs>
            <w:spacing w:before="120" w:after="60"/>
          </w:pPr>
          <w:hyperlink w:anchor="_Toc100043" w:history="1">
            <w:r>
              <w:rPr>
                <w:rStyle w:val="Hyperlink"/>
              </w:rPr>
              <w:t>12.2 Glossary</w:t>
            </w:r>
            <w:r>
              <w:tab/>
            </w:r>
            <w:r>
              <w:fldChar w:fldCharType="begin"/>
            </w:r>
            <w:r>
              <w:instrText xml:space="preserve"> PAGEREF _Toc100043 \h </w:instrText>
            </w:r>
            <w:r>
              <w:fldChar w:fldCharType="separate"/>
            </w:r>
            <w:r>
              <w:t>21</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1A2330"/>
          <w:sz w:val="32"/>
          <w:szCs w:val="32"/>
        </w:rPr>
        <w:t xml:space="preserve">1. Executive Summary</w:t>
      </w:r>
      <w:bookmarkEnd w:id="100000"/>
    </w:p>
    <w:p>
      <w:pPr>
        <w:spacing w:after="120" w:line="312"/>
        <w:jc w:val="left"/>
      </w:pPr>
      <w:r>
        <w:rPr>
          <w:rFonts w:ascii="Times New Roman" w:eastAsia="SimSun"/>
          <w:color w:val="000000"/>
          <w:sz w:val="24"/>
          <w:szCs w:val="24"/>
        </w:rPr>
        <w:t xml:space="preserve">This document is the master implementation plan for the Residential House Rent Control and Administration System, the information platform that will operationalize Federal Proclamation No. 1320/2016 together with the Addis Ababa City Residential House Rent Control and Administration Directive No. 7/2016 and the Model Rental Agreement published as its annex. It converts the work already completed in this engagement, namely the article-by-article legal analysis, the functional requirements baseline of approximately sixty requirements organized in thirteen modules, the catalogue of twenty-one use cases across seven actor groups, and the detailed landlord onboarding scenario, into one ordered and phase-gated roadmap. Its purpose is that both the project owner and the delivery team can follow a single authoritative sequence of activities, with the assurance that no element discussed so far has been dropped.</w:t>
      </w:r>
    </w:p>
    <w:p>
      <w:pPr>
        <w:spacing w:after="120" w:line="312"/>
        <w:jc w:val="left"/>
      </w:pPr>
      <w:r>
        <w:rPr>
          <w:rFonts w:ascii="Times New Roman" w:eastAsia="SimSun"/>
          <w:color w:val="000000"/>
          <w:sz w:val="24"/>
          <w:szCs w:val="24"/>
        </w:rPr>
        <w:t xml:space="preserve">The plan adopts a clearly named development model: the Hybrid Phase-Gated Incremental Model, which combines V-Model verification discipline with agile sprint construction. The V-Model side guarantees legal traceability, because every article of the proclamation and the directive is traced forward to a requirement, to a design element, and to a test case. The agile side delivers the thirteen modules in seven working increments, each demonstrated to the project owner before the next begins. Nine phases, numbered Phase 0 through Phase 8, carry the work from project initiation through requirements consolidation, design, environment setup, incremental construction, testing, user acceptance and legal validation, data migration and piloting, and finally go-live and operations.</w:t>
      </w:r>
    </w:p>
    <w:p>
      <w:pPr>
        <w:spacing w:after="120" w:line="312"/>
        <w:jc w:val="left"/>
      </w:pPr>
      <w:r>
        <w:rPr>
          <w:rFonts w:ascii="Times New Roman" w:eastAsia="SimSun"/>
          <w:color w:val="000000"/>
          <w:sz w:val="24"/>
          <w:szCs w:val="24"/>
        </w:rPr>
        <w:t xml:space="preserve">Interaction with the project owner is structured and predictable. Every phase closes with a formal stage gate, from G0 to G9, at which the owner reviews named artifacts, answers specific questions, and grants written approval before work continues. No review package is larger than can be read in a single sitting, and each package opens with a one-page summary. This mechanism is the practical meaning of the requirement for smooth interaction at all stages: at any moment, both sides know exactly which activity is open, which decision is pending, and what must be produced next.</w:t>
      </w:r>
    </w:p>
    <w:p>
      <w:pPr>
        <w:spacing w:after="120" w:line="312"/>
        <w:jc w:val="left"/>
      </w:pPr>
      <w:r>
        <w:rPr>
          <w:rFonts w:ascii="Times New Roman" w:eastAsia="SimSun"/>
          <w:color w:val="000000"/>
          <w:sz w:val="24"/>
          <w:szCs w:val="24"/>
        </w:rPr>
        <w:t xml:space="preserve">The system design honors the administrative structure defined by the directive. The Woreda Office is the front desk where contracts are presented, verified against the nine-point checklist, certified, stamped, numbered, and entered into the database. The Sub-city Office consolidates woreda data and monitors implementation. The City Bureau studies and publishes the annual rent adjustment, amends and distributes the model contract, and directs penalty enforcement. The Ministry stands at the federal level, receiving consolidated national data. Although the directive currently at hand is specific to Addis Ababa, the platform is designed as a national system with per-city regulatory configuration, so additional cities can be brought onto the same platform without code changes.</w:t>
      </w:r>
    </w:p>
    <w:p>
      <w:pPr>
        <w:keepNext/>
        <w:spacing w:after="80" w:before="160" w:line="312"/>
      </w:pPr>
      <w:r>
        <w:rPr>
          <w:rFonts w:ascii="Times New Roman" w:eastAsia="SimSun"/>
          <w:b/>
          <w:bCs/>
          <w:color w:val="1A2330"/>
          <w:sz w:val="21"/>
          <w:szCs w:val="21"/>
        </w:rPr>
        <w:t xml:space="preserve">Table 1: The plan at a glance</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Phase</w:t>
            </w:r>
          </w:p>
        </w:tc>
        <w:tc>
          <w:tcPr>
            <w:tcW w:type="pct" w:w="4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Focus</w:t>
            </w:r>
          </w:p>
        </w:tc>
        <w:tc>
          <w:tcPr>
            <w:tcW w:type="pct" w:w="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Gate</w:t>
            </w:r>
          </w:p>
        </w:tc>
        <w:tc>
          <w:tcPr>
            <w:tcW w:type="pct" w:w="3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Principal deliverable</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0</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Initiation, governance and baseline confirmation</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G0</w:t>
            </w:r>
          </w:p>
        </w:tc>
        <w:tc>
          <w:tcPr>
            <w:tcW w:type="pct" w:w="3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Approved project charter and this implementation plan</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1</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Requirements consolidation and legal traceability</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G1</w:t>
            </w:r>
          </w:p>
        </w:tc>
        <w:tc>
          <w:tcPr>
            <w:tcW w:type="pct" w:w="3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SRS v1.0 with full article-to-requirement traceability</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2</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System and software design</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G2</w:t>
            </w:r>
          </w:p>
        </w:tc>
        <w:tc>
          <w:tcPr>
            <w:tcW w:type="pct" w:w="3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Architecture, database, security and interface designs</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3</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Environments, CI/CD and seed configuration</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G3</w:t>
            </w:r>
          </w:p>
        </w:tc>
        <w:tc>
          <w:tcPr>
            <w:tcW w:type="pct" w:w="3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Dev, staging and production environments ready</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4</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Incremental module construction (7 sprints)</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G4</w:t>
            </w:r>
          </w:p>
        </w:tc>
        <w:tc>
          <w:tcPr>
            <w:tcW w:type="pct" w:w="3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Functionally complete, unit-tested platform</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5</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Integration, security and compliance testing</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G5</w:t>
            </w:r>
          </w:p>
        </w:tc>
        <w:tc>
          <w:tcPr>
            <w:tcW w:type="pct" w:w="3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System test report and compliance test matrix</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6</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User acceptance testing and legal validation</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G6</w:t>
            </w:r>
          </w:p>
        </w:tc>
        <w:tc>
          <w:tcPr>
            <w:tcW w:type="pct" w:w="3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Signed UAT certificate from role-based testers</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7</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Data migration, training and pilot operation</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G7</w:t>
            </w:r>
          </w:p>
        </w:tc>
        <w:tc>
          <w:tcPr>
            <w:tcW w:type="pct" w:w="3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Pilot exit report from selected woredas</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8</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Phased go-live, operations and improvement</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G8/G9</w:t>
            </w:r>
          </w:p>
        </w:tc>
        <w:tc>
          <w:tcPr>
            <w:tcW w:type="pct" w:w="3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Live service, operations manual, 90-day review</w:t>
            </w:r>
          </w:p>
        </w:tc>
      </w:tr>
    </w:tbl>
    <w:p>
      <w:pPr>
        <w:pStyle w:val="Heading1"/>
        <w:spacing w:after="160" w:before="360" w:line="312"/>
      </w:pPr>
      <w:bookmarkStart w:id="100001" w:name="_Toc100001"/>
      <w:r>
        <w:rPr>
          <w:rFonts w:ascii="Times New Roman" w:eastAsia="SimHei"/>
          <w:b/>
          <w:bCs/>
          <w:color w:val="1A2330"/>
          <w:sz w:val="32"/>
          <w:szCs w:val="32"/>
        </w:rPr>
        <w:t xml:space="preserve">2. Regulatory Foundation and Administrative Structure</w:t>
      </w:r>
      <w:bookmarkEnd w:id="100001"/>
    </w:p>
    <w:p>
      <w:pPr>
        <w:spacing w:after="120" w:line="312"/>
        <w:jc w:val="left"/>
      </w:pPr>
      <w:r>
        <w:rPr>
          <w:rFonts w:ascii="Times New Roman" w:eastAsia="SimSun"/>
          <w:color w:val="000000"/>
          <w:sz w:val="24"/>
          <w:szCs w:val="24"/>
        </w:rPr>
        <w:t xml:space="preserve">The system is bound by three legal instruments that form one coherent regulatory stack. Understanding how they relate is a precondition for every later engineering decision, because the platform must enforce their rules mechanically rather than leave them to user discretion. This chapter restates the role of each instrument, extracts the operational rules that the directive adds on top of the proclamation, and maps the administrative structure that the system must mirror.</w:t>
      </w:r>
    </w:p>
    <w:p>
      <w:pPr>
        <w:pStyle w:val="Heading2"/>
        <w:spacing w:after="120" w:before="240" w:line="312"/>
      </w:pPr>
      <w:bookmarkStart w:id="100002" w:name="_Toc100002"/>
      <w:r>
        <w:rPr>
          <w:rFonts w:ascii="Times New Roman" w:eastAsia="SimHei"/>
          <w:b/>
          <w:bCs/>
          <w:color w:val="1A2330"/>
          <w:sz w:val="28"/>
          <w:szCs w:val="28"/>
        </w:rPr>
        <w:t xml:space="preserve">2.1 The Three Legal Instruments and How They Interlock</w:t>
      </w:r>
      <w:bookmarkEnd w:id="100002"/>
    </w:p>
    <w:p>
      <w:pPr>
        <w:keepNext/>
        <w:spacing w:after="80" w:before="160" w:line="312"/>
      </w:pPr>
      <w:r>
        <w:rPr>
          <w:rFonts w:ascii="Times New Roman" w:eastAsia="SimSun"/>
          <w:b/>
          <w:bCs/>
          <w:color w:val="1A2330"/>
          <w:sz w:val="21"/>
          <w:szCs w:val="21"/>
        </w:rPr>
        <w:t xml:space="preserve">Table 2: Legal instruments and their contribution to the system</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Instrument</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force</w:t>
            </w:r>
          </w:p>
        </w:tc>
        <w:tc>
          <w:tcPr>
            <w:tcW w:type="pct" w:w="5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What it contributes to the system</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 No. 1320/2016 (Residential House Rent Control and Administration)</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Federal statute; highest authority</w:t>
            </w:r>
          </w:p>
        </w:tc>
        <w:tc>
          <w:tcPr>
            <w:tcW w:type="pct" w:w="5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Scope and exclusions; mandatory written, certified and registered contracts; two-year minimum term; annual rent adjustment announced June 1 with effect June 30; exemption clocks for newly built and previously unoccupied houses; two-month advance cap; bank and electronic payment only; evidentiary rules; Ministry and Regulatory Body duties; complaint, appeal and enforcement chain</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Addis Ababa City Directive No. 7/2016 (implementation guideline)</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City directive under Proclamation Art. 29(2)</w:t>
            </w:r>
          </w:p>
        </w:tc>
        <w:tc>
          <w:tcPr>
            <w:tcW w:type="pct" w:w="5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Concrete operating procedure: registration workflow with the nine-point verification checklist; registrar certification acts; stamping and copy issuance; amendment handling; correction procedures; data custody, scanning and tier-wise replication; Bureau, sub-city and woreda duties; complaint intake and control procedure; prohibited acts; administrative penalty schedule</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Model Rental Agreement (annex to the directive)</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Standard form referenced by the directive</w:t>
            </w:r>
          </w:p>
        </w:tc>
        <w:tc>
          <w:tcPr>
            <w:tcW w:type="pct" w:w="5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exact contract template to digitize: party identity and address blocks, property address and ownership, house status classification, rent in figures and words, term with the two-year minimum note, renewal clause, utility allocation, landlord and tenant obligations, electronic payment clause, certification by the Regulatory Body, signature and three-witness blocks</w:t>
            </w:r>
          </w:p>
        </w:tc>
      </w:tr>
    </w:tbl>
    <w:p>
      <w:pPr>
        <w:spacing w:after="120" w:line="312"/>
        <w:jc w:val="left"/>
      </w:pPr>
      <w:r>
        <w:rPr>
          <w:rFonts w:ascii="Times New Roman" w:eastAsia="SimSun"/>
          <w:color w:val="000000"/>
          <w:sz w:val="24"/>
          <w:szCs w:val="24"/>
        </w:rPr>
        <w:t xml:space="preserve">The instruments resolve conflicts by hierarchy. Where a contract clause or a local practice contradicts the proclamation, the proclamation prevails; where a form or procedure conflicts with the directive, the directive prevails; and any matter not covered by the model agreement is governed by the proclamation, exactly as clause seven of the model contract states. The system therefore treats the proclamation as its constitutional layer, the directive as its procedure layer, and the model agreement as its data-capture layer. The design keeps every directive-specific value, such as a fine ladder or a notice period, in configuration rather than in program code, so that a revised directive changes configuration, not software.</w:t>
      </w:r>
    </w:p>
    <w:p>
      <w:pPr>
        <w:pStyle w:val="Heading2"/>
        <w:spacing w:after="120" w:before="240" w:line="312"/>
      </w:pPr>
      <w:bookmarkStart w:id="100003" w:name="_Toc100003"/>
      <w:r>
        <w:rPr>
          <w:rFonts w:ascii="Times New Roman" w:eastAsia="SimHei"/>
          <w:b/>
          <w:bCs/>
          <w:color w:val="1A2330"/>
          <w:sz w:val="28"/>
          <w:szCs w:val="28"/>
        </w:rPr>
        <w:t xml:space="preserve">2.2 Directive Rules That Sharpen the Requirements Baseline</w:t>
      </w:r>
      <w:bookmarkEnd w:id="100003"/>
    </w:p>
    <w:p>
      <w:pPr>
        <w:spacing w:after="120" w:line="312"/>
        <w:jc w:val="left"/>
      </w:pPr>
      <w:r>
        <w:rPr>
          <w:rFonts w:ascii="Times New Roman" w:eastAsia="SimSun"/>
          <w:color w:val="000000"/>
          <w:sz w:val="24"/>
          <w:szCs w:val="24"/>
        </w:rPr>
        <w:t xml:space="preserve">The directive converts the proclamation's principles into verifiable office procedure. The following rules, each cited to its article, are incorporated into the functional baseline and appear again in the module table in Chapter 4 and in the compliance test matrix in Chapter 8.</w:t>
      </w:r>
    </w:p>
    <w:p>
      <w:pPr>
        <w:pStyle w:val="ListParagraph"/>
        <w:numPr>
          <w:ilvl w:val="0"/>
          <w:numId w:val="1"/>
        </w:numPr>
        <w:spacing w:after="80" w:line="312"/>
        <w:jc w:val="left"/>
      </w:pPr>
      <w:r>
        <w:rPr>
          <w:rFonts w:ascii="Times New Roman" w:eastAsia="SimSun"/>
          <w:b/>
          <w:bCs/>
          <w:color w:val="000000"/>
          <w:sz w:val="24"/>
          <w:szCs w:val="24"/>
        </w:rPr>
        <w:t xml:space="preserve">Registration verification checklist. </w:t>
      </w:r>
      <w:r>
        <w:rPr>
          <w:rFonts w:ascii="Times New Roman" w:eastAsia="SimSun"/>
          <w:color w:val="000000"/>
          <w:sz w:val="24"/>
          <w:szCs w:val="24"/>
        </w:rPr>
        <w:t xml:space="preserve">At registration the office must complete a nine-point documentary check: no circumstance nullifying the contract; for legacy contracts, signatures of both parties and four witnesses with an unexpired term; no conflict with the proclamation; for new contracts, signatures of landlord, tenant and witnesses; the house lies within the woreda; the documents required by Article 5 are complete; originals and copies match; an office copy of the contract is provided; and names and photographs match the presented identification (Art. 7).</w:t>
      </w:r>
    </w:p>
    <w:p>
      <w:pPr>
        <w:pStyle w:val="ListParagraph"/>
        <w:numPr>
          <w:ilvl w:val="0"/>
          <w:numId w:val="1"/>
        </w:numPr>
        <w:spacing w:after="80" w:line="312"/>
        <w:jc w:val="left"/>
      </w:pPr>
      <w:r>
        <w:rPr>
          <w:rFonts w:ascii="Times New Roman" w:eastAsia="SimSun"/>
          <w:b/>
          <w:bCs/>
          <w:color w:val="000000"/>
          <w:sz w:val="24"/>
          <w:szCs w:val="24"/>
        </w:rPr>
        <w:t xml:space="preserve">Registrar certification acts. </w:t>
      </w:r>
      <w:r>
        <w:rPr>
          <w:rFonts w:ascii="Times New Roman" w:eastAsia="SimSun"/>
          <w:color w:val="000000"/>
          <w:sz w:val="24"/>
          <w:szCs w:val="24"/>
        </w:rPr>
        <w:t xml:space="preserve">The registrar attests that both parties sign willingly; records proxy and agency signatures in the proper form; arranges a sign-language interpreter with an association-stamped statement where a party is deaf; certifies copies by writing name and date, numbering each attached document, and noting that the persons named appeared and signed; applies the round office stamp on completeness; assigns the contract number; and records the contract in the registry book and the computer database (Art. 8).</w:t>
      </w:r>
    </w:p>
    <w:p>
      <w:pPr>
        <w:pStyle w:val="ListParagraph"/>
        <w:numPr>
          <w:ilvl w:val="0"/>
          <w:numId w:val="1"/>
        </w:numPr>
        <w:spacing w:after="80" w:line="312"/>
        <w:jc w:val="left"/>
      </w:pPr>
      <w:r>
        <w:rPr>
          <w:rFonts w:ascii="Times New Roman" w:eastAsia="SimSun"/>
          <w:b/>
          <w:bCs/>
          <w:color w:val="000000"/>
          <w:sz w:val="24"/>
          <w:szCs w:val="24"/>
        </w:rPr>
        <w:t xml:space="preserve">Legacy annotation. </w:t>
      </w:r>
      <w:r>
        <w:rPr>
          <w:rFonts w:ascii="Times New Roman" w:eastAsia="SimSun"/>
          <w:color w:val="000000"/>
          <w:sz w:val="24"/>
          <w:szCs w:val="24"/>
        </w:rPr>
        <w:t xml:space="preserve">Legacy contracts entered voluntarily are annotated as having been presented and verified before the office, with the same copy-certification discipline (Art. 8(2)).</w:t>
      </w:r>
    </w:p>
    <w:p>
      <w:pPr>
        <w:pStyle w:val="ListParagraph"/>
        <w:numPr>
          <w:ilvl w:val="0"/>
          <w:numId w:val="1"/>
        </w:numPr>
        <w:spacing w:after="80" w:line="312"/>
        <w:jc w:val="left"/>
      </w:pPr>
      <w:r>
        <w:rPr>
          <w:rFonts w:ascii="Times New Roman" w:eastAsia="SimSun"/>
          <w:b/>
          <w:bCs/>
          <w:color w:val="000000"/>
          <w:sz w:val="24"/>
          <w:szCs w:val="24"/>
        </w:rPr>
        <w:t xml:space="preserve">Stamping and custody. </w:t>
      </w:r>
      <w:r>
        <w:rPr>
          <w:rFonts w:ascii="Times New Roman" w:eastAsia="SimSun"/>
          <w:color w:val="000000"/>
          <w:sz w:val="24"/>
          <w:szCs w:val="24"/>
        </w:rPr>
        <w:t xml:space="preserve">A stamp-granting professional re-checks that the contract is registered, issues one certified copy to each party, binds the original into the archive, and enters the contract data into the computer database (Art. 9).</w:t>
      </w:r>
    </w:p>
    <w:p>
      <w:pPr>
        <w:pStyle w:val="ListParagraph"/>
        <w:numPr>
          <w:ilvl w:val="0"/>
          <w:numId w:val="1"/>
        </w:numPr>
        <w:spacing w:after="80" w:line="312"/>
        <w:jc w:val="left"/>
      </w:pPr>
      <w:r>
        <w:rPr>
          <w:rFonts w:ascii="Times New Roman" w:eastAsia="SimSun"/>
          <w:b/>
          <w:bCs/>
          <w:color w:val="000000"/>
          <w:sz w:val="24"/>
          <w:szCs w:val="24"/>
        </w:rPr>
        <w:t xml:space="preserve">Amendments. </w:t>
      </w:r>
      <w:r>
        <w:rPr>
          <w:rFonts w:ascii="Times New Roman" w:eastAsia="SimSun"/>
          <w:color w:val="000000"/>
          <w:sz w:val="24"/>
          <w:szCs w:val="24"/>
        </w:rPr>
        <w:t xml:space="preserve">A renewed or price-adjusted contract must be presented and registered within thirty days; the registrar verifies that any rent increase follows the published adjustment rate and that all other changes are lawful; witnesses who differ from those on the original contract must attach copies of their identification (Art. 10).</w:t>
      </w:r>
    </w:p>
    <w:p>
      <w:pPr>
        <w:pStyle w:val="ListParagraph"/>
        <w:numPr>
          <w:ilvl w:val="0"/>
          <w:numId w:val="1"/>
        </w:numPr>
        <w:spacing w:after="80" w:line="312"/>
        <w:jc w:val="left"/>
      </w:pPr>
      <w:r>
        <w:rPr>
          <w:rFonts w:ascii="Times New Roman" w:eastAsia="SimSun"/>
          <w:b/>
          <w:bCs/>
          <w:color w:val="000000"/>
          <w:sz w:val="24"/>
          <w:szCs w:val="24"/>
        </w:rPr>
        <w:t xml:space="preserve">Annual rent adjustment. </w:t>
      </w:r>
      <w:r>
        <w:rPr>
          <w:rFonts w:ascii="Times New Roman" w:eastAsia="SimSun"/>
          <w:color w:val="000000"/>
          <w:sz w:val="24"/>
          <w:szCs w:val="24"/>
        </w:rPr>
        <w:t xml:space="preserve">The Bureau studies the city's real situation once a year and sets the permitted rent increase by directive; the increase is announced to the public on June 1 and takes effect from June 30 of the same year; the amended contract must be registered at the office before the adjustment takes effect (Art. 11).</w:t>
      </w:r>
    </w:p>
    <w:p>
      <w:pPr>
        <w:pStyle w:val="ListParagraph"/>
        <w:numPr>
          <w:ilvl w:val="0"/>
          <w:numId w:val="1"/>
        </w:numPr>
        <w:spacing w:after="80" w:line="312"/>
        <w:jc w:val="left"/>
      </w:pPr>
      <w:r>
        <w:rPr>
          <w:rFonts w:ascii="Times New Roman" w:eastAsia="SimSun"/>
          <w:b/>
          <w:bCs/>
          <w:color w:val="000000"/>
          <w:sz w:val="24"/>
          <w:szCs w:val="24"/>
        </w:rPr>
        <w:t xml:space="preserve">Registration corrections. </w:t>
      </w:r>
      <w:r>
        <w:rPr>
          <w:rFonts w:ascii="Times New Roman" w:eastAsia="SimSun"/>
          <w:color w:val="000000"/>
          <w:sz w:val="24"/>
          <w:szCs w:val="24"/>
        </w:rPr>
        <w:t xml:space="preserve">Where registration data are wrong, discovered by own-initiative control or by complaint information, the parties are called and the data corrected; where the error sits inside the contract itself, the parties amend it under the general law of contracts; clerical errors are corrected by the registrar; divorce rulings and name changes are processed upon presentation of a court decision; registrar errors are corrected unconditionally and reported; corrections are issued to the parties, the database is updated, and the Bureau verifies the accuracy of what was done (Art. 12).</w:t>
      </w:r>
    </w:p>
    <w:p>
      <w:pPr>
        <w:pStyle w:val="ListParagraph"/>
        <w:numPr>
          <w:ilvl w:val="0"/>
          <w:numId w:val="1"/>
        </w:numPr>
        <w:spacing w:after="80" w:line="312"/>
        <w:jc w:val="left"/>
      </w:pPr>
      <w:r>
        <w:rPr>
          <w:rFonts w:ascii="Times New Roman" w:eastAsia="SimSun"/>
          <w:b/>
          <w:bCs/>
          <w:color w:val="000000"/>
          <w:sz w:val="24"/>
          <w:szCs w:val="24"/>
        </w:rPr>
        <w:t xml:space="preserve">Data custody and replication. </w:t>
      </w:r>
      <w:r>
        <w:rPr>
          <w:rFonts w:ascii="Times New Roman" w:eastAsia="SimSun"/>
          <w:color w:val="000000"/>
          <w:sz w:val="24"/>
          <w:szCs w:val="24"/>
        </w:rPr>
        <w:t xml:space="preserve">Registration is kept in hard and soft copy; a uniform registry book numbered in sequence serves all woreda offices; contracts, proxies, identity photographs, payment documents and other papers are scanned; the woreda office sends scanned registration data to the sub-city office and to the Bureau; data are replicated at each level; backups of the registry, contracts and documents are held in hard and soft form at the woreda, and scanned soft copies at the sub-city office and the Bureau information department; changes made at the woreda are notified upward so that all levels are corrected (Art. 13).</w:t>
      </w:r>
    </w:p>
    <w:p>
      <w:pPr>
        <w:pStyle w:val="ListParagraph"/>
        <w:numPr>
          <w:ilvl w:val="0"/>
          <w:numId w:val="1"/>
        </w:numPr>
        <w:spacing w:after="80" w:line="312"/>
        <w:jc w:val="left"/>
      </w:pPr>
      <w:r>
        <w:rPr>
          <w:rFonts w:ascii="Times New Roman" w:eastAsia="SimSun"/>
          <w:b/>
          <w:bCs/>
          <w:color w:val="000000"/>
          <w:sz w:val="24"/>
          <w:szCs w:val="24"/>
        </w:rPr>
        <w:t xml:space="preserve">Tier responsibilities. </w:t>
      </w:r>
      <w:r>
        <w:rPr>
          <w:rFonts w:ascii="Times New Roman" w:eastAsia="SimSun"/>
          <w:color w:val="000000"/>
          <w:sz w:val="24"/>
          <w:szCs w:val="24"/>
        </w:rPr>
        <w:t xml:space="preserve">The Bureau monitors and controls implementation of the proclamation and the directive, amends the model contract when necessary and distributes it to the offices, prepares the registry book and working forms, collects and analyses rent data and shares it with residents and concerned bodies, runs the annual increase study, and creates public awareness. The sub-city office follows up and controls woreda implementation, aggregates woreda data and submits them to the Bureau, and creates awareness in its area. The woreda office distributes the model contract, verifies that presented contracts meet the proclamation and directive requirements, validates increases against the published rate, confirms that rent is paid by bank or other legal electronic means, registers contracts and holds the data, operationalizes the information-technology-supported modern registration procedure, receives complaints and appeals and grants the necessary administrative decision, enforces the penalties of the directive, and creates woreda-level awareness (Arts. 14 to 16).</w:t>
      </w:r>
    </w:p>
    <w:p>
      <w:pPr>
        <w:pStyle w:val="ListParagraph"/>
        <w:numPr>
          <w:ilvl w:val="0"/>
          <w:numId w:val="1"/>
        </w:numPr>
        <w:spacing w:after="80" w:line="312"/>
        <w:jc w:val="left"/>
      </w:pPr>
      <w:r>
        <w:rPr>
          <w:rFonts w:ascii="Times New Roman" w:eastAsia="SimSun"/>
          <w:b/>
          <w:bCs/>
          <w:color w:val="000000"/>
          <w:sz w:val="24"/>
          <w:szCs w:val="24"/>
        </w:rPr>
        <w:t xml:space="preserve">Complaint grounds and channels. </w:t>
      </w:r>
      <w:r>
        <w:rPr>
          <w:rFonts w:ascii="Times New Roman" w:eastAsia="SimSun"/>
          <w:color w:val="000000"/>
          <w:sz w:val="24"/>
          <w:szCs w:val="24"/>
        </w:rPr>
        <w:t xml:space="preserve">Eight grounds are named: letting a house without a registered contract; paying above the price stated in the registered contract; increasing the price or demanding advance payment beyond what the proclamation allows; terminating the contract term outside what the proclamation allows; a house left without service for more than six months; presenting false information or evidence to improperly obtain the landlord incentive; using the house for a purpose other than residence or for criminal activity; and any other violation of law connected with the rental contract. Anyone may complain, in person, verbally or in writing, by telephone or through any media (Arts. 17 and 18).</w:t>
      </w:r>
    </w:p>
    <w:p>
      <w:pPr>
        <w:pStyle w:val="ListParagraph"/>
        <w:numPr>
          <w:ilvl w:val="0"/>
          <w:numId w:val="1"/>
        </w:numPr>
        <w:spacing w:after="80" w:line="312"/>
        <w:jc w:val="left"/>
      </w:pPr>
      <w:r>
        <w:rPr>
          <w:rFonts w:ascii="Times New Roman" w:eastAsia="SimSun"/>
          <w:b/>
          <w:bCs/>
          <w:color w:val="000000"/>
          <w:sz w:val="24"/>
          <w:szCs w:val="24"/>
        </w:rPr>
        <w:t xml:space="preserve">Complaint reception. </w:t>
      </w:r>
      <w:r>
        <w:rPr>
          <w:rFonts w:ascii="Times New Roman" w:eastAsia="SimSun"/>
          <w:color w:val="000000"/>
          <w:sz w:val="24"/>
          <w:szCs w:val="24"/>
        </w:rPr>
        <w:t xml:space="preserve">On receipt, the office checks completeness: complainant name and address where given, address of the house, names and addresses of landlord and tenant, the date of the act complained of, and whether the complaint falls within the named grounds; verifies the subject and evidence; registers the complaint in the registry book; may request additional evidence from concerned bodies and investigate; grants the appropriate decision; and communicates the decision to the complainant (Art. 19).</w:t>
      </w:r>
    </w:p>
    <w:p>
      <w:pPr>
        <w:pStyle w:val="ListParagraph"/>
        <w:numPr>
          <w:ilvl w:val="0"/>
          <w:numId w:val="1"/>
        </w:numPr>
        <w:spacing w:after="80" w:line="312"/>
        <w:jc w:val="left"/>
      </w:pPr>
      <w:r>
        <w:rPr>
          <w:rFonts w:ascii="Times New Roman" w:eastAsia="SimSun"/>
          <w:b/>
          <w:bCs/>
          <w:color w:val="000000"/>
          <w:sz w:val="24"/>
          <w:szCs w:val="24"/>
        </w:rPr>
        <w:t xml:space="preserve">Control and inspection. </w:t>
      </w:r>
      <w:r>
        <w:rPr>
          <w:rFonts w:ascii="Times New Roman" w:eastAsia="SimSun"/>
          <w:color w:val="000000"/>
          <w:sz w:val="24"/>
          <w:szCs w:val="24"/>
        </w:rPr>
        <w:t xml:space="preserve">The woreda office controls on the basis of a complaint or on its own initiative; control is performed by an assigned professional carrying identification that states control authority during government working hours, and control is exercised by a team of more than one professional (Art. 20).</w:t>
      </w:r>
    </w:p>
    <w:p>
      <w:pPr>
        <w:pStyle w:val="ListParagraph"/>
        <w:numPr>
          <w:ilvl w:val="0"/>
          <w:numId w:val="1"/>
        </w:numPr>
        <w:spacing w:after="80" w:line="312"/>
        <w:jc w:val="left"/>
      </w:pPr>
      <w:r>
        <w:rPr>
          <w:rFonts w:ascii="Times New Roman" w:eastAsia="SimSun"/>
          <w:b/>
          <w:bCs/>
          <w:color w:val="000000"/>
          <w:sz w:val="24"/>
          <w:szCs w:val="24"/>
        </w:rPr>
        <w:t xml:space="preserve">Prohibited acts. </w:t>
      </w:r>
      <w:r>
        <w:rPr>
          <w:rFonts w:ascii="Times New Roman" w:eastAsia="SimSun"/>
          <w:color w:val="000000"/>
          <w:sz w:val="24"/>
          <w:szCs w:val="24"/>
        </w:rPr>
        <w:t xml:space="preserve">Ten acts are prohibited, including renting without registration, late registration through negligence, failing to register amendments, unauthorized increase, eviction before term without legal ground, termination without the required notice, demanding excess advance payment, paying outside bank or legal electronic channels, leaving a formerly rented or fully completed new house without service, and submitting false information to obtain incentives (Art. 21).</w:t>
      </w:r>
    </w:p>
    <w:p>
      <w:pPr>
        <w:pStyle w:val="ListParagraph"/>
        <w:numPr>
          <w:ilvl w:val="0"/>
          <w:numId w:val="1"/>
        </w:numPr>
        <w:spacing w:after="80" w:line="312"/>
        <w:jc w:val="left"/>
      </w:pPr>
      <w:r>
        <w:rPr>
          <w:rFonts w:ascii="Times New Roman" w:eastAsia="SimSun"/>
          <w:b/>
          <w:bCs/>
          <w:color w:val="000000"/>
          <w:sz w:val="24"/>
          <w:szCs w:val="24"/>
        </w:rPr>
        <w:t xml:space="preserve">Administrative penalties. </w:t>
      </w:r>
      <w:r>
        <w:rPr>
          <w:rFonts w:ascii="Times New Roman" w:eastAsia="SimSun"/>
          <w:color w:val="000000"/>
          <w:sz w:val="24"/>
          <w:szCs w:val="24"/>
        </w:rPr>
        <w:t xml:space="preserve">Graduated monetary fines are referenced to the monthly rent written in the contract: fines for registering late beyond the proclamation's period, with a higher fine when the delay exceeds three months; a fine for failing to register an amendment; fines for unauthorized increase, for evicting before term without legal ground, and for demanding advance payment beyond the permitted limit; a fine of ten percent of one month's rent on the tenant for each payment made outside bank or legal electronic channels; and a vacancy-based property tax surcharge applied to a landlord who leaves a formerly rented or fully completed new house without service, rising in bands from five percent for one to two years, ten percent above two to three years, fifteen percent above three to four years, and twenty percent above four to five years, to twenty-five percent above five years. The Bureau filters the data and refers the penalty to the competent enforcement body, and may sue in court where an administrative fine is not paid (Art. 22). One caveat is recorded honestly: the scanned directive is printed in a two-column layout and one or two fine figures are visually ambiguous in the copy provided. The exact ladder will be confirmed at Phase 1 against the official Amharic text and then encoded as configurable parameters, never as constants buried in code.</w:t>
      </w:r>
    </w:p>
    <w:p>
      <w:pPr>
        <w:pStyle w:val="Heading2"/>
        <w:spacing w:after="120" w:before="240" w:line="312"/>
      </w:pPr>
      <w:bookmarkStart w:id="100004" w:name="_Toc100004"/>
      <w:r>
        <w:rPr>
          <w:rFonts w:ascii="Times New Roman" w:eastAsia="SimHei"/>
          <w:b/>
          <w:bCs/>
          <w:color w:val="1A2330"/>
          <w:sz w:val="28"/>
          <w:szCs w:val="28"/>
        </w:rPr>
        <w:t xml:space="preserve">2.3 The Administrative Structure the System Must Mirror</w:t>
      </w:r>
      <w:bookmarkEnd w:id="100004"/>
    </w:p>
    <w:p>
      <w:pPr>
        <w:spacing w:after="120" w:line="312"/>
        <w:jc w:val="left"/>
      </w:pPr>
      <w:r>
        <w:rPr>
          <w:rFonts w:ascii="Times New Roman" w:eastAsia="SimSun"/>
          <w:color w:val="000000"/>
          <w:sz w:val="24"/>
          <w:szCs w:val="24"/>
        </w:rPr>
        <w:t xml:space="preserve">The proclamation creates the Ministry and the Regulatory Body; the directive names the concrete organs for Addis Ababa and distributes duties across three working tiers below the city administration. The platform implements this structure as a configurable organizational tree, in which every user account, every record, and every report is scoped to an organizational unit. Data flow upward by replication and aggregation, while mandates, model contracts, rates and directives flow downward for local execution.</w:t>
      </w:r>
    </w:p>
    <w:p>
      <w:pPr>
        <w:keepNext/>
        <w:spacing w:after="80" w:before="160" w:line="312"/>
      </w:pPr>
      <w:r>
        <w:rPr>
          <w:rFonts w:ascii="Times New Roman" w:eastAsia="SimSun"/>
          <w:b/>
          <w:bCs/>
          <w:color w:val="1A2330"/>
          <w:sz w:val="21"/>
          <w:szCs w:val="21"/>
        </w:rPr>
        <w:t xml:space="preserve">Table 3: Administrative tiers, legal basis and system role</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Tier</w:t>
            </w:r>
          </w:p>
        </w:tc>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Organ</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basis</w:t>
            </w:r>
          </w:p>
        </w:tc>
        <w:tc>
          <w:tcPr>
            <w:tcW w:type="pct" w:w="3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System role</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Federal</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Ministry (housing portfolio)</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 Art. 18</w:t>
            </w:r>
          </w:p>
        </w:tc>
        <w:tc>
          <w:tcPr>
            <w:tcW w:type="pct" w:w="3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National data consolidation and publication; policy oversight; receives aggregated statistics from all city bureaus (module M11)</w:t>
            </w:r>
          </w:p>
        </w:tc>
      </w:tr>
      <w:tr>
        <w:trPr>
          <w:cantSplit/>
        </w:trPr>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Regional / city administration</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City Administration</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 Art. 19; Directive preamble</w:t>
            </w:r>
          </w:p>
        </w:tc>
        <w:tc>
          <w:tcPr>
            <w:tcW w:type="pct" w:w="3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Owns the Regulatory Body for the city; issues the implementing directive; receives city-wide reporting</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City bureau</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Housing Development and Administration Bureau</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Directive Art. 14; Proclamation Art. 19</w:t>
            </w:r>
          </w:p>
        </w:tc>
        <w:tc>
          <w:tcPr>
            <w:tcW w:type="pct" w:w="3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Annual adjustment study and June 1 publication; model contract amendment and distribution; forms and procedures; city analytics; penalty referral direction; Bureau-level data custody and backup</w:t>
            </w:r>
          </w:p>
        </w:tc>
      </w:tr>
      <w:tr>
        <w:trPr>
          <w:cantSplit/>
        </w:trPr>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Sub-city</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Sub-city housing development and administration office</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Directive Art. 15</w:t>
            </w:r>
          </w:p>
        </w:tc>
        <w:tc>
          <w:tcPr>
            <w:tcW w:type="pct" w:w="3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Monitors woreda offices; aggregates woreda registration data and forwards to the Bureau; sub-city awareness; intermediate data custody</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 housing development and administration office</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Directive Art. 16; Proclamation Arts. 19 to 26</w:t>
            </w:r>
          </w:p>
        </w:tc>
        <w:tc>
          <w:tcPr>
            <w:tcW w:type="pct" w:w="3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Registration front desk: document verification, certification, stamping, numbering, database entry; increase validation; payment-method confirmation; complaint and appeal reception with administrative decisions; penalty execution; control teams; scanning and upward transmission</w:t>
            </w:r>
          </w:p>
        </w:tc>
      </w:tr>
    </w:tbl>
    <w:p>
      <w:pPr>
        <w:pStyle w:val="Heading2"/>
        <w:spacing w:after="120" w:before="240" w:line="312"/>
      </w:pPr>
      <w:bookmarkStart w:id="100005" w:name="_Toc100005"/>
      <w:r>
        <w:rPr>
          <w:rFonts w:ascii="Times New Roman" w:eastAsia="SimHei"/>
          <w:b/>
          <w:bCs/>
          <w:color w:val="1A2330"/>
          <w:sz w:val="28"/>
          <w:szCs w:val="28"/>
        </w:rPr>
        <w:t xml:space="preserve">2.4 From a City Directive to a National Platform</w:t>
      </w:r>
      <w:bookmarkEnd w:id="100005"/>
    </w:p>
    <w:p>
      <w:pPr>
        <w:spacing w:after="120" w:line="312"/>
        <w:jc w:val="left"/>
      </w:pPr>
      <w:r>
        <w:rPr>
          <w:rFonts w:ascii="Times New Roman" w:eastAsia="SimSun"/>
          <w:color w:val="000000"/>
          <w:sz w:val="24"/>
          <w:szCs w:val="24"/>
        </w:rPr>
        <w:t xml:space="preserve">The proclamation binds every city administration in the country, while Directive No. 7/2016 is the Addis Ababa instance of implementation. The correct engineering conclusion is that the platform is national by design and city-configured in operation. Tier names, office labels, the model contract text, the penalty ladder, adjustment rates, and working forms all live in a per-city configuration set maintained through the system administration module. Adding a second city therefore means creating a configuration, replicating the deployment, and connecting its woreda offices, not redeveloping the software. This decision protects the federal investment and keeps the Ministry's national statistics meaningful as coverage grows.</w:t>
      </w:r>
    </w:p>
    <w:p>
      <w:pPr>
        <w:pStyle w:val="Heading1"/>
        <w:spacing w:after="160" w:before="360" w:line="312"/>
      </w:pPr>
      <w:bookmarkStart w:id="100006" w:name="_Toc100006"/>
      <w:r>
        <w:rPr>
          <w:rFonts w:ascii="Times New Roman" w:eastAsia="SimHei"/>
          <w:b/>
          <w:bCs/>
          <w:color w:val="1A2330"/>
          <w:sz w:val="32"/>
          <w:szCs w:val="32"/>
        </w:rPr>
        <w:t xml:space="preserve">3. Software Development Model and Engineering Standards</w:t>
      </w:r>
      <w:bookmarkEnd w:id="100006"/>
    </w:p>
    <w:p>
      <w:pPr>
        <w:pStyle w:val="Heading2"/>
        <w:spacing w:after="120" w:before="240" w:line="312"/>
      </w:pPr>
      <w:bookmarkStart w:id="100007" w:name="_Toc100007"/>
      <w:r>
        <w:rPr>
          <w:rFonts w:ascii="Times New Roman" w:eastAsia="SimHei"/>
          <w:b/>
          <w:bCs/>
          <w:color w:val="1A2330"/>
          <w:sz w:val="28"/>
          <w:szCs w:val="28"/>
        </w:rPr>
        <w:t xml:space="preserve">3.1 The Chosen Model: Hybrid Phase-Gated Incremental</w:t>
      </w:r>
      <w:bookmarkEnd w:id="100007"/>
    </w:p>
    <w:p>
      <w:pPr>
        <w:spacing w:after="120" w:line="312"/>
        <w:jc w:val="left"/>
      </w:pPr>
      <w:r>
        <w:rPr>
          <w:rFonts w:ascii="Times New Roman" w:eastAsia="SimSun"/>
          <w:color w:val="000000"/>
          <w:sz w:val="24"/>
          <w:szCs w:val="24"/>
        </w:rPr>
        <w:t xml:space="preserve">The development model is named the Hybrid Phase-Gated Incremental Model. It fuses two proven disciplines. From the V-Model it takes the verification spine: requirements are written so that each can be tested, and no legal article is considered implemented until a test proves it. From agile delivery it takes the construction rhythm: the thirteen modules are built in seven short sprints, each ending in a working, demonstrable increment. Around both, a phase-gate wrapper gives the project owner a formal approval point at the end of every phase, which is precisely the smooth, controlled interaction requested at the start of this project.</w:t>
      </w:r>
    </w:p>
    <w:p>
      <w:pPr>
        <w:spacing w:after="120" w:line="312"/>
        <w:jc w:val="left"/>
      </w:pPr>
      <w:r>
        <w:rPr>
          <w:rFonts w:ascii="Times New Roman" w:eastAsia="SimSun"/>
          <w:color w:val="000000"/>
          <w:sz w:val="24"/>
          <w:szCs w:val="24"/>
        </w:rPr>
        <w:t xml:space="preserve">This hybrid is chosen deliberately for a law-enforcement platform. A pure sequential waterfall would delay all feedback until the end, which is dangerous where a misread article could invalidate months of work. A pure Scrum flow, by contrast, optimizes for changing product goals and tends to under-produce the contract-grade documentation that a government system must present to auditors, lawyers, and trainers. The hybrid keeps documentation as a first-class deliverable while preserving the early and continuous feedback of increments.</w:t>
      </w:r>
    </w:p>
    <w:p>
      <w:pPr>
        <w:keepNext/>
        <w:spacing w:after="80" w:before="160" w:line="312"/>
      </w:pPr>
      <w:r>
        <w:rPr>
          <w:rFonts w:ascii="Times New Roman" w:eastAsia="SimSun"/>
          <w:b/>
          <w:bCs/>
          <w:color w:val="1A2330"/>
          <w:sz w:val="21"/>
          <w:szCs w:val="21"/>
        </w:rPr>
        <w:t xml:space="preserve">Table 4: Model comparison and justification</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2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Criterion</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Pure Waterfall</w:t>
            </w:r>
          </w:p>
        </w:tc>
        <w:tc>
          <w:tcPr>
            <w:tcW w:type="pct" w:w="2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Pure Scrum</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Hybrid Phase-Gated Incremental (chosen)</w:t>
            </w:r>
          </w:p>
        </w:tc>
      </w:tr>
      <w:tr>
        <w:trPr>
          <w:cantSplit/>
        </w:trPr>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Legal traceability</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Good on paper, late verification</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Weak; documentation often thin</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Strong: article-requirement-test matrix maintained from Phase 1 and tested every sprint</w:t>
            </w:r>
          </w:p>
        </w:tc>
      </w:tr>
      <w:tr>
        <w:trPr>
          <w:cantSplit/>
        </w:trPr>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Early feedback</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Late</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Early and frequent</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Early: sprint demos from Sprint 1; gate reviews each phase</w:t>
            </w:r>
          </w:p>
        </w:tc>
      </w:tr>
      <w:tr>
        <w:trPr>
          <w:cantSplit/>
        </w:trPr>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Contract-grade documentation</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Strong</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Variable</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Strong: SRS, design, test and operations documents are gate deliverables</w:t>
            </w:r>
          </w:p>
        </w:tc>
      </w:tr>
      <w:tr>
        <w:trPr>
          <w:cantSplit/>
        </w:trPr>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Adaptation to legal parameter changes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Rigid</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Flexible</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Flexible by design: legal values are configuration, absorbed between sprints</w:t>
            </w:r>
          </w:p>
        </w:tc>
      </w:tr>
      <w:tr>
        <w:trPr>
          <w:cantSplit/>
        </w:trPr>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Fit for government acceptance</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Familiar but risky</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Unfamiliar to many public bodies</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Familiar gate structure plus visible progress; audit-friendly artifacts</w:t>
            </w:r>
          </w:p>
        </w:tc>
      </w:tr>
    </w:tbl>
    <w:p>
      <w:pPr>
        <w:pStyle w:val="Heading2"/>
        <w:spacing w:after="120" w:before="240" w:line="312"/>
      </w:pPr>
      <w:bookmarkStart w:id="100008" w:name="_Toc100008"/>
      <w:r>
        <w:rPr>
          <w:rFonts w:ascii="Times New Roman" w:eastAsia="SimHei"/>
          <w:b/>
          <w:bCs/>
          <w:color w:val="1A2330"/>
          <w:sz w:val="28"/>
          <w:szCs w:val="28"/>
        </w:rPr>
        <w:t xml:space="preserve">3.2 How the Phase Gates Work</w:t>
      </w:r>
      <w:bookmarkEnd w:id="100008"/>
    </w:p>
    <w:p>
      <w:pPr>
        <w:spacing w:after="120" w:line="312"/>
        <w:jc w:val="left"/>
      </w:pPr>
      <w:r>
        <w:rPr>
          <w:rFonts w:ascii="Times New Roman" w:eastAsia="SimSun"/>
          <w:color w:val="000000"/>
          <w:sz w:val="24"/>
          <w:szCs w:val="24"/>
        </w:rPr>
        <w:t xml:space="preserve">Each phase ends with a gate. The delivery team assembles a review package containing the artifacts named for that gate, a one-page summary, and a short list of decisions requested. The project owner reviews the package, and approval, conditional approval with a recorded action list, or rejection with reasons is given. Work on the next phase does not begin until the gate is passed, so risk is caught at the cheapest possible moment. Gate outcomes, together with all scope decisions, are recorded in a decision register that becomes part of the project file and, later, of the system documentation set.</w:t>
      </w:r>
    </w:p>
    <w:p>
      <w:pPr>
        <w:pStyle w:val="Heading2"/>
        <w:spacing w:after="120" w:before="240" w:line="312"/>
      </w:pPr>
      <w:bookmarkStart w:id="100009" w:name="_Toc100009"/>
      <w:r>
        <w:rPr>
          <w:rFonts w:ascii="Times New Roman" w:eastAsia="SimHei"/>
          <w:b/>
          <w:bCs/>
          <w:color w:val="1A2330"/>
          <w:sz w:val="28"/>
          <w:szCs w:val="28"/>
        </w:rPr>
        <w:t xml:space="preserve">3.3 Engineering Standards Applied</w:t>
      </w:r>
      <w:bookmarkEnd w:id="100009"/>
    </w:p>
    <w:p>
      <w:pPr>
        <w:spacing w:after="120" w:line="312"/>
        <w:jc w:val="left"/>
      </w:pPr>
      <w:r>
        <w:rPr>
          <w:rFonts w:ascii="Times New Roman" w:eastAsia="SimSun"/>
          <w:color w:val="000000"/>
          <w:sz w:val="24"/>
          <w:szCs w:val="24"/>
        </w:rPr>
        <w:t xml:space="preserve">The project follows recognized international standards so that quality claims are testable rather than rhetorical. Each standard below is mapped to a concrete application in this project, and conformance evidence appears in the deliverable named beside it.</w:t>
      </w:r>
    </w:p>
    <w:p>
      <w:pPr>
        <w:keepNext/>
        <w:spacing w:after="80" w:before="160" w:line="312"/>
      </w:pPr>
      <w:r>
        <w:rPr>
          <w:rFonts w:ascii="Times New Roman" w:eastAsia="SimSun"/>
          <w:b/>
          <w:bCs/>
          <w:color w:val="1A2330"/>
          <w:sz w:val="21"/>
          <w:szCs w:val="21"/>
        </w:rPr>
        <w:t xml:space="preserve">Table 5: Standards and their application</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Domain</w:t>
            </w:r>
          </w:p>
        </w:tc>
        <w:tc>
          <w:tcPr>
            <w:tcW w:type="pct" w:w="2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Standard or practice</w:t>
            </w:r>
          </w:p>
        </w:tc>
        <w:tc>
          <w:tcPr>
            <w:tcW w:type="pct" w:w="5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Application in this project</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Requirements engineering</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ISO/IEC/IEEE 29148</w:t>
            </w:r>
          </w:p>
        </w:tc>
        <w:tc>
          <w:tcPr>
            <w:tcW w:type="pct" w:w="5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SRS v1.0 structure, requirement statements with unique identifiers, and the legal traceability matrix</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Life-cycle processes</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ISO/IEC/IEEE 12207</w:t>
            </w:r>
          </w:p>
        </w:tc>
        <w:tc>
          <w:tcPr>
            <w:tcW w:type="pct" w:w="5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definitions, configuration management, and change control across the nine phases</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Product quality</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ISO/IEC 25010</w:t>
            </w:r>
          </w:p>
        </w:tc>
        <w:tc>
          <w:tcPr>
            <w:tcW w:type="pct" w:w="5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Quality attributes for acceptance: functional suitability, reliability, security, usability in English and Amharic, maintainability, portability</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Information security</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ISO/IEC 27001 principles and OWASP ASVS</w:t>
            </w:r>
          </w:p>
        </w:tc>
        <w:tc>
          <w:tcPr>
            <w:tcW w:type="pct" w:w="5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Threat model, role-based access control per tier, encryption in transit and at rest, audit trail for every registration, correction and decision</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Project management</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PMBOK-style practices</w:t>
            </w:r>
          </w:p>
        </w:tc>
        <w:tc>
          <w:tcPr>
            <w:tcW w:type="pct" w:w="5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Charter, work breakdown, schedule, risk register, decision register, stakeholder map</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Interface quality</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WCAG 2.1 level AA</w:t>
            </w:r>
          </w:p>
        </w:tc>
        <w:tc>
          <w:tcPr>
            <w:tcW w:type="pct" w:w="5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Bilingual interface, keyboard operability, readable forms for registrar workbenches and public portal</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Source control and delivery</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Git flow, semantic versioning, CI/CD pipelines</w:t>
            </w:r>
          </w:p>
        </w:tc>
        <w:tc>
          <w:tcPr>
            <w:tcW w:type="pct" w:w="5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Feature branches, peer review before merge, automated build and test, staged promotion from development to staging to production</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Testing</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ISTQB-style level model</w:t>
            </w:r>
          </w:p>
        </w:tc>
        <w:tc>
          <w:tcPr>
            <w:tcW w:type="pct" w:w="5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Unit, integration, system, security, performance and acceptance levels with defined exit criteria</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Data handling</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Directive Art. 13 custody model</w:t>
            </w:r>
          </w:p>
        </w:tc>
        <w:tc>
          <w:tcPr>
            <w:tcW w:type="pct" w:w="5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Hard and soft dual custody, scanning, tier-wise replication, backups at woreda, sub-city and Bureau levels</w:t>
            </w:r>
          </w:p>
        </w:tc>
      </w:tr>
    </w:tbl>
    <w:p>
      <w:pPr>
        <w:pStyle w:val="Heading2"/>
        <w:spacing w:after="120" w:before="240" w:line="312"/>
      </w:pPr>
      <w:bookmarkStart w:id="100010" w:name="_Toc100010"/>
      <w:r>
        <w:rPr>
          <w:rFonts w:ascii="Times New Roman" w:eastAsia="SimHei"/>
          <w:b/>
          <w:bCs/>
          <w:color w:val="1A2330"/>
          <w:sz w:val="28"/>
          <w:szCs w:val="28"/>
        </w:rPr>
        <w:t xml:space="preserve">3.4 The Documentation Set</w:t>
      </w:r>
      <w:bookmarkEnd w:id="100010"/>
    </w:p>
    <w:p>
      <w:pPr>
        <w:spacing w:after="120" w:line="312"/>
        <w:jc w:val="left"/>
      </w:pPr>
      <w:r>
        <w:rPr>
          <w:rFonts w:ascii="Times New Roman" w:eastAsia="SimSun"/>
          <w:color w:val="000000"/>
          <w:sz w:val="24"/>
          <w:szCs w:val="24"/>
        </w:rPr>
        <w:t xml:space="preserve">The project produces and maintains a defined documentation set, and each document is a gate deliverable rather than an afterthought. The set comprises: the SRS with the traceability matrix; the high-level and low-level design documents; the database design; the interface specification; the security design and threat model; the test plan with level-wise reports; the UAT script pack generated from the twenty-one use cases; the deployment and cutover runbook; the operations and support manual including the annual adjustment calendar; the training pack for each role and tier; and this implementation plan, which is version-controlled alongside the others. Keeping the set complete is what makes the platform auditable years after go-live.</w:t>
      </w:r>
    </w:p>
    <w:p>
      <w:pPr>
        <w:pStyle w:val="Heading1"/>
        <w:spacing w:after="160" w:before="360" w:line="312"/>
      </w:pPr>
      <w:bookmarkStart w:id="100011" w:name="_Toc100011"/>
      <w:r>
        <w:rPr>
          <w:rFonts w:ascii="Times New Roman" w:eastAsia="SimHei"/>
          <w:b/>
          <w:bCs/>
          <w:color w:val="1A2330"/>
          <w:sz w:val="32"/>
          <w:szCs w:val="32"/>
        </w:rPr>
        <w:t xml:space="preserve">4. System Scope: Actors, Modules and Functional Baseline</w:t>
      </w:r>
      <w:bookmarkEnd w:id="100011"/>
    </w:p>
    <w:p>
      <w:pPr>
        <w:spacing w:after="120" w:line="312"/>
        <w:jc w:val="left"/>
      </w:pPr>
      <w:r>
        <w:rPr>
          <w:rFonts w:ascii="Times New Roman" w:eastAsia="SimSun"/>
          <w:color w:val="000000"/>
          <w:sz w:val="24"/>
          <w:szCs w:val="24"/>
        </w:rPr>
        <w:t xml:space="preserve">This chapter fixes the functional scope of the platform so that the roadmap in Chapter 5 has an unambiguous object. The scope is expressed three ways: the actors who interact with the system, the thirteen functional modules they touch, and the exclusions that keep the platform inside its legal mandate. Nothing new is introduced here; the chapter consolidates what was already agreed in the requirements and use-case stages and aligns it with the directive.</w:t>
      </w:r>
    </w:p>
    <w:p>
      <w:pPr>
        <w:pStyle w:val="Heading2"/>
        <w:spacing w:after="120" w:before="240" w:line="312"/>
      </w:pPr>
      <w:bookmarkStart w:id="100012" w:name="_Toc100012"/>
      <w:r>
        <w:rPr>
          <w:rFonts w:ascii="Times New Roman" w:eastAsia="SimHei"/>
          <w:b/>
          <w:bCs/>
          <w:color w:val="1A2330"/>
          <w:sz w:val="28"/>
          <w:szCs w:val="28"/>
        </w:rPr>
        <w:t xml:space="preserve">4.1 Actors</w:t>
      </w:r>
      <w:bookmarkEnd w:id="100012"/>
    </w:p>
    <w:p>
      <w:pPr>
        <w:keepNext/>
        <w:spacing w:after="80" w:before="160" w:line="312"/>
      </w:pPr>
      <w:r>
        <w:rPr>
          <w:rFonts w:ascii="Times New Roman" w:eastAsia="SimSun"/>
          <w:b/>
          <w:bCs/>
          <w:color w:val="1A2330"/>
          <w:sz w:val="21"/>
          <w:szCs w:val="21"/>
        </w:rPr>
        <w:t xml:space="preserve">Table 6: System actors and their primary interests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2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Actor</w:t>
            </w:r>
          </w:p>
        </w:tc>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Tier</w:t>
            </w:r>
          </w:p>
        </w:tc>
        <w:tc>
          <w:tcPr>
            <w:tcW w:type="pct" w:w="3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Primary interest</w:t>
            </w:r>
          </w:p>
        </w:tc>
        <w:tc>
          <w:tcPr>
            <w:tcW w:type="pct" w:w="2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Representative use cases</w:t>
            </w:r>
          </w:p>
        </w:tc>
      </w:tr>
      <w:tr>
        <w:trPr>
          <w:cantSplit/>
        </w:trPr>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Landlord (Akeray)</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Public</w:t>
            </w:r>
          </w:p>
        </w:tc>
        <w:tc>
          <w:tcPr>
            <w:tcW w:type="pct" w:w="3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Register properties and contracts, receive payments through legal channels, obtain incentives lawfully</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Onboarding, contract creation, amendment, increase application</w:t>
            </w:r>
          </w:p>
        </w:tc>
      </w:tr>
      <w:tr>
        <w:trPr>
          <w:cantSplit/>
        </w:trPr>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Tenant (Tekeray)</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Public</w:t>
            </w:r>
          </w:p>
        </w:tc>
        <w:tc>
          <w:tcPr>
            <w:tcW w:type="pct" w:w="3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Verify a contract is registered, pay electronically, complain safely</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Contract verification, e-payment, complaint submission</w:t>
            </w:r>
          </w:p>
        </w:tc>
      </w:tr>
      <w:tr>
        <w:trPr>
          <w:cantSplit/>
        </w:trPr>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Agent / proxy</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Public</w:t>
            </w:r>
          </w:p>
        </w:tc>
        <w:tc>
          <w:tcPr>
            <w:tcW w:type="pct" w:w="3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Act for a party with legal proxy and identification</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Registration by proxy, witness attestation</w:t>
            </w:r>
          </w:p>
        </w:tc>
      </w:tr>
      <w:tr>
        <w:trPr>
          <w:cantSplit/>
        </w:trPr>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 registrar / officer</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 office</w:t>
            </w:r>
          </w:p>
        </w:tc>
        <w:tc>
          <w:tcPr>
            <w:tcW w:type="pct" w:w="3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Verify, certify, stamp, number and record contracts; validate increases; receive complaints</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Nine-point verification, certification, correction, complaint intake</w:t>
            </w:r>
          </w:p>
        </w:tc>
      </w:tr>
      <w:tr>
        <w:trPr>
          <w:cantSplit/>
        </w:trPr>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Sub-city monitor</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Sub-city office</w:t>
            </w:r>
          </w:p>
        </w:tc>
        <w:tc>
          <w:tcPr>
            <w:tcW w:type="pct" w:w="3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Track woreda performance, aggregate data, escalate issues</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Monitoring dashboard, data consolidation</w:t>
            </w:r>
          </w:p>
        </w:tc>
      </w:tr>
      <w:tr>
        <w:trPr>
          <w:cantSplit/>
        </w:trPr>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analyst / head</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City Bureau</w:t>
            </w:r>
          </w:p>
        </w:tc>
        <w:tc>
          <w:tcPr>
            <w:tcW w:type="pct" w:w="3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Run the adjustment study, publish rates, amend the model contract, direct enforcement</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Rate computation and publication, model contract versioning, penalty referral</w:t>
            </w:r>
          </w:p>
        </w:tc>
      </w:tr>
      <w:tr>
        <w:trPr>
          <w:cantSplit/>
        </w:trPr>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Committee and Ministry roles</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City and federal</w:t>
            </w:r>
          </w:p>
        </w:tc>
        <w:tc>
          <w:tcPr>
            <w:tcW w:type="pct" w:w="3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Hear appeals, grant final administrative decisions, consume national statistics</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Appeal hearing, national publication</w:t>
            </w:r>
          </w:p>
        </w:tc>
      </w:tr>
    </w:tbl>
    <w:p>
      <w:pPr>
        <w:pStyle w:val="Heading2"/>
        <w:spacing w:after="120" w:before="240" w:line="312"/>
      </w:pPr>
      <w:bookmarkStart w:id="100013" w:name="_Toc100013"/>
      <w:r>
        <w:rPr>
          <w:rFonts w:ascii="Times New Roman" w:eastAsia="SimHei"/>
          <w:b/>
          <w:bCs/>
          <w:color w:val="1A2330"/>
          <w:sz w:val="28"/>
          <w:szCs w:val="28"/>
        </w:rPr>
        <w:t xml:space="preserve">4.2 The Thirteen Modules</w:t>
      </w:r>
      <w:bookmarkEnd w:id="100013"/>
    </w:p>
    <w:p>
      <w:pPr>
        <w:spacing w:after="120" w:line="312"/>
        <w:jc w:val="left"/>
      </w:pPr>
      <w:r>
        <w:rPr>
          <w:rFonts w:ascii="Times New Roman" w:eastAsia="SimSun"/>
          <w:color w:val="000000"/>
          <w:sz w:val="24"/>
          <w:szCs w:val="24"/>
        </w:rPr>
        <w:t xml:space="preserve">The modules below are the stable functional decomposition used by the roadmap. Each names its principal legal basis and the additions the directive brings. Sprints in Phase 4 are built directly from this table.</w:t>
      </w:r>
    </w:p>
    <w:p>
      <w:pPr>
        <w:keepNext/>
        <w:spacing w:after="80" w:before="160" w:line="312"/>
      </w:pPr>
      <w:r>
        <w:rPr>
          <w:rFonts w:ascii="Times New Roman" w:eastAsia="SimSun"/>
          <w:b/>
          <w:bCs/>
          <w:color w:val="1A2330"/>
          <w:sz w:val="21"/>
          <w:szCs w:val="21"/>
        </w:rPr>
        <w:t xml:space="preserve">Table 7: Module baseline with legal basis and directive additions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Module</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Purpose</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Principal legal basis</w:t>
            </w:r>
          </w:p>
        </w:tc>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Directive-driven additions</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 Party registration and identity</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Landlord, tenant and agent onboarding; identity capture and verification</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 Arts. 4, 7</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Accepted identification list with original-and-copy rule; proxy and two-witness documents; deaf-party accessibility data</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M2 Property registry and status</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Property records with status classification and exemption clocks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 Arts. 2, 10</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Ownership evidence types: holding certificate, confirmation for undocumented holdings, court-sale documents, inheritance transfer</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M3 Model contract studio</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Digitized model agreement with versioning</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 Art. 5; Directive Art. 4</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amends and distributes the template; office copy rule; contract content checklist including service-fee allocation</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 Registration and certification workflow</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End-to-end woreda workflow from presentation to certified contract</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 Arts. 4, 7; Directive Arts. 6 to 9</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Nine-point checklist; registrar certification acts including interpreter flow; stamping desk; numbering; registry book and database entry; legacy annotation</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M5 Rent ceiling and annual adjustment engine</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Ceiling computation, exemption windows, adjustment calendar</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 Arts. 8 to 11; Directive Art. 11</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June 1 publication and June 30 effect automation; pre-effect amendment registration check; Bureau study workspace</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M6 Electronic payment ledger</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Bank and e-payment recording with receipts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 Arts. 12 to 14; Directive Art. 16(4)</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Payment-method confirmation duty at woreda; cash-payment flags feeding the ten-percent fine referral</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M7 Compliance monitoring and control</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Own-initiative and complaint-based control by teams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 Art. 20; Directive Art. 20</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Team control with identification; vacancy monitoring beyond six months; vacancy tax band computation for referral</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M8 Complaint, appeal and dispute management</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Intake, investigation, decisions, committee appeals, court escalation</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 Arts. 20 to 26; Directive Arts. 17 to 19</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Eight grounds checklist; multichannel intake including verbal and telephone; completeness verification; complaint register</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M9 Penalty and enforcement</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Administrative fines and referrals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 Arts. 4, 29 to 32; Directive Art. 22</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Configurable fine ladder; vacancy surcharge bands five to twenty-five percent; referral to tax and enforcement bodies; court-recovery tracking</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M10 Data management, replication and backup</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Custody, scanning, tier-wise replication and recovery</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Directive Art. 13</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Uniform numbered registry book; hard and soft dual custody; woreda to sub-city to Bureau replication with upward change propagation</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M11 Reporting, dashboards and national publication</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Tier analytics and public data publication</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 Art. 18</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Sub-city aggregation duty; Bureau city analytics; Ministry national publication feed</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M12 Notification and deadline engine</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All statutory clocks with reminders and escalations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 Arts. 6, 7, 8, 25, 26; Directive Arts. 10, 19</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Thirty-day amendment registration window; complaint decision window; appeal windows; June calendar events</w:t>
            </w:r>
          </w:p>
        </w:tc>
      </w:tr>
      <w:tr>
        <w:trPr>
          <w:cantSplit/>
        </w:trPr>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M13 System administration and configuration</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Org hierarchy, roles, per-city rule sets, forms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Directive Arts. 2, 14</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Per-city configuration sets; model contract versions; penalty parameters; identification-type catalogues</w:t>
            </w:r>
          </w:p>
        </w:tc>
      </w:tr>
    </w:tbl>
    <w:p>
      <w:pPr>
        <w:pStyle w:val="Heading2"/>
        <w:spacing w:after="120" w:before="240" w:line="312"/>
      </w:pPr>
      <w:bookmarkStart w:id="100014" w:name="_Toc100014"/>
      <w:r>
        <w:rPr>
          <w:rFonts w:ascii="Times New Roman" w:eastAsia="SimHei"/>
          <w:b/>
          <w:bCs/>
          <w:color w:val="1A2330"/>
          <w:sz w:val="28"/>
          <w:szCs w:val="28"/>
        </w:rPr>
        <w:t xml:space="preserve">4.3 Exclusions</w:t>
      </w:r>
      <w:bookmarkEnd w:id="100014"/>
    </w:p>
    <w:p>
      <w:pPr>
        <w:spacing w:after="120" w:line="312"/>
        <w:jc w:val="left"/>
      </w:pPr>
      <w:r>
        <w:rPr>
          <w:rFonts w:ascii="Times New Roman" w:eastAsia="SimSun"/>
          <w:color w:val="000000"/>
          <w:sz w:val="24"/>
          <w:szCs w:val="24"/>
        </w:rPr>
        <w:t xml:space="preserve">In line with Article 3(3) of the proclamation, the platform excludes hotels, resorts, guest houses and commercially licensed rental operations, and it does not administer houses used for purposes other than residence. Where such cases surface during operation, the system records and routes them to the competent bodies rather than processing them as residential rent cases. Keeping these exclusions explicit prevents scope drift during construction and protects the legal defensibility of every automated decision the platform makes.</w:t>
      </w:r>
    </w:p>
    <w:p>
      <w:pPr>
        <w:pStyle w:val="Heading1"/>
        <w:spacing w:after="160" w:before="360" w:line="312"/>
      </w:pPr>
      <w:bookmarkStart w:id="100015" w:name="_Toc100015"/>
      <w:r>
        <w:rPr>
          <w:rFonts w:ascii="Times New Roman" w:eastAsia="SimHei"/>
          <w:b/>
          <w:bCs/>
          <w:color w:val="1A2330"/>
          <w:sz w:val="32"/>
          <w:szCs w:val="32"/>
        </w:rPr>
        <w:t xml:space="preserve">5. Phase-Gated Implementation Roadmap</w:t>
      </w:r>
      <w:bookmarkEnd w:id="100015"/>
    </w:p>
    <w:p>
      <w:pPr>
        <w:spacing w:after="120" w:line="312"/>
        <w:jc w:val="left"/>
      </w:pPr>
      <w:r>
        <w:rPr>
          <w:rFonts w:ascii="Times New Roman" w:eastAsia="SimSun"/>
          <w:color w:val="000000"/>
          <w:sz w:val="24"/>
          <w:szCs w:val="24"/>
        </w:rPr>
        <w:t xml:space="preserve">The roadmap is expressed as nine phases. For each phase this chapter states the objective, the key activities, the deliverables, and the exit criteria that the corresponding gate tests. Durations are deliberately indicative and will be fixed in the Phase 0 schedule baseline, because a schedule written before the charter is approved would be a guess dressed as a plan.</w:t>
      </w:r>
    </w:p>
    <w:p>
      <w:pPr>
        <w:pStyle w:val="Heading2"/>
        <w:spacing w:after="120" w:before="240" w:line="312"/>
      </w:pPr>
      <w:bookmarkStart w:id="100016" w:name="_Toc100016"/>
      <w:r>
        <w:rPr>
          <w:rFonts w:ascii="Times New Roman" w:eastAsia="SimHei"/>
          <w:b/>
          <w:bCs/>
          <w:color w:val="1A2330"/>
          <w:sz w:val="28"/>
          <w:szCs w:val="28"/>
        </w:rPr>
        <w:t xml:space="preserve">5.1 Phase 0: Initiation and Governance</w:t>
      </w:r>
      <w:bookmarkEnd w:id="100016"/>
    </w:p>
    <w:p>
      <w:pPr>
        <w:spacing w:after="120" w:line="312"/>
        <w:jc w:val="left"/>
      </w:pPr>
      <w:r>
        <w:rPr>
          <w:rFonts w:ascii="Times New Roman" w:eastAsia="SimSun"/>
          <w:color w:val="000000"/>
          <w:sz w:val="24"/>
          <w:szCs w:val="24"/>
        </w:rPr>
        <w:t xml:space="preserve">Objective: establish the project on firm administrative ground so that every later artifact has an owner, a baseline, and an approval path.</w:t>
      </w:r>
    </w:p>
    <w:p>
      <w:pPr>
        <w:pStyle w:val="ListParagraph"/>
        <w:numPr>
          <w:ilvl w:val="0"/>
          <w:numId w:val="1"/>
        </w:numPr>
        <w:spacing w:after="80" w:line="312"/>
        <w:jc w:val="left"/>
      </w:pPr>
      <w:r>
        <w:rPr>
          <w:rFonts w:ascii="Times New Roman" w:eastAsia="SimSun"/>
          <w:color w:val="000000"/>
          <w:sz w:val="24"/>
          <w:szCs w:val="24"/>
        </w:rPr>
        <w:t xml:space="preserve">Confirm the three legal instruments as the binding baseline, and obtain the official Amharic texts for verification of any figure that the scanned copies leave ambiguous.</w:t>
      </w:r>
    </w:p>
    <w:p>
      <w:pPr>
        <w:pStyle w:val="ListParagraph"/>
        <w:numPr>
          <w:ilvl w:val="0"/>
          <w:numId w:val="1"/>
        </w:numPr>
        <w:spacing w:after="80" w:line="312"/>
        <w:jc w:val="left"/>
      </w:pPr>
      <w:r>
        <w:rPr>
          <w:rFonts w:ascii="Times New Roman" w:eastAsia="SimSun"/>
          <w:color w:val="000000"/>
          <w:sz w:val="24"/>
          <w:szCs w:val="24"/>
        </w:rPr>
        <w:t xml:space="preserve">Appoint the project owner and product owner, name stakeholder representatives for the Ministry, the Bureau, the sub-city and woreda offices, and the information technology department.</w:t>
      </w:r>
    </w:p>
    <w:p>
      <w:pPr>
        <w:pStyle w:val="ListParagraph"/>
        <w:numPr>
          <w:ilvl w:val="0"/>
          <w:numId w:val="1"/>
        </w:numPr>
        <w:spacing w:after="80" w:line="312"/>
        <w:jc w:val="left"/>
      </w:pPr>
      <w:r>
        <w:rPr>
          <w:rFonts w:ascii="Times New Roman" w:eastAsia="SimSun"/>
          <w:color w:val="000000"/>
          <w:sz w:val="24"/>
          <w:szCs w:val="24"/>
        </w:rPr>
        <w:t xml:space="preserve">Approve this implementation plan and the project charter, including scope, exclusions, and the gate calendar.</w:t>
      </w:r>
    </w:p>
    <w:p>
      <w:pPr>
        <w:pStyle w:val="ListParagraph"/>
        <w:numPr>
          <w:ilvl w:val="0"/>
          <w:numId w:val="1"/>
        </w:numPr>
        <w:spacing w:after="80" w:line="312"/>
        <w:jc w:val="left"/>
      </w:pPr>
      <w:r>
        <w:rPr>
          <w:rFonts w:ascii="Times New Roman" w:eastAsia="SimSun"/>
          <w:color w:val="000000"/>
          <w:sz w:val="24"/>
          <w:szCs w:val="24"/>
        </w:rPr>
        <w:t xml:space="preserve">Stand up the collaboration workspace, repositories, and the decision register.</w:t>
      </w:r>
    </w:p>
    <w:p>
      <w:pPr>
        <w:spacing w:after="120" w:line="312"/>
        <w:jc w:val="left"/>
      </w:pPr>
      <w:r>
        <w:rPr>
          <w:rFonts w:ascii="Times New Roman" w:eastAsia="SimSun"/>
          <w:color w:val="000000"/>
          <w:sz w:val="24"/>
          <w:szCs w:val="24"/>
        </w:rPr>
        <w:t xml:space="preserve">Deliverables: project charter v1.0, stakeholder map, approved implementation plan, decision register. Gate G0 exits when the charter and this plan are signed and the ambiguity list for Phase 1 verification is agreed.</w:t>
      </w:r>
    </w:p>
    <w:p>
      <w:pPr>
        <w:pStyle w:val="Heading2"/>
        <w:spacing w:after="120" w:before="240" w:line="312"/>
      </w:pPr>
      <w:bookmarkStart w:id="100017" w:name="_Toc100017"/>
      <w:r>
        <w:rPr>
          <w:rFonts w:ascii="Times New Roman" w:eastAsia="SimHei"/>
          <w:b/>
          <w:bCs/>
          <w:color w:val="1A2330"/>
          <w:sz w:val="28"/>
          <w:szCs w:val="28"/>
        </w:rPr>
        <w:t xml:space="preserve">5.2 Phase 1: Requirements Consolidation and Legal Traceability</w:t>
      </w:r>
      <w:bookmarkEnd w:id="100017"/>
    </w:p>
    <w:p>
      <w:pPr>
        <w:spacing w:after="120" w:line="312"/>
        <w:jc w:val="left"/>
      </w:pPr>
      <w:r>
        <w:rPr>
          <w:rFonts w:ascii="Times New Roman" w:eastAsia="SimSun"/>
          <w:color w:val="000000"/>
          <w:sz w:val="24"/>
          <w:szCs w:val="24"/>
        </w:rPr>
        <w:t xml:space="preserve">Objective: turn the three instruments and all prior analysis into one approved SRS in which every requirement is traceable to a legal source and forward to a test.</w:t>
      </w:r>
    </w:p>
    <w:p>
      <w:pPr>
        <w:pStyle w:val="ListParagraph"/>
        <w:numPr>
          <w:ilvl w:val="0"/>
          <w:numId w:val="1"/>
        </w:numPr>
        <w:spacing w:after="80" w:line="312"/>
        <w:jc w:val="left"/>
      </w:pPr>
      <w:r>
        <w:rPr>
          <w:rFonts w:ascii="Times New Roman" w:eastAsia="SimSun"/>
          <w:color w:val="000000"/>
          <w:sz w:val="24"/>
          <w:szCs w:val="24"/>
        </w:rPr>
        <w:t xml:space="preserve">Reconcile the proclamation, the directive and the model agreement into the requirement set, upgrading the earlier thirteen-module baseline with the directive rules listed in Chapter 2.</w:t>
      </w:r>
    </w:p>
    <w:p>
      <w:pPr>
        <w:pStyle w:val="ListParagraph"/>
        <w:numPr>
          <w:ilvl w:val="0"/>
          <w:numId w:val="1"/>
        </w:numPr>
        <w:spacing w:after="80" w:line="312"/>
        <w:jc w:val="left"/>
      </w:pPr>
      <w:r>
        <w:rPr>
          <w:rFonts w:ascii="Times New Roman" w:eastAsia="SimSun"/>
          <w:color w:val="000000"/>
          <w:sz w:val="24"/>
          <w:szCs w:val="24"/>
        </w:rPr>
        <w:t xml:space="preserve">Resolve the flagged ambiguities, notably the fine ladder of Directive Article 22, against the official text, and record each resolution in the decision register.</w:t>
      </w:r>
    </w:p>
    <w:p>
      <w:pPr>
        <w:pStyle w:val="ListParagraph"/>
        <w:numPr>
          <w:ilvl w:val="0"/>
          <w:numId w:val="1"/>
        </w:numPr>
        <w:spacing w:after="80" w:line="312"/>
        <w:jc w:val="left"/>
      </w:pPr>
      <w:r>
        <w:rPr>
          <w:rFonts w:ascii="Times New Roman" w:eastAsia="SimSun"/>
          <w:color w:val="000000"/>
          <w:sz w:val="24"/>
          <w:szCs w:val="24"/>
        </w:rPr>
        <w:t xml:space="preserve">Build the bilingual English and Amharic terminology glossary so that interface labels, forms and notices use the directive's own words.</w:t>
      </w:r>
    </w:p>
    <w:p>
      <w:pPr>
        <w:pStyle w:val="ListParagraph"/>
        <w:numPr>
          <w:ilvl w:val="0"/>
          <w:numId w:val="1"/>
        </w:numPr>
        <w:spacing w:after="80" w:line="312"/>
        <w:jc w:val="left"/>
      </w:pPr>
      <w:r>
        <w:rPr>
          <w:rFonts w:ascii="Times New Roman" w:eastAsia="SimSun"/>
          <w:color w:val="000000"/>
          <w:sz w:val="24"/>
          <w:szCs w:val="24"/>
        </w:rPr>
        <w:t xml:space="preserve">Produce SRS v1.0 conforming to ISO/IEC/IEEE 29148, with the traceability matrix covering article, requirement, module, use case and future test identifier.</w:t>
      </w:r>
    </w:p>
    <w:p>
      <w:pPr>
        <w:spacing w:after="120" w:line="312"/>
        <w:jc w:val="left"/>
      </w:pPr>
      <w:r>
        <w:rPr>
          <w:rFonts w:ascii="Times New Roman" w:eastAsia="SimSun"/>
          <w:color w:val="000000"/>
          <w:sz w:val="24"/>
          <w:szCs w:val="24"/>
        </w:rPr>
        <w:t xml:space="preserve">Deliverables: SRS v1.0, traceability matrix v1.0, glossary, resolved-parameter log. Gate G1 exits when the SRS and the matrix are approved and no requirement is without a legal source.</w:t>
      </w:r>
    </w:p>
    <w:p>
      <w:pPr>
        <w:pStyle w:val="Heading2"/>
        <w:spacing w:after="120" w:before="240" w:line="312"/>
      </w:pPr>
      <w:bookmarkStart w:id="100018" w:name="_Toc100018"/>
      <w:r>
        <w:rPr>
          <w:rFonts w:ascii="Times New Roman" w:eastAsia="SimHei"/>
          <w:b/>
          <w:bCs/>
          <w:color w:val="1A2330"/>
          <w:sz w:val="28"/>
          <w:szCs w:val="28"/>
        </w:rPr>
        <w:t xml:space="preserve">5.3 Phase 2: System and Software Design</w:t>
      </w:r>
      <w:bookmarkEnd w:id="100018"/>
    </w:p>
    <w:p>
      <w:pPr>
        <w:spacing w:after="120" w:line="312"/>
        <w:jc w:val="left"/>
      </w:pPr>
      <w:r>
        <w:rPr>
          <w:rFonts w:ascii="Times New Roman" w:eastAsia="SimSun"/>
          <w:color w:val="000000"/>
          <w:sz w:val="24"/>
          <w:szCs w:val="24"/>
        </w:rPr>
        <w:t xml:space="preserve">Objective: design a platform that implements the SRS and survives government operation: multi-tier, auditable, bilingual and configurable.</w:t>
      </w:r>
    </w:p>
    <w:p>
      <w:pPr>
        <w:pStyle w:val="ListParagraph"/>
        <w:numPr>
          <w:ilvl w:val="0"/>
          <w:numId w:val="1"/>
        </w:numPr>
        <w:spacing w:after="80" w:line="312"/>
        <w:jc w:val="left"/>
      </w:pPr>
      <w:r>
        <w:rPr>
          <w:rFonts w:ascii="Times New Roman" w:eastAsia="SimSun"/>
          <w:color w:val="000000"/>
          <w:sz w:val="24"/>
          <w:szCs w:val="24"/>
        </w:rPr>
        <w:t xml:space="preserve">High-level design: web portal for the public, registrar workbench for woreda offices, monitoring consoles for sub-city and Bureau, and Ministry analytics; an application service layer; and integration services for bank and electronic payment, identification verification, and SMS or notification channels.</w:t>
      </w:r>
    </w:p>
    <w:p>
      <w:pPr>
        <w:pStyle w:val="ListParagraph"/>
        <w:numPr>
          <w:ilvl w:val="0"/>
          <w:numId w:val="1"/>
        </w:numPr>
        <w:spacing w:after="80" w:line="312"/>
        <w:jc w:val="left"/>
      </w:pPr>
      <w:r>
        <w:rPr>
          <w:rFonts w:ascii="Times New Roman" w:eastAsia="SimSun"/>
          <w:color w:val="000000"/>
          <w:sz w:val="24"/>
          <w:szCs w:val="24"/>
        </w:rPr>
        <w:t xml:space="preserve">Database design covering parties, properties, contracts and versions, registrations, payments, complaints, appeals, penalties, referrals, organizational hierarchy, configuration sets and the immutable audit log.</w:t>
      </w:r>
    </w:p>
    <w:p>
      <w:pPr>
        <w:pStyle w:val="ListParagraph"/>
        <w:numPr>
          <w:ilvl w:val="0"/>
          <w:numId w:val="1"/>
        </w:numPr>
        <w:spacing w:after="80" w:line="312"/>
        <w:jc w:val="left"/>
      </w:pPr>
      <w:r>
        <w:rPr>
          <w:rFonts w:ascii="Times New Roman" w:eastAsia="SimSun"/>
          <w:color w:val="000000"/>
          <w:sz w:val="24"/>
          <w:szCs w:val="24"/>
        </w:rPr>
        <w:t xml:space="preserve">Security design: role-based access mapped to tier and office, encryption, session policy, and audit of every registration, correction and decision as required by Directive Articles 12 and 13.</w:t>
      </w:r>
    </w:p>
    <w:p>
      <w:pPr>
        <w:pStyle w:val="ListParagraph"/>
        <w:numPr>
          <w:ilvl w:val="0"/>
          <w:numId w:val="1"/>
        </w:numPr>
        <w:spacing w:after="80" w:line="312"/>
        <w:jc w:val="left"/>
      </w:pPr>
      <w:r>
        <w:rPr>
          <w:rFonts w:ascii="Times New Roman" w:eastAsia="SimSun"/>
          <w:color w:val="000000"/>
          <w:sz w:val="24"/>
          <w:szCs w:val="24"/>
        </w:rPr>
        <w:t xml:space="preserve">Interface design: bilingual wireframes for each workflow, checked against the model agreement's field list and the nine-point checklist screens.</w:t>
      </w:r>
    </w:p>
    <w:p>
      <w:pPr>
        <w:spacing w:after="120" w:line="312"/>
        <w:jc w:val="left"/>
      </w:pPr>
      <w:r>
        <w:rPr>
          <w:rFonts w:ascii="Times New Roman" w:eastAsia="SimSun"/>
          <w:color w:val="000000"/>
          <w:sz w:val="24"/>
          <w:szCs w:val="24"/>
        </w:rPr>
        <w:t xml:space="preserve">Deliverables: architecture specification, database design, security and threat model, wireframe pack, interface specification. Gate G2 exits when designs are approved and every SRS requirement maps to at least one design element.</w:t>
      </w:r>
    </w:p>
    <w:p>
      <w:pPr>
        <w:pStyle w:val="Heading2"/>
        <w:spacing w:after="120" w:before="240" w:line="312"/>
      </w:pPr>
      <w:bookmarkStart w:id="100019" w:name="_Toc100019"/>
      <w:r>
        <w:rPr>
          <w:rFonts w:ascii="Times New Roman" w:eastAsia="SimHei"/>
          <w:b/>
          <w:bCs/>
          <w:color w:val="1A2330"/>
          <w:sz w:val="28"/>
          <w:szCs w:val="28"/>
        </w:rPr>
        <w:t xml:space="preserve">5.4 Phase 3: Environments and Seed Configuration</w:t>
      </w:r>
      <w:bookmarkEnd w:id="100019"/>
    </w:p>
    <w:p>
      <w:pPr>
        <w:spacing w:after="120" w:line="312"/>
        <w:jc w:val="left"/>
      </w:pPr>
      <w:r>
        <w:rPr>
          <w:rFonts w:ascii="Times New Roman" w:eastAsia="SimSun"/>
          <w:color w:val="000000"/>
          <w:sz w:val="24"/>
          <w:szCs w:val="24"/>
        </w:rPr>
        <w:t xml:space="preserve">Objective: prepare the runtime landscape and seed the configuration the platform needs to behave like the directive on day one.</w:t>
      </w:r>
    </w:p>
    <w:p>
      <w:pPr>
        <w:pStyle w:val="ListParagraph"/>
        <w:numPr>
          <w:ilvl w:val="0"/>
          <w:numId w:val="1"/>
        </w:numPr>
        <w:spacing w:after="80" w:line="312"/>
        <w:jc w:val="left"/>
      </w:pPr>
      <w:r>
        <w:rPr>
          <w:rFonts w:ascii="Times New Roman" w:eastAsia="SimSun"/>
          <w:color w:val="000000"/>
          <w:sz w:val="24"/>
          <w:szCs w:val="24"/>
        </w:rPr>
        <w:t xml:space="preserve">Provision development, staging and production environments with the backup scheme of Directive Article 13 at each tier.</w:t>
      </w:r>
    </w:p>
    <w:p>
      <w:pPr>
        <w:pStyle w:val="ListParagraph"/>
        <w:numPr>
          <w:ilvl w:val="0"/>
          <w:numId w:val="1"/>
        </w:numPr>
        <w:spacing w:after="80" w:line="312"/>
        <w:jc w:val="left"/>
      </w:pPr>
      <w:r>
        <w:rPr>
          <w:rFonts w:ascii="Times New Roman" w:eastAsia="SimSun"/>
          <w:color w:val="000000"/>
          <w:sz w:val="24"/>
          <w:szCs w:val="24"/>
        </w:rPr>
        <w:t xml:space="preserve">Build the continuous integration and delivery pipelines: automated build, unit tests, static analysis, and staged promotion with release tagging.</w:t>
      </w:r>
    </w:p>
    <w:p>
      <w:pPr>
        <w:pStyle w:val="ListParagraph"/>
        <w:numPr>
          <w:ilvl w:val="0"/>
          <w:numId w:val="1"/>
        </w:numPr>
        <w:spacing w:after="80" w:line="312"/>
        <w:jc w:val="left"/>
      </w:pPr>
      <w:r>
        <w:rPr>
          <w:rFonts w:ascii="Times New Roman" w:eastAsia="SimSun"/>
          <w:color w:val="000000"/>
          <w:sz w:val="24"/>
          <w:szCs w:val="24"/>
        </w:rPr>
        <w:t xml:space="preserve">Seed configuration: organizational tree for Addis Ababa with its sub-cities and woredas, roles, identification catalogues, property status types, model contract v1, penalty parameters from the resolved ladder, and the June adjustment calendar.</w:t>
      </w:r>
    </w:p>
    <w:p>
      <w:pPr>
        <w:spacing w:after="120" w:line="312"/>
        <w:jc w:val="left"/>
      </w:pPr>
      <w:r>
        <w:rPr>
          <w:rFonts w:ascii="Times New Roman" w:eastAsia="SimSun"/>
          <w:color w:val="000000"/>
          <w:sz w:val="24"/>
          <w:szCs w:val="24"/>
        </w:rPr>
        <w:t xml:space="preserve">Deliverables: environment inventory, pipeline documentation, seeded configuration. Gate G3 exits when a walkthrough shows a staged promotion running end to end and the seeded hierarchy matching the official structure.</w:t>
      </w:r>
    </w:p>
    <w:p>
      <w:pPr>
        <w:pStyle w:val="Heading2"/>
        <w:spacing w:after="120" w:before="240" w:line="312"/>
      </w:pPr>
      <w:bookmarkStart w:id="100020" w:name="_Toc100020"/>
      <w:r>
        <w:rPr>
          <w:rFonts w:ascii="Times New Roman" w:eastAsia="SimHei"/>
          <w:b/>
          <w:bCs/>
          <w:color w:val="1A2330"/>
          <w:sz w:val="28"/>
          <w:szCs w:val="28"/>
        </w:rPr>
        <w:t xml:space="preserve">5.5 Phase 4: Incremental Module Construction</w:t>
      </w:r>
      <w:bookmarkEnd w:id="100020"/>
    </w:p>
    <w:p>
      <w:pPr>
        <w:spacing w:after="120" w:line="312"/>
        <w:jc w:val="left"/>
      </w:pPr>
      <w:r>
        <w:rPr>
          <w:rFonts w:ascii="Times New Roman" w:eastAsia="SimSun"/>
          <w:color w:val="000000"/>
          <w:sz w:val="24"/>
          <w:szCs w:val="24"/>
        </w:rPr>
        <w:t xml:space="preserve">Objective: build the thirteen modules in seven sprints, each ending in a working increment demonstrated to the project owner.</w:t>
      </w:r>
    </w:p>
    <w:p>
      <w:pPr>
        <w:keepNext/>
        <w:spacing w:after="80" w:before="160" w:line="312"/>
      </w:pPr>
      <w:r>
        <w:rPr>
          <w:rFonts w:ascii="Times New Roman" w:eastAsia="SimSun"/>
          <w:b/>
          <w:bCs/>
          <w:color w:val="1A2330"/>
          <w:sz w:val="21"/>
          <w:szCs w:val="21"/>
        </w:rPr>
        <w:t xml:space="preserve">Table 8: Sprint plan mapped to modules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Sprint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Modules</w:t>
            </w:r>
          </w:p>
        </w:tc>
        <w:tc>
          <w:tcPr>
            <w:tcW w:type="pct" w:w="6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Increment highlights</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S1</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M13, M1</w:t>
            </w:r>
          </w:p>
        </w:tc>
        <w:tc>
          <w:tcPr>
            <w:tcW w:type="pct" w:w="6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Organization hierarchy and roles; party onboarding with identification and proxy handling</w:t>
            </w:r>
          </w:p>
        </w:tc>
      </w:tr>
      <w:tr>
        <w:trPr>
          <w:cantSplit/>
        </w:trPr>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S2</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M2, M3</w:t>
            </w:r>
          </w:p>
        </w:tc>
        <w:tc>
          <w:tcPr>
            <w:tcW w:type="pct" w:w="6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Property registry with status and exemption clocks; model contract studio with version control</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S3</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6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Registration and certification workflow: checklist, registrar acts, interpreter flow, stamping desk, numbering, registry book, database entry, legacy annotation</w:t>
            </w:r>
          </w:p>
        </w:tc>
      </w:tr>
      <w:tr>
        <w:trPr>
          <w:cantSplit/>
        </w:trPr>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S4</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M5, M6</w:t>
            </w:r>
          </w:p>
        </w:tc>
        <w:tc>
          <w:tcPr>
            <w:tcW w:type="pct" w:w="6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Adjustment engine with June calendar and increase validation; payment ledger with electronic-method enforcement and cash flagging</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S5</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M8, M12</w:t>
            </w:r>
          </w:p>
        </w:tc>
        <w:tc>
          <w:tcPr>
            <w:tcW w:type="pct" w:w="6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Complaint intake with grounds checklist and register; dispute pipeline with appeal and court clocks; deadline engine</w:t>
            </w:r>
          </w:p>
        </w:tc>
      </w:tr>
      <w:tr>
        <w:trPr>
          <w:cantSplit/>
        </w:trPr>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S6</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M7, M9</w:t>
            </w:r>
          </w:p>
        </w:tc>
        <w:tc>
          <w:tcPr>
            <w:tcW w:type="pct" w:w="6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Control-team workflows; vacancy monitoring; penalty ladder computation, referrals and court-recovery tracking</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S7</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M10, M11</w:t>
            </w:r>
          </w:p>
        </w:tc>
        <w:tc>
          <w:tcPr>
            <w:tcW w:type="pct" w:w="6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Replication and backup at tier level; dashboards, aggregation and national publication feed</w:t>
            </w:r>
          </w:p>
        </w:tc>
      </w:tr>
    </w:tbl>
    <w:p>
      <w:pPr>
        <w:spacing w:after="120" w:line="312"/>
        <w:jc w:val="left"/>
      </w:pPr>
      <w:r>
        <w:rPr>
          <w:rFonts w:ascii="Times New Roman" w:eastAsia="SimSun"/>
          <w:color w:val="000000"/>
          <w:sz w:val="24"/>
          <w:szCs w:val="24"/>
        </w:rPr>
        <w:t xml:space="preserve">Each sprint runs unit tests to the agreed coverage, closes its slice of the traceability matrix, and is reviewed in a short demonstration. Defects found in review are fixed before the next sprint starts. Gate G4 exits when all seven increments are demonstrated, the platform is functionally complete against the SRS, and no severity-one or severity-two defects remain open.</w:t>
      </w:r>
    </w:p>
    <w:p>
      <w:pPr>
        <w:pStyle w:val="Heading2"/>
        <w:spacing w:after="120" w:before="240" w:line="312"/>
      </w:pPr>
      <w:bookmarkStart w:id="100021" w:name="_Toc100021"/>
      <w:r>
        <w:rPr>
          <w:rFonts w:ascii="Times New Roman" w:eastAsia="SimHei"/>
          <w:b/>
          <w:bCs/>
          <w:color w:val="1A2330"/>
          <w:sz w:val="28"/>
          <w:szCs w:val="28"/>
        </w:rPr>
        <w:t xml:space="preserve">5.6 Phase 5: Integration, Security and Compliance Testing</w:t>
      </w:r>
      <w:bookmarkEnd w:id="100021"/>
    </w:p>
    <w:p>
      <w:pPr>
        <w:spacing w:after="120" w:line="312"/>
        <w:jc w:val="left"/>
      </w:pPr>
      <w:r>
        <w:rPr>
          <w:rFonts w:ascii="Times New Roman" w:eastAsia="SimSun"/>
          <w:color w:val="000000"/>
          <w:sz w:val="24"/>
          <w:szCs w:val="24"/>
        </w:rPr>
        <w:t xml:space="preserve">Objective: prove the assembled system against integrations, load, attack, and above all the law.</w:t>
      </w:r>
    </w:p>
    <w:p>
      <w:pPr>
        <w:pStyle w:val="ListParagraph"/>
        <w:numPr>
          <w:ilvl w:val="0"/>
          <w:numId w:val="1"/>
        </w:numPr>
        <w:spacing w:after="80" w:line="312"/>
        <w:jc w:val="left"/>
      </w:pPr>
      <w:r>
        <w:rPr>
          <w:rFonts w:ascii="Times New Roman" w:eastAsia="SimSun"/>
          <w:color w:val="000000"/>
          <w:sz w:val="24"/>
          <w:szCs w:val="24"/>
        </w:rPr>
        <w:t xml:space="preserve">Integration testing with the bank and payment sandbox and the identification service, including failure and timeout behaviour.</w:t>
      </w:r>
    </w:p>
    <w:p>
      <w:pPr>
        <w:pStyle w:val="ListParagraph"/>
        <w:numPr>
          <w:ilvl w:val="0"/>
          <w:numId w:val="1"/>
        </w:numPr>
        <w:spacing w:after="80" w:line="312"/>
        <w:jc w:val="left"/>
      </w:pPr>
      <w:r>
        <w:rPr>
          <w:rFonts w:ascii="Times New Roman" w:eastAsia="SimSun"/>
          <w:color w:val="000000"/>
          <w:sz w:val="24"/>
          <w:szCs w:val="24"/>
        </w:rPr>
        <w:t xml:space="preserve">System and regression testing across all modules; performance testing at projected woreda workload with headroom for city-wide peaks.</w:t>
      </w:r>
    </w:p>
    <w:p>
      <w:pPr>
        <w:pStyle w:val="ListParagraph"/>
        <w:numPr>
          <w:ilvl w:val="0"/>
          <w:numId w:val="1"/>
        </w:numPr>
        <w:spacing w:after="80" w:line="312"/>
        <w:jc w:val="left"/>
      </w:pPr>
      <w:r>
        <w:rPr>
          <w:rFonts w:ascii="Times New Roman" w:eastAsia="SimSun"/>
          <w:color w:val="000000"/>
          <w:sz w:val="24"/>
          <w:szCs w:val="24"/>
        </w:rPr>
        <w:t xml:space="preserve">Security testing against the agreed OWASP ASVS level, including access control between tiers and audit-trail integrity.</w:t>
      </w:r>
    </w:p>
    <w:p>
      <w:pPr>
        <w:pStyle w:val="ListParagraph"/>
        <w:numPr>
          <w:ilvl w:val="0"/>
          <w:numId w:val="1"/>
        </w:numPr>
        <w:spacing w:after="80" w:line="312"/>
        <w:jc w:val="left"/>
      </w:pPr>
      <w:r>
        <w:rPr>
          <w:rFonts w:ascii="Times New Roman" w:eastAsia="SimSun"/>
          <w:color w:val="000000"/>
          <w:sz w:val="24"/>
          <w:szCs w:val="24"/>
        </w:rPr>
        <w:t xml:space="preserve">Execution of the legal compliance test matrix: every traced article exercised by at least one named test case, with the matrix attached to the test report.</w:t>
      </w:r>
    </w:p>
    <w:p>
      <w:pPr>
        <w:spacing w:after="120" w:line="312"/>
        <w:jc w:val="left"/>
      </w:pPr>
      <w:r>
        <w:rPr>
          <w:rFonts w:ascii="Times New Roman" w:eastAsia="SimSun"/>
          <w:color w:val="000000"/>
          <w:sz w:val="24"/>
          <w:szCs w:val="24"/>
        </w:rPr>
        <w:t xml:space="preserve">Deliverables: test plan, level-wise test reports, compliance matrix with results, security assessment. Gate G5 exits when all critical tests pass and the compliance matrix shows no failed legal rule.</w:t>
      </w:r>
    </w:p>
    <w:p>
      <w:pPr>
        <w:pStyle w:val="Heading2"/>
        <w:spacing w:after="120" w:before="240" w:line="312"/>
      </w:pPr>
      <w:bookmarkStart w:id="100022" w:name="_Toc100022"/>
      <w:r>
        <w:rPr>
          <w:rFonts w:ascii="Times New Roman" w:eastAsia="SimHei"/>
          <w:b/>
          <w:bCs/>
          <w:color w:val="1A2330"/>
          <w:sz w:val="28"/>
          <w:szCs w:val="28"/>
        </w:rPr>
        <w:t xml:space="preserve">5.7 Phase 6: User Acceptance and Legal Validation</w:t>
      </w:r>
      <w:bookmarkEnd w:id="100022"/>
    </w:p>
    <w:p>
      <w:pPr>
        <w:spacing w:after="120" w:line="312"/>
        <w:jc w:val="left"/>
      </w:pPr>
      <w:r>
        <w:rPr>
          <w:rFonts w:ascii="Times New Roman" w:eastAsia="SimSun"/>
          <w:color w:val="000000"/>
          <w:sz w:val="24"/>
          <w:szCs w:val="24"/>
        </w:rPr>
        <w:t xml:space="preserve">Objective: let the real roles judge the system, using scripts derived from the use cases, and let the legal side certify that automated behaviour matches the directive.</w:t>
      </w:r>
    </w:p>
    <w:p>
      <w:pPr>
        <w:pStyle w:val="ListParagraph"/>
        <w:numPr>
          <w:ilvl w:val="0"/>
          <w:numId w:val="1"/>
        </w:numPr>
        <w:spacing w:after="80" w:line="312"/>
        <w:jc w:val="left"/>
      </w:pPr>
      <w:r>
        <w:rPr>
          <w:rFonts w:ascii="Times New Roman" w:eastAsia="SimSun"/>
          <w:color w:val="000000"/>
          <w:sz w:val="24"/>
          <w:szCs w:val="24"/>
        </w:rPr>
        <w:t xml:space="preserve">Role-based UAT: registrars run real registration files through the checklist; Bureau analysts run the adjustment publication flow; complaint officers run intake to decision; committee members hear a rehearsed appeal.</w:t>
      </w:r>
    </w:p>
    <w:p>
      <w:pPr>
        <w:pStyle w:val="ListParagraph"/>
        <w:numPr>
          <w:ilvl w:val="0"/>
          <w:numId w:val="1"/>
        </w:numPr>
        <w:spacing w:after="80" w:line="312"/>
        <w:jc w:val="left"/>
      </w:pPr>
      <w:r>
        <w:rPr>
          <w:rFonts w:ascii="Times New Roman" w:eastAsia="SimSun"/>
          <w:color w:val="000000"/>
          <w:sz w:val="24"/>
          <w:szCs w:val="24"/>
        </w:rPr>
        <w:t xml:space="preserve">Legal validation session: article-by-article walkthrough of the compliance matrix with the Bureau's legal experts, recording every deviation and its resolution.</w:t>
      </w:r>
    </w:p>
    <w:p>
      <w:pPr>
        <w:pStyle w:val="ListParagraph"/>
        <w:numPr>
          <w:ilvl w:val="0"/>
          <w:numId w:val="1"/>
        </w:numPr>
        <w:spacing w:after="80" w:line="312"/>
        <w:jc w:val="left"/>
      </w:pPr>
      <w:r>
        <w:rPr>
          <w:rFonts w:ascii="Times New Roman" w:eastAsia="SimSun"/>
          <w:color w:val="000000"/>
          <w:sz w:val="24"/>
          <w:szCs w:val="24"/>
        </w:rPr>
        <w:t xml:space="preserve">Defect triage with severity definitions and agreed fix schedule; re-test of fixed items.</w:t>
      </w:r>
    </w:p>
    <w:p>
      <w:pPr>
        <w:spacing w:after="120" w:line="312"/>
        <w:jc w:val="left"/>
      </w:pPr>
      <w:r>
        <w:rPr>
          <w:rFonts w:ascii="Times New Roman" w:eastAsia="SimSun"/>
          <w:color w:val="000000"/>
          <w:sz w:val="24"/>
          <w:szCs w:val="24"/>
        </w:rPr>
        <w:t xml:space="preserve">Deliverables: UAT scripts and results, legal validation memorandum, defect log with closure status. Gate G6 exits on a signed UAT certificate and a legal memorandum with no unresolved deviation.</w:t>
      </w:r>
    </w:p>
    <w:p>
      <w:pPr>
        <w:pStyle w:val="Heading2"/>
        <w:spacing w:after="120" w:before="240" w:line="312"/>
      </w:pPr>
      <w:bookmarkStart w:id="100023" w:name="_Toc100023"/>
      <w:r>
        <w:rPr>
          <w:rFonts w:ascii="Times New Roman" w:eastAsia="SimHei"/>
          <w:b/>
          <w:bCs/>
          <w:color w:val="1A2330"/>
          <w:sz w:val="28"/>
          <w:szCs w:val="28"/>
        </w:rPr>
        <w:t xml:space="preserve">5.8 Phase 7: Data Migration, Training and Pilot</w:t>
      </w:r>
      <w:bookmarkEnd w:id="100023"/>
    </w:p>
    <w:p>
      <w:pPr>
        <w:spacing w:after="120" w:line="312"/>
        <w:jc w:val="left"/>
      </w:pPr>
      <w:r>
        <w:rPr>
          <w:rFonts w:ascii="Times New Roman" w:eastAsia="SimSun"/>
          <w:color w:val="000000"/>
          <w:sz w:val="24"/>
          <w:szCs w:val="24"/>
        </w:rPr>
        <w:t xml:space="preserve">Objective: bring legacy reality into the platform and prove operation in live woredas before city-wide exposure.</w:t>
      </w:r>
    </w:p>
    <w:p>
      <w:pPr>
        <w:pStyle w:val="ListParagraph"/>
        <w:numPr>
          <w:ilvl w:val="0"/>
          <w:numId w:val="1"/>
        </w:numPr>
        <w:spacing w:after="80" w:line="312"/>
        <w:jc w:val="left"/>
      </w:pPr>
      <w:r>
        <w:rPr>
          <w:rFonts w:ascii="Times New Roman" w:eastAsia="SimSun"/>
          <w:color w:val="000000"/>
          <w:sz w:val="24"/>
          <w:szCs w:val="24"/>
        </w:rPr>
        <w:t xml:space="preserve">Migrate legacy contracts: create party and property records, apply the legacy annotation of Directive Article 8(2), scan and attach documents, and reconcile counts against the registry books as Article 13 requires.</w:t>
      </w:r>
    </w:p>
    <w:p>
      <w:pPr>
        <w:pStyle w:val="ListParagraph"/>
        <w:numPr>
          <w:ilvl w:val="0"/>
          <w:numId w:val="1"/>
        </w:numPr>
        <w:spacing w:after="80" w:line="312"/>
        <w:jc w:val="left"/>
      </w:pPr>
      <w:r>
        <w:rPr>
          <w:rFonts w:ascii="Times New Roman" w:eastAsia="SimSun"/>
          <w:color w:val="000000"/>
          <w:sz w:val="24"/>
          <w:szCs w:val="24"/>
        </w:rPr>
        <w:t xml:space="preserve">Train by role and tier: registrar front-desk practice, sub-city monitoring, Bureau analytics and rate publication, and system administration.</w:t>
      </w:r>
    </w:p>
    <w:p>
      <w:pPr>
        <w:pStyle w:val="ListParagraph"/>
        <w:numPr>
          <w:ilvl w:val="0"/>
          <w:numId w:val="1"/>
        </w:numPr>
        <w:spacing w:after="80" w:line="312"/>
        <w:jc w:val="left"/>
      </w:pPr>
      <w:r>
        <w:rPr>
          <w:rFonts w:ascii="Times New Roman" w:eastAsia="SimSun"/>
          <w:color w:val="000000"/>
          <w:sz w:val="24"/>
          <w:szCs w:val="24"/>
        </w:rPr>
        <w:t xml:space="preserve">Run the pilot in agreed woredas with daily support, measuring registration cycle time, checklist compliance and replication correctness.</w:t>
      </w:r>
    </w:p>
    <w:p>
      <w:pPr>
        <w:pStyle w:val="ListParagraph"/>
        <w:numPr>
          <w:ilvl w:val="0"/>
          <w:numId w:val="1"/>
        </w:numPr>
        <w:spacing w:after="80" w:line="312"/>
        <w:jc w:val="left"/>
      </w:pPr>
      <w:r>
        <w:rPr>
          <w:rFonts w:ascii="Times New Roman" w:eastAsia="SimSun"/>
          <w:color w:val="000000"/>
          <w:sz w:val="24"/>
          <w:szCs w:val="24"/>
        </w:rPr>
        <w:t xml:space="preserve">Produce public awareness material as Article 14 and Article 16 require, so citizens know what a valid contract looks like.</w:t>
      </w:r>
    </w:p>
    <w:p>
      <w:pPr>
        <w:spacing w:after="120" w:line="312"/>
        <w:jc w:val="left"/>
      </w:pPr>
      <w:r>
        <w:rPr>
          <w:rFonts w:ascii="Times New Roman" w:eastAsia="SimSun"/>
          <w:color w:val="000000"/>
          <w:sz w:val="24"/>
          <w:szCs w:val="24"/>
        </w:rPr>
        <w:t xml:space="preserve">Deliverables: migration report with reconciliation, training attendance and competence records, pilot exit report. Gate G7 exits when the pilot woredas operate without severity-one issues and reconciliation balances.</w:t>
      </w:r>
    </w:p>
    <w:p>
      <w:pPr>
        <w:pStyle w:val="Heading2"/>
        <w:spacing w:after="120" w:before="240" w:line="312"/>
      </w:pPr>
      <w:bookmarkStart w:id="100024" w:name="_Toc100024"/>
      <w:r>
        <w:rPr>
          <w:rFonts w:ascii="Times New Roman" w:eastAsia="SimHei"/>
          <w:b/>
          <w:bCs/>
          <w:color w:val="1A2330"/>
          <w:sz w:val="28"/>
          <w:szCs w:val="28"/>
        </w:rPr>
        <w:t xml:space="preserve">5.9 Phase 8: Go-Live, Operations and Continuous Improvement</w:t>
      </w:r>
      <w:bookmarkEnd w:id="100024"/>
    </w:p>
    <w:p>
      <w:pPr>
        <w:spacing w:after="120" w:line="312"/>
        <w:jc w:val="left"/>
      </w:pPr>
      <w:r>
        <w:rPr>
          <w:rFonts w:ascii="Times New Roman" w:eastAsia="SimSun"/>
          <w:color w:val="000000"/>
          <w:sz w:val="24"/>
          <w:szCs w:val="24"/>
        </w:rPr>
        <w:t xml:space="preserve">Objective: roll out in waves, stabilize, and hand over to a governed operation that can run the annual cycle unaided.</w:t>
      </w:r>
    </w:p>
    <w:p>
      <w:pPr>
        <w:pStyle w:val="ListParagraph"/>
        <w:numPr>
          <w:ilvl w:val="0"/>
          <w:numId w:val="1"/>
        </w:numPr>
        <w:spacing w:after="80" w:line="312"/>
        <w:jc w:val="left"/>
      </w:pPr>
      <w:r>
        <w:rPr>
          <w:rFonts w:ascii="Times New Roman" w:eastAsia="SimSun"/>
          <w:color w:val="000000"/>
          <w:sz w:val="24"/>
          <w:szCs w:val="24"/>
        </w:rPr>
        <w:t xml:space="preserve">Wave rollout from pilot woredas to all woredas of the pilot sub-city, then city-wide, then preparation for replication to other cities as configuration sets.</w:t>
      </w:r>
    </w:p>
    <w:p>
      <w:pPr>
        <w:pStyle w:val="ListParagraph"/>
        <w:numPr>
          <w:ilvl w:val="0"/>
          <w:numId w:val="1"/>
        </w:numPr>
        <w:spacing w:after="80" w:line="312"/>
        <w:jc w:val="left"/>
      </w:pPr>
      <w:r>
        <w:rPr>
          <w:rFonts w:ascii="Times New Roman" w:eastAsia="SimSun"/>
          <w:color w:val="000000"/>
          <w:sz w:val="24"/>
          <w:szCs w:val="24"/>
        </w:rPr>
        <w:t xml:space="preserve">Hypercare support with agreed service levels, then transition to standard operations with the operations manual and runbook.</w:t>
      </w:r>
    </w:p>
    <w:p>
      <w:pPr>
        <w:pStyle w:val="ListParagraph"/>
        <w:numPr>
          <w:ilvl w:val="0"/>
          <w:numId w:val="1"/>
        </w:numPr>
        <w:spacing w:after="80" w:line="312"/>
        <w:jc w:val="left"/>
      </w:pPr>
      <w:r>
        <w:rPr>
          <w:rFonts w:ascii="Times New Roman" w:eastAsia="SimSun"/>
          <w:color w:val="000000"/>
          <w:sz w:val="24"/>
          <w:szCs w:val="24"/>
        </w:rPr>
        <w:t xml:space="preserve">Operate the annual adjustment cycle end to end: study workspace, June 1 publication, June 30 effect, amendment wave, and compliance follow-up.</w:t>
      </w:r>
    </w:p>
    <w:p>
      <w:pPr>
        <w:pStyle w:val="ListParagraph"/>
        <w:numPr>
          <w:ilvl w:val="0"/>
          <w:numId w:val="1"/>
        </w:numPr>
        <w:spacing w:after="80" w:line="312"/>
        <w:jc w:val="left"/>
      </w:pPr>
      <w:r>
        <w:rPr>
          <w:rFonts w:ascii="Times New Roman" w:eastAsia="SimSun"/>
          <w:color w:val="000000"/>
          <w:sz w:val="24"/>
          <w:szCs w:val="24"/>
        </w:rPr>
        <w:t xml:space="preserve">Operate penalty referrals and court-recovery tracking with the competent bodies, and publish national data to the Ministry.</w:t>
      </w:r>
    </w:p>
    <w:p>
      <w:pPr>
        <w:pStyle w:val="ListParagraph"/>
        <w:numPr>
          <w:ilvl w:val="0"/>
          <w:numId w:val="1"/>
        </w:numPr>
        <w:spacing w:after="80" w:line="312"/>
        <w:jc w:val="left"/>
      </w:pPr>
      <w:r>
        <w:rPr>
          <w:rFonts w:ascii="Times New Roman" w:eastAsia="SimSun"/>
          <w:color w:val="000000"/>
          <w:sz w:val="24"/>
          <w:szCs w:val="24"/>
        </w:rPr>
        <w:t xml:space="preserve">Post-implementation review at ninety days feeding the continuous improvement backlog.</w:t>
      </w:r>
    </w:p>
    <w:p>
      <w:pPr>
        <w:spacing w:after="120" w:line="312"/>
        <w:jc w:val="left"/>
      </w:pPr>
      <w:r>
        <w:rPr>
          <w:rFonts w:ascii="Times New Roman" w:eastAsia="SimSun"/>
          <w:color w:val="000000"/>
          <w:sz w:val="24"/>
          <w:szCs w:val="24"/>
        </w:rPr>
        <w:t xml:space="preserve">Deliverables: go-live checklist execution, operations manual, service reports, ninety-day review. Gate G8 approves go-live; Gate G9 closes the project on the ninety-day review with lessons recorded.</w:t>
      </w:r>
    </w:p>
    <w:p>
      <w:pPr>
        <w:pStyle w:val="Heading1"/>
        <w:spacing w:after="160" w:before="360" w:line="312"/>
      </w:pPr>
      <w:bookmarkStart w:id="100025" w:name="_Toc100025"/>
      <w:r>
        <w:rPr>
          <w:rFonts w:ascii="Times New Roman" w:eastAsia="SimHei"/>
          <w:b/>
          <w:bCs/>
          <w:color w:val="1A2330"/>
          <w:sz w:val="32"/>
          <w:szCs w:val="32"/>
        </w:rPr>
        <w:t xml:space="preserve">6. Interaction and Governance Model</w:t>
      </w:r>
      <w:bookmarkEnd w:id="100025"/>
    </w:p>
    <w:p>
      <w:pPr>
        <w:spacing w:after="120" w:line="312"/>
        <w:jc w:val="left"/>
      </w:pPr>
      <w:r>
        <w:rPr>
          <w:rFonts w:ascii="Times New Roman" w:eastAsia="SimSun"/>
          <w:color w:val="000000"/>
          <w:sz w:val="24"/>
          <w:szCs w:val="24"/>
        </w:rPr>
        <w:t xml:space="preserve">Smooth interaction is engineered, not hoped for. The mechanism has four parts: stage gates that concentrate decisions at phase boundaries, a fixed working cadence between gates, a decision register that records every choice with its rationale, and a change-control rule that keeps scope honest. The table below is the contract between the project owner and the delivery team; if the owner can answer the questions at each gate, the project cannot drift.</w:t>
      </w:r>
    </w:p>
    <w:p>
      <w:pPr>
        <w:keepNext/>
        <w:spacing w:after="80" w:before="160" w:line="312"/>
      </w:pPr>
      <w:r>
        <w:rPr>
          <w:rFonts w:ascii="Times New Roman" w:eastAsia="SimSun"/>
          <w:b/>
          <w:bCs/>
          <w:color w:val="1A2330"/>
          <w:sz w:val="21"/>
          <w:szCs w:val="21"/>
        </w:rPr>
        <w:t xml:space="preserve">Table 9: Stage gates: what the project owner reviews and approves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Gate</w:t>
            </w:r>
          </w:p>
        </w:tc>
        <w:tc>
          <w:tcPr>
            <w:tcW w:type="pct" w:w="2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When</w:t>
            </w:r>
          </w:p>
        </w:tc>
        <w:tc>
          <w:tcPr>
            <w:tcW w:type="pct" w:w="4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You review</w:t>
            </w:r>
          </w:p>
        </w:tc>
        <w:tc>
          <w:tcPr>
            <w:tcW w:type="pct" w:w="3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You approve or decide</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G0</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End of Phase 0</w:t>
            </w:r>
          </w:p>
        </w:tc>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Charter, this plan, stakeholder map, ambiguity list</w:t>
            </w:r>
          </w:p>
        </w:tc>
        <w:tc>
          <w:tcPr>
            <w:tcW w:type="pct" w:w="3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Approve baseline; confirm official texts to be obtained</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G1</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End of Phase 1</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SRS v1.0 with one-page summary; resolved ambiguities; glossary</w:t>
            </w:r>
          </w:p>
        </w:tc>
        <w:tc>
          <w:tcPr>
            <w:tcW w:type="pct" w:w="3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Approve requirements; sign parameter resolutions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G2</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End of Phase 2</w:t>
            </w:r>
          </w:p>
        </w:tc>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Architecture, database and security design; wireframes</w:t>
            </w:r>
          </w:p>
        </w:tc>
        <w:tc>
          <w:tcPr>
            <w:tcW w:type="pct" w:w="3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Approve designs; prioritize any wireframe changes</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G3</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End of Phase 3</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Environments walkthrough; seeded hierarchy and rules</w:t>
            </w:r>
          </w:p>
        </w:tc>
        <w:tc>
          <w:tcPr>
            <w:tcW w:type="pct" w:w="3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Accept environments; confirm configuration values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G4</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After each sprint and at sprint 7</w:t>
            </w:r>
          </w:p>
        </w:tc>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Increment demo against use cases; sprint test summary</w:t>
            </w:r>
          </w:p>
        </w:tc>
        <w:tc>
          <w:tcPr>
            <w:tcW w:type="pct" w:w="3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Accept increment; reprioritize backlog if needed</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G5</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End of Phase 5</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Test reports; compliance matrix; security assessment</w:t>
            </w:r>
          </w:p>
        </w:tc>
        <w:tc>
          <w:tcPr>
            <w:tcW w:type="pct" w:w="3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Accept test evidence; authorize UAT start</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G6</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End of Phase 6</w:t>
            </w:r>
          </w:p>
        </w:tc>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 results; legal validation memorandum; defect log</w:t>
            </w:r>
          </w:p>
        </w:tc>
        <w:tc>
          <w:tcPr>
            <w:tcW w:type="pct" w:w="3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Sign UAT certificate; authorize migration and pilot</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G7</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End of Phase 7</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Migration reconciliation; training records; pilot report</w:t>
            </w:r>
          </w:p>
        </w:tc>
        <w:tc>
          <w:tcPr>
            <w:tcW w:type="pct" w:w="3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Select go-live waves; confirm readiness</w:t>
            </w:r>
          </w:p>
        </w:tc>
      </w:tr>
      <w:tr>
        <w:trPr>
          <w:cantSplit/>
        </w:trPr>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G8</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Start of Phase 8</w:t>
            </w:r>
          </w:p>
        </w:tc>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Cutover checklist; rollback plan; support arrangements</w:t>
            </w:r>
          </w:p>
        </w:tc>
        <w:tc>
          <w:tcPr>
            <w:tcW w:type="pct" w:w="3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Give go-live order</w:t>
            </w:r>
          </w:p>
        </w:tc>
      </w:tr>
      <w:tr>
        <w:trPr>
          <w:cantSplit/>
        </w:trPr>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G9</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Ninety days after go-live</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Operations reports; ninety-day review; improvement backlog</w:t>
            </w:r>
          </w:p>
        </w:tc>
        <w:tc>
          <w:tcPr>
            <w:tcW w:type="pct" w:w="3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Close project or direct follow-on work</w:t>
            </w:r>
          </w:p>
        </w:tc>
      </w:tr>
    </w:tbl>
    <w:p>
      <w:pPr>
        <w:spacing w:after="120" w:line="312"/>
        <w:jc w:val="left"/>
      </w:pPr>
      <w:r>
        <w:rPr>
          <w:rFonts w:ascii="Times New Roman" w:eastAsia="SimSun"/>
          <w:color w:val="000000"/>
          <w:sz w:val="24"/>
          <w:szCs w:val="24"/>
        </w:rPr>
        <w:t xml:space="preserve">Between gates, the cadence is fixed. Sprint demonstrations occur at each sprint end with a written summary of what changed. Any question that would alter scope, cost or a legal parameter is logged as a decision request rather than resolved informally, and the register records who decided, what was decided, and why. Weekly written status is short and factual: activities done, activities next, risks moved, decisions pending. This rhythm keeps the owner informed without drowning the project in meetings.</w:t>
      </w:r>
    </w:p>
    <w:p>
      <w:pPr>
        <w:spacing w:after="120" w:line="312"/>
        <w:jc w:val="left"/>
      </w:pPr>
      <w:r>
        <w:rPr>
          <w:rFonts w:ascii="Times New Roman" w:eastAsia="SimSun"/>
          <w:color w:val="000000"/>
          <w:sz w:val="24"/>
          <w:szCs w:val="24"/>
        </w:rPr>
        <w:t xml:space="preserve">Change control is deliberately simple. Any change request receives a one-page impact assessment covering effort, schedule, legal effect and risk; the owner approves or rejects it at the next gate or, if urgent, by written circulation. Nothing enters the build without a register entry. Experience shows that this single discipline prevents most disputes, because the cost of every good idea is made visible before it is adopted rather than after.</w:t>
      </w:r>
    </w:p>
    <w:p>
      <w:pPr>
        <w:pStyle w:val="Heading1"/>
        <w:spacing w:after="160" w:before="360" w:line="312"/>
      </w:pPr>
      <w:bookmarkStart w:id="100026" w:name="_Toc100026"/>
      <w:r>
        <w:rPr>
          <w:rFonts w:ascii="Times New Roman" w:eastAsia="SimHei"/>
          <w:b/>
          <w:bCs/>
          <w:color w:val="1A2330"/>
          <w:sz w:val="32"/>
          <w:szCs w:val="32"/>
        </w:rPr>
        <w:t xml:space="preserve">7. Step-by-Step Guide for the Project Owner</w:t>
      </w:r>
      <w:bookmarkEnd w:id="100026"/>
    </w:p>
    <w:p>
      <w:pPr>
        <w:spacing w:after="120" w:line="312"/>
        <w:jc w:val="left"/>
      </w:pPr>
      <w:r>
        <w:rPr>
          <w:rFonts w:ascii="Times New Roman" w:eastAsia="SimSun"/>
          <w:color w:val="000000"/>
          <w:sz w:val="24"/>
          <w:szCs w:val="24"/>
        </w:rPr>
        <w:t xml:space="preserve">This chapter is written directly for you, the project owner. It strips the plan down to the actions only you can take, phase by phase. Nothing here requires technical knowledge; it requires decisions, access, and judgment. If you follow this table in order, the project will never wait on you longer than necessary, and you will never be surprised by a decision you did not know was yours.</w:t>
      </w:r>
    </w:p>
    <w:p>
      <w:pPr>
        <w:keepNext/>
        <w:spacing w:after="80" w:before="160" w:line="312"/>
      </w:pPr>
      <w:r>
        <w:rPr>
          <w:rFonts w:ascii="Times New Roman" w:eastAsia="SimSun"/>
          <w:b/>
          <w:bCs/>
          <w:color w:val="1A2330"/>
          <w:sz w:val="21"/>
          <w:szCs w:val="21"/>
        </w:rPr>
        <w:t xml:space="preserve">Table 10: Project owner actions by phase</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Phase</w:t>
            </w:r>
          </w:p>
        </w:tc>
        <w:tc>
          <w:tcPr>
            <w:tcW w:type="pct" w:w="3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You provide</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You review</w:t>
            </w:r>
          </w:p>
        </w:tc>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You decide</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0</w:t>
            </w:r>
          </w:p>
        </w:tc>
        <w:tc>
          <w:tcPr>
            <w:tcW w:type="pct" w:w="3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Official proclamation, directive and model agreement texts; names of Bureau, sub-city, woreda and IT stakeholders; any budget or deadline constraints</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This implementation plan; the charter</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Approve baseline; appoint product owner; sign G0</w:t>
            </w:r>
          </w:p>
        </w:tc>
      </w:tr>
      <w:tr>
        <w:trPr>
          <w:cantSplit/>
        </w:trPr>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1</w:t>
            </w:r>
          </w:p>
        </w:tc>
        <w:tc>
          <w:tcPr>
            <w:tcW w:type="pct" w:w="3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Answers to the ambiguity list (especially Directive Art. 22 fine ladder); confirmation of city structure: sub-cities and woredas to be configured</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SRS summary; traceability extract; glossary</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Approve SRS; sign each resolved parameter at G1</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2</w:t>
            </w:r>
          </w:p>
        </w:tc>
        <w:tc>
          <w:tcPr>
            <w:tcW w:type="pct" w:w="3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Preferences on interface language order and branding; confirmation of integration partners (bank switch, identification service)</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Architecture summary; wireframes of the registration workflow first</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Approve designs; rank wireframe changes at G2</w:t>
            </w:r>
          </w:p>
        </w:tc>
      </w:tr>
      <w:tr>
        <w:trPr>
          <w:cantSplit/>
        </w:trPr>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3</w:t>
            </w:r>
          </w:p>
        </w:tc>
        <w:tc>
          <w:tcPr>
            <w:tcW w:type="pct" w:w="3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Confirmation of hosting arrangement and responsible IT unit; security policy constraints if any</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Environment walkthrough checklist</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Accept environments; confirm seeded values at G3</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4</w:t>
            </w:r>
          </w:p>
        </w:tc>
        <w:tc>
          <w:tcPr>
            <w:tcW w:type="pct" w:w="3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Attendance at sprint demos or a delegated reviewer; sample legacy documents for realistic testing</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Each sprint demo; sprint summaries</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Accept each increment; reprioritize backlog between sprints</w:t>
            </w:r>
          </w:p>
        </w:tc>
      </w:tr>
      <w:tr>
        <w:trPr>
          <w:cantSplit/>
        </w:trPr>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5</w:t>
            </w:r>
          </w:p>
        </w:tc>
        <w:tc>
          <w:tcPr>
            <w:tcW w:type="pct" w:w="3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Access for testers; agreement on test city-scale workload figures</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Compliance matrix summary; security assessment summary</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Accept test evidence; authorize UAT at G5</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6</w:t>
            </w:r>
          </w:p>
        </w:tc>
        <w:tc>
          <w:tcPr>
            <w:tcW w:type="pct" w:w="3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Nominate role players: at least two registrars, one sub-city monitor, two Bureau analysts, one complaint officer, one committee member</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 daily summaries; legal memorandum</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Sign UAT certificate; authorize pilot at G6</w:t>
            </w:r>
          </w:p>
        </w:tc>
      </w:tr>
      <w:tr>
        <w:trPr>
          <w:cantSplit/>
        </w:trPr>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7</w:t>
            </w:r>
          </w:p>
        </w:tc>
        <w:tc>
          <w:tcPr>
            <w:tcW w:type="pct" w:w="3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Select pilot woredas; instruct offices to cooperate; approve awareness materials</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Migration reconciliation report; pilot weekly notes</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Confirm pilot exit and go-live waves at G7</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8</w:t>
            </w:r>
          </w:p>
        </w:tc>
        <w:tc>
          <w:tcPr>
            <w:tcW w:type="pct" w:w="3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Give the go-live order; announce internally; open support channel</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Cutover checklist; hypercare daily report</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Go-live at G8; close project at G9</w:t>
            </w:r>
          </w:p>
        </w:tc>
      </w:tr>
    </w:tbl>
    <w:p>
      <w:pPr>
        <w:spacing w:after="120" w:line="312"/>
        <w:jc w:val="left"/>
      </w:pPr>
      <w:r>
        <w:rPr>
          <w:rFonts w:ascii="Times New Roman" w:eastAsia="SimSun"/>
          <w:color w:val="000000"/>
          <w:sz w:val="24"/>
          <w:szCs w:val="24"/>
        </w:rPr>
        <w:t xml:space="preserve">Two standing rules make this guide work. First, keep every approval written, even if it is a short message; the decision register will record it verbatim. Second, when you disagree with a recommendation, say so at the gate where it appears; late discoveries are the most expensive kind. The delivery team's obligation in return is that no gate package will exceed one sitting of review, and every package opens with a summary page written in plain language.</w:t>
      </w:r>
    </w:p>
    <w:p>
      <w:pPr>
        <w:pStyle w:val="Heading1"/>
        <w:spacing w:after="160" w:before="360" w:line="312"/>
      </w:pPr>
      <w:bookmarkStart w:id="100027" w:name="_Toc100027"/>
      <w:r>
        <w:rPr>
          <w:rFonts w:ascii="Times New Roman" w:eastAsia="SimHei"/>
          <w:b/>
          <w:bCs/>
          <w:color w:val="1A2330"/>
          <w:sz w:val="32"/>
          <w:szCs w:val="32"/>
        </w:rPr>
        <w:t xml:space="preserve">8. Quality Assurance and Compliance Testing</w:t>
      </w:r>
      <w:bookmarkEnd w:id="100027"/>
    </w:p>
    <w:p>
      <w:pPr>
        <w:spacing w:after="120" w:line="312"/>
        <w:jc w:val="left"/>
      </w:pPr>
      <w:r>
        <w:rPr>
          <w:rFonts w:ascii="Times New Roman" w:eastAsia="SimSun"/>
          <w:color w:val="000000"/>
          <w:sz w:val="24"/>
          <w:szCs w:val="24"/>
        </w:rPr>
        <w:t xml:space="preserve">Quality on this project has two faces: engineering quality, measured by the ISO/IEC 25010 attributes adopted at design time, and legal compliance, measured by the traceability matrix turned into executable tests. Both are planned here. The test approach follows the standard level model, with each level owning clear entry and exit criteria so that no phase can claim success on assertion alone.</w:t>
      </w:r>
    </w:p>
    <w:p>
      <w:pPr>
        <w:pStyle w:val="Heading2"/>
        <w:spacing w:after="120" w:before="240" w:line="312"/>
      </w:pPr>
      <w:bookmarkStart w:id="100028" w:name="_Toc100028"/>
      <w:r>
        <w:rPr>
          <w:rFonts w:ascii="Times New Roman" w:eastAsia="SimHei"/>
          <w:b/>
          <w:bCs/>
          <w:color w:val="1A2330"/>
          <w:sz w:val="28"/>
          <w:szCs w:val="28"/>
        </w:rPr>
        <w:t xml:space="preserve">8.1 Test Levels</w:t>
      </w:r>
      <w:bookmarkEnd w:id="100028"/>
    </w:p>
    <w:p>
      <w:pPr>
        <w:keepNext/>
        <w:spacing w:after="80" w:before="160" w:line="312"/>
      </w:pPr>
      <w:r>
        <w:rPr>
          <w:rFonts w:ascii="Times New Roman" w:eastAsia="SimSun"/>
          <w:b/>
          <w:bCs/>
          <w:color w:val="1A2330"/>
          <w:sz w:val="21"/>
          <w:szCs w:val="21"/>
        </w:rPr>
        <w:t xml:space="preserve">Table 11: Test levels, objectives and exit criteria</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Level</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Objective</w:t>
            </w:r>
          </w:p>
        </w:tc>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Basis</w:t>
            </w:r>
          </w:p>
        </w:tc>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Exit criterion</w:t>
            </w:r>
          </w:p>
        </w:tc>
      </w:tr>
      <w:tr>
        <w:trPr>
          <w:cantSplit/>
        </w:trPr>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Unit</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Each component behaves to specification</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Low-level design; SRS rules</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Agreed coverage reached; all green in pipeline</w:t>
            </w:r>
          </w:p>
        </w:tc>
      </w:tr>
      <w:tr>
        <w:trPr>
          <w:cantSplit/>
        </w:trPr>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Integration</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Modules and external services work together</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Interface specification; sandbox contracts</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All integration cases pass including failure paths</w:t>
            </w:r>
          </w:p>
        </w:tc>
      </w:tr>
      <w:tr>
        <w:trPr>
          <w:cantSplit/>
        </w:trPr>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System</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End-to-end workflows satisfy the SRS</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Use cases UC-L0 to UC-P4</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No open severity-one or severity-two defects</w:t>
            </w:r>
          </w:p>
        </w:tc>
      </w:tr>
      <w:tr>
        <w:trPr>
          <w:cantSplit/>
        </w:trPr>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Security</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Access control, audit and data protection hold</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Threat model; OWASP ASVS checklist</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No unresolved high findings</w:t>
            </w:r>
          </w:p>
        </w:tc>
      </w:tr>
      <w:tr>
        <w:trPr>
          <w:cantSplit/>
        </w:trPr>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Performance</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 and city-scale loads are served within targets</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1 workload assumptions</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Targets met with agreed headroom</w:t>
            </w:r>
          </w:p>
        </w:tc>
      </w:tr>
      <w:tr>
        <w:trPr>
          <w:cantSplit/>
        </w:trPr>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Real roles can execute real work</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 scripts from the use-case catalogue</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Signed UAT certificate</w:t>
            </w:r>
          </w:p>
        </w:tc>
      </w:tr>
      <w:tr>
        <w:trPr>
          <w:cantSplit/>
        </w:trPr>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Compliance</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Every traced legal rule is proven</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Traceability matrix turned into test cases</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Compliance matrix shows no failed rule</w:t>
            </w:r>
          </w:p>
        </w:tc>
      </w:tr>
    </w:tbl>
    <w:p>
      <w:pPr>
        <w:pStyle w:val="Heading2"/>
        <w:spacing w:after="120" w:before="240" w:line="312"/>
      </w:pPr>
      <w:bookmarkStart w:id="100029" w:name="_Toc100029"/>
      <w:r>
        <w:rPr>
          <w:rFonts w:ascii="Times New Roman" w:eastAsia="SimHei"/>
          <w:b/>
          <w:bCs/>
          <w:color w:val="1A2330"/>
          <w:sz w:val="28"/>
          <w:szCs w:val="28"/>
        </w:rPr>
        <w:t xml:space="preserve">8.2 The Legal Compliance Test Matrix</w:t>
      </w:r>
      <w:bookmarkEnd w:id="100029"/>
    </w:p>
    <w:p>
      <w:pPr>
        <w:spacing w:after="120" w:line="312"/>
        <w:jc w:val="left"/>
      </w:pPr>
      <w:r>
        <w:rPr>
          <w:rFonts w:ascii="Times New Roman" w:eastAsia="SimSun"/>
          <w:color w:val="000000"/>
          <w:sz w:val="24"/>
          <w:szCs w:val="24"/>
        </w:rPr>
        <w:t xml:space="preserve">The compliance matrix is the project's signature quality instrument. Each row pairs a legal rule with the system behaviour that proves it, and each rule is tested at least once. The examples below show the pattern; the full matrix is built in Phase 1 and executed in Phase 5.</w:t>
      </w:r>
    </w:p>
    <w:p>
      <w:pPr>
        <w:keepNext/>
        <w:spacing w:after="80" w:before="160" w:line="312"/>
      </w:pPr>
      <w:r>
        <w:rPr>
          <w:rFonts w:ascii="Times New Roman" w:eastAsia="SimSun"/>
          <w:b/>
          <w:bCs/>
          <w:color w:val="1A2330"/>
          <w:sz w:val="21"/>
          <w:szCs w:val="21"/>
        </w:rPr>
        <w:t xml:space="preserve">Table 12: Compliance matrix: example rows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3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rule</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Source</w:t>
            </w:r>
          </w:p>
        </w:tc>
        <w:tc>
          <w:tcPr>
            <w:tcW w:type="pct" w:w="4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System behaviour under test</w:t>
            </w:r>
          </w:p>
        </w:tc>
      </w:tr>
      <w:tr>
        <w:trPr>
          <w:cantSplit/>
        </w:trPr>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An unregistered contract has no validity for evidence</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 Art. 4, 14</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Only registered contracts appear as evidence-grade records; unregistered ones are flagged and fined per the ladder</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Contract term cannot be less than two years</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 Art. 6; Model clause 4(2)</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Contract studio rejects a term below two years with the model's own explanatory note</w:t>
            </w:r>
          </w:p>
        </w:tc>
      </w:tr>
      <w:tr>
        <w:trPr>
          <w:cantSplit/>
        </w:trPr>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Advance payment capped at two months</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 Art. 12</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Advance above two months cannot be recorded; attempt is audited and reported</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Rent paid only by bank or legal electronic means</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 Art. 13</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Ledger accepts only electronic channels; cash attempts raise a flag that feeds the ten-percent fine referral</w:t>
            </w:r>
          </w:p>
        </w:tc>
      </w:tr>
      <w:tr>
        <w:trPr>
          <w:cantSplit/>
        </w:trPr>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Annual adjustment announced June 1, effective June 30</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 Art. 8; Directive Art. 11</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Calendar job publishes the rate on schedule; increases before June 30 are rejected</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Amended contracts registered within thirty days</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 Art. 10; Directive Art. 10</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Deadline engine opens a thirty-day window and escalates on expiry</w:t>
            </w:r>
          </w:p>
        </w:tc>
      </w:tr>
      <w:tr>
        <w:trPr>
          <w:cantSplit/>
        </w:trPr>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Legacy contracts annotated as voluntarily verified</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Directive Art. 8(2)</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Migration path stamps legacy records with the verification note and four-witness data</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Vacancy beyond six months is complaint ground</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 Art. 8(10); Directive Art. 17</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Vacancy tracking opens phantom-rent computation and complaint linkage</w:t>
            </w:r>
          </w:p>
        </w:tc>
      </w:tr>
      <w:tr>
        <w:trPr>
          <w:cantSplit/>
        </w:trPr>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Vacancy tax surcharge in bands five to twenty-five percent</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Directive Art. 22(8)</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Referral computation applies the correct band from the configurable ladder</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Enforcement blocked until a decision is final</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 Arts. 20, 22, 25</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Enforcement gate stays locked through appeal windows and opens only on finality</w:t>
            </w:r>
          </w:p>
        </w:tc>
      </w:tr>
    </w:tbl>
    <w:p>
      <w:pPr>
        <w:pStyle w:val="Heading2"/>
        <w:spacing w:after="120" w:before="240" w:line="312"/>
      </w:pPr>
      <w:bookmarkStart w:id="100030" w:name="_Toc100030"/>
      <w:r>
        <w:rPr>
          <w:rFonts w:ascii="Times New Roman" w:eastAsia="SimHei"/>
          <w:b/>
          <w:bCs/>
          <w:color w:val="1A2330"/>
          <w:sz w:val="28"/>
          <w:szCs w:val="28"/>
        </w:rPr>
        <w:t xml:space="preserve">8.3 Defect Management and Quality Gates</w:t>
      </w:r>
      <w:bookmarkEnd w:id="100030"/>
    </w:p>
    <w:p>
      <w:pPr>
        <w:spacing w:after="120" w:line="312"/>
        <w:jc w:val="left"/>
      </w:pPr>
      <w:r>
        <w:rPr>
          <w:rFonts w:ascii="Times New Roman" w:eastAsia="SimSun"/>
          <w:color w:val="000000"/>
          <w:sz w:val="24"/>
          <w:szCs w:val="24"/>
        </w:rPr>
        <w:t xml:space="preserve">Defects are classified by severity and handled by a fixed rhythm: found, logged, triaged daily during test phases, fixed, and re-tested with evidence. A severity-one defect blocks any gate; a severity-two defect blocks go-live; severity-three and lower enter the improvement backlog with owner and target. Exit criteria are stated per level in the table above, and the final release checklist requires that the compliance matrix, the security assessment, and the UAT certificate are all green. This is how the project keeps its central promise: no legal rule is left to trust; each is demonstrated by a test anyone can re-run.</w:t>
      </w:r>
    </w:p>
    <w:p>
      <w:pPr>
        <w:pStyle w:val="Heading1"/>
        <w:spacing w:after="160" w:before="360" w:line="312"/>
      </w:pPr>
      <w:bookmarkStart w:id="100031" w:name="_Toc100031"/>
      <w:r>
        <w:rPr>
          <w:rFonts w:ascii="Times New Roman" w:eastAsia="SimHei"/>
          <w:b/>
          <w:bCs/>
          <w:color w:val="1A2330"/>
          <w:sz w:val="32"/>
          <w:szCs w:val="32"/>
        </w:rPr>
        <w:t xml:space="preserve">9. Deployment, Data Migration and Tiered Rollout</w:t>
      </w:r>
      <w:bookmarkEnd w:id="100031"/>
    </w:p>
    <w:p>
      <w:pPr>
        <w:pStyle w:val="Heading2"/>
        <w:spacing w:after="120" w:before="240" w:line="312"/>
      </w:pPr>
      <w:bookmarkStart w:id="100032" w:name="_Toc100032"/>
      <w:r>
        <w:rPr>
          <w:rFonts w:ascii="Times New Roman" w:eastAsia="SimHei"/>
          <w:b/>
          <w:bCs/>
          <w:color w:val="1A2330"/>
          <w:sz w:val="28"/>
          <w:szCs w:val="28"/>
        </w:rPr>
        <w:t xml:space="preserve">9.1 Environments and Promotion Path</w:t>
      </w:r>
      <w:bookmarkEnd w:id="100032"/>
    </w:p>
    <w:p>
      <w:pPr>
        <w:spacing w:after="120" w:line="312"/>
        <w:jc w:val="left"/>
      </w:pPr>
      <w:r>
        <w:rPr>
          <w:rFonts w:ascii="Times New Roman" w:eastAsia="SimSun"/>
          <w:color w:val="000000"/>
          <w:sz w:val="24"/>
          <w:szCs w:val="24"/>
        </w:rPr>
        <w:t xml:space="preserve">The platform runs in three managed environments: development, staging and production. Changes move forward only through the pipeline, and the production promotion requires the gate evidence of Phases 5 and 6. Backups follow the custody model of Directive Article 13: at the woreda level both hard and soft holdings exist by law, and the platform adds automated, encrypted backups at every tier with tested restoration. The staging environment carries a masked copy of production data so that training and rehearsals use realistic records without exposing citizens' information.</w:t>
      </w:r>
    </w:p>
    <w:p>
      <w:pPr>
        <w:pStyle w:val="Heading2"/>
        <w:spacing w:after="120" w:before="240" w:line="312"/>
      </w:pPr>
      <w:bookmarkStart w:id="100033" w:name="_Toc100033"/>
      <w:r>
        <w:rPr>
          <w:rFonts w:ascii="Times New Roman" w:eastAsia="SimHei"/>
          <w:b/>
          <w:bCs/>
          <w:color w:val="1A2330"/>
          <w:sz w:val="28"/>
          <w:szCs w:val="28"/>
        </w:rPr>
        <w:t xml:space="preserve">9.2 Rollout Waves</w:t>
      </w:r>
      <w:bookmarkEnd w:id="100033"/>
    </w:p>
    <w:p>
      <w:pPr>
        <w:keepNext/>
        <w:spacing w:after="80" w:before="160" w:line="312"/>
      </w:pPr>
      <w:r>
        <w:rPr>
          <w:rFonts w:ascii="Times New Roman" w:eastAsia="SimSun"/>
          <w:b/>
          <w:bCs/>
          <w:color w:val="1A2330"/>
          <w:sz w:val="21"/>
          <w:szCs w:val="21"/>
        </w:rPr>
        <w:t xml:space="preserve">Table 13: Rollout waves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Wave</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Scope</w:t>
            </w:r>
          </w:p>
        </w:tc>
        <w:tc>
          <w:tcPr>
            <w:tcW w:type="pct" w:w="3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Purpose</w:t>
            </w:r>
          </w:p>
        </w:tc>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Exit signal</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W1</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Pilot woredas selected at G7</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Prove live operation with daily support</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Two stable weeks; cycle-time targets met</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W2</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All woredas of the pilot sub-city</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Validate sub-city aggregation and monitoring</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Replication correct; dashboards reconcile</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W3</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City-wide across Addis Ababa</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Full Bureau operation; city analytics live</w:t>
            </w:r>
          </w:p>
        </w:tc>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All offices transacting; support load steady</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W4</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Second city as configuration instance</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Prove national platform design</w:t>
            </w:r>
          </w:p>
        </w:tc>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Second city onboarded by configuration only</w:t>
            </w:r>
          </w:p>
        </w:tc>
      </w:tr>
    </w:tbl>
    <w:p>
      <w:pPr>
        <w:pStyle w:val="Heading2"/>
        <w:spacing w:after="120" w:before="240" w:line="312"/>
      </w:pPr>
      <w:bookmarkStart w:id="100034" w:name="_Toc100034"/>
      <w:r>
        <w:rPr>
          <w:rFonts w:ascii="Times New Roman" w:eastAsia="SimHei"/>
          <w:b/>
          <w:bCs/>
          <w:color w:val="1A2330"/>
          <w:sz w:val="28"/>
          <w:szCs w:val="28"/>
        </w:rPr>
        <w:t xml:space="preserve">9.3 Legacy Data Migration</w:t>
      </w:r>
      <w:bookmarkEnd w:id="100034"/>
    </w:p>
    <w:p>
      <w:pPr>
        <w:spacing w:after="120" w:line="312"/>
        <w:jc w:val="left"/>
      </w:pPr>
      <w:r>
        <w:rPr>
          <w:rFonts w:ascii="Times New Roman" w:eastAsia="SimSun"/>
          <w:color w:val="000000"/>
          <w:sz w:val="24"/>
          <w:szCs w:val="24"/>
        </w:rPr>
        <w:t xml:space="preserve">Migration converts the paper inheritance of the rent system into governed data. Legacy contracts are entered through the same verification discipline as new ones, with the annotation that Directive Article 8(2) prescribes for contracts made before the proclamation: a note that the parties appeared and the contract was verified, together with the four-witness data where applicable. Documents are scanned and attached, counts are reconciled against the registry books, and discrepancies are logged and resolved before the wave that covers the originating office. Dual running is used where an office transitions: the paper registry continues until reconciliation proves the digital record complete, exactly as the directive's hard-and-soft custody expects.</w:t>
      </w:r>
    </w:p>
    <w:p>
      <w:pPr>
        <w:pStyle w:val="Heading2"/>
        <w:spacing w:after="120" w:before="240" w:line="312"/>
      </w:pPr>
      <w:bookmarkStart w:id="100035" w:name="_Toc100035"/>
      <w:r>
        <w:rPr>
          <w:rFonts w:ascii="Times New Roman" w:eastAsia="SimHei"/>
          <w:b/>
          <w:bCs/>
          <w:color w:val="1A2330"/>
          <w:sz w:val="28"/>
          <w:szCs w:val="28"/>
        </w:rPr>
        <w:t xml:space="preserve">9.4 Training by Role and Tier</w:t>
      </w:r>
      <w:bookmarkEnd w:id="100035"/>
    </w:p>
    <w:p>
      <w:pPr>
        <w:keepNext/>
        <w:spacing w:after="80" w:before="160" w:line="312"/>
      </w:pPr>
      <w:r>
        <w:rPr>
          <w:rFonts w:ascii="Times New Roman" w:eastAsia="SimSun"/>
          <w:b/>
          <w:bCs/>
          <w:color w:val="1A2330"/>
          <w:sz w:val="21"/>
          <w:szCs w:val="21"/>
        </w:rPr>
        <w:t xml:space="preserve">Table 14: Training plan</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2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Audience</w:t>
            </w:r>
          </w:p>
        </w:tc>
        <w:tc>
          <w:tcPr>
            <w:tcW w:type="pct" w:w="2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Tier</w:t>
            </w:r>
          </w:p>
        </w:tc>
        <w:tc>
          <w:tcPr>
            <w:tcW w:type="pct" w:w="5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Focus</w:t>
            </w:r>
          </w:p>
        </w:tc>
      </w:tr>
      <w:tr>
        <w:trPr>
          <w:cantSplit/>
        </w:trPr>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Registrars and front-desk officers</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w:t>
            </w:r>
          </w:p>
        </w:tc>
        <w:tc>
          <w:tcPr>
            <w:tcW w:type="pct" w:w="5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Checklist operation, certification acts, interpreter flow, stamping desk, corrections</w:t>
            </w:r>
          </w:p>
        </w:tc>
      </w:tr>
      <w:tr>
        <w:trPr>
          <w:cantSplit/>
        </w:trPr>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Control and complaint officers</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w:t>
            </w:r>
          </w:p>
        </w:tc>
        <w:tc>
          <w:tcPr>
            <w:tcW w:type="pct" w:w="5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Complaint intake, grounds checklist, investigation, decision recording, team control</w:t>
            </w:r>
          </w:p>
        </w:tc>
      </w:tr>
      <w:tr>
        <w:trPr>
          <w:cantSplit/>
        </w:trPr>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Sub-city monitors</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Sub-city</w:t>
            </w:r>
          </w:p>
        </w:tc>
        <w:tc>
          <w:tcPr>
            <w:tcW w:type="pct" w:w="5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Dashboards, aggregation review, escalation to Bureau</w:t>
            </w:r>
          </w:p>
        </w:tc>
      </w:tr>
      <w:tr>
        <w:trPr>
          <w:cantSplit/>
        </w:trPr>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analysts and heads</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w:t>
            </w:r>
          </w:p>
        </w:tc>
        <w:tc>
          <w:tcPr>
            <w:tcW w:type="pct" w:w="5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Adjustment study workspace, June publication, model contract versioning, penalty referral</w:t>
            </w:r>
          </w:p>
        </w:tc>
      </w:tr>
      <w:tr>
        <w:trPr>
          <w:cantSplit/>
        </w:trPr>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System administrators</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IT unit</w:t>
            </w:r>
          </w:p>
        </w:tc>
        <w:tc>
          <w:tcPr>
            <w:tcW w:type="pct" w:w="5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Configuration sets, user and role management, backup and restoration, audit review</w:t>
            </w:r>
          </w:p>
        </w:tc>
      </w:tr>
      <w:tr>
        <w:trPr>
          <w:cantSplit/>
        </w:trPr>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Public awareness</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Citizens</w:t>
            </w:r>
          </w:p>
        </w:tc>
        <w:tc>
          <w:tcPr>
            <w:tcW w:type="pct" w:w="5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What a valid contract is, electronic payment duty, how to complain safely</w:t>
            </w:r>
          </w:p>
        </w:tc>
      </w:tr>
    </w:tbl>
    <w:p>
      <w:pPr>
        <w:pStyle w:val="Heading2"/>
        <w:spacing w:after="120" w:before="240" w:line="312"/>
      </w:pPr>
      <w:bookmarkStart w:id="100036" w:name="_Toc100036"/>
      <w:r>
        <w:rPr>
          <w:rFonts w:ascii="Times New Roman" w:eastAsia="SimHei"/>
          <w:b/>
          <w:bCs/>
          <w:color w:val="1A2330"/>
          <w:sz w:val="28"/>
          <w:szCs w:val="28"/>
        </w:rPr>
        <w:t xml:space="preserve">9.5 Cutover Checklist</w:t>
      </w:r>
      <w:bookmarkEnd w:id="100036"/>
    </w:p>
    <w:p>
      <w:pPr>
        <w:spacing w:after="120" w:line="312"/>
        <w:jc w:val="left"/>
      </w:pPr>
      <w:r>
        <w:rPr>
          <w:rFonts w:ascii="Times New Roman" w:eastAsia="SimSun"/>
          <w:color w:val="000000"/>
          <w:sz w:val="24"/>
          <w:szCs w:val="24"/>
        </w:rPr>
        <w:t xml:space="preserve">The go-live order at Gate G8 is given only when the cutover checklist is fully green. The checklist covers: final data reconciliation for the wave; training completion for the wave's offices; support roster and escalation tree staffed; rollback plan rehearsed in staging; announcement and awareness materials distributed; configuration frozen; backup and restore verified on production; and the hypercare schedule signed. Each item carries an owner and evidence, so the go-live decision is a review of facts rather than an act of faith.</w:t>
      </w:r>
    </w:p>
    <w:p>
      <w:pPr>
        <w:pStyle w:val="Heading1"/>
        <w:spacing w:after="160" w:before="360" w:line="312"/>
      </w:pPr>
      <w:bookmarkStart w:id="100037" w:name="_Toc100037"/>
      <w:r>
        <w:rPr>
          <w:rFonts w:ascii="Times New Roman" w:eastAsia="SimHei"/>
          <w:b/>
          <w:bCs/>
          <w:color w:val="1A2330"/>
          <w:sz w:val="32"/>
          <w:szCs w:val="32"/>
        </w:rPr>
        <w:t xml:space="preserve">10. Timeline, Milestones and Risk Register</w:t>
      </w:r>
      <w:bookmarkEnd w:id="100037"/>
    </w:p>
    <w:p>
      <w:pPr>
        <w:pStyle w:val="Heading2"/>
        <w:spacing w:after="120" w:before="240" w:line="312"/>
      </w:pPr>
      <w:bookmarkStart w:id="100038" w:name="_Toc100038"/>
      <w:r>
        <w:rPr>
          <w:rFonts w:ascii="Times New Roman" w:eastAsia="SimHei"/>
          <w:b/>
          <w:bCs/>
          <w:color w:val="1A2330"/>
          <w:sz w:val="28"/>
          <w:szCs w:val="28"/>
        </w:rPr>
        <w:t xml:space="preserve">10.1 Indicative Schedule</w:t>
      </w:r>
      <w:bookmarkEnd w:id="100038"/>
    </w:p>
    <w:p>
      <w:pPr>
        <w:spacing w:after="120" w:line="312"/>
        <w:jc w:val="left"/>
      </w:pPr>
      <w:r>
        <w:rPr>
          <w:rFonts w:ascii="Times New Roman" w:eastAsia="SimSun"/>
          <w:color w:val="000000"/>
          <w:sz w:val="24"/>
          <w:szCs w:val="24"/>
        </w:rPr>
        <w:t xml:space="preserve">The durations below are planning estimates to be fixed at Gate G0 once staffing and office availability are known. They are included so that the sequence and relative weight of phases are visible now. No duration here is a commitment; the schedule baseline produced in Phase 0 is the commitment.</w:t>
      </w:r>
    </w:p>
    <w:p>
      <w:pPr>
        <w:keepNext/>
        <w:spacing w:after="80" w:before="160" w:line="312"/>
      </w:pPr>
      <w:r>
        <w:rPr>
          <w:rFonts w:ascii="Times New Roman" w:eastAsia="SimSun"/>
          <w:b/>
          <w:bCs/>
          <w:color w:val="1A2330"/>
          <w:sz w:val="21"/>
          <w:szCs w:val="21"/>
        </w:rPr>
        <w:t xml:space="preserve">Table 15: Indicative phase schedule</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Phase</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Indicative duration</w:t>
            </w:r>
          </w:p>
        </w:tc>
        <w:tc>
          <w:tcPr>
            <w:tcW w:type="pct" w:w="4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Milestone at exit</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0 Initiation</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 weeks</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M0: charter and plan approved</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1 Requirements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 weeks</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 SRS and traceability approved</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2 Design</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 weeks</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M2: architecture and designs approved</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3 Environments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 weeks</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M3: pipelines and seeded configuration live</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4 Construction</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 to 14 weeks (7 sprints)</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 functionally complete platform demonstrated</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5 Testing</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 weeks</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M5: compliance and security evidence accepted</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6 UAT and legal validation</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 weeks</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M6: UAT certificate signed</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7 Migration and pilot</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 weeks</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M7: pilot exit approved</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8 Go-live and operations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Rolling waves; hypercare 4 weeks; review at 90 days</w:t>
            </w:r>
          </w:p>
        </w:tc>
        <w:tc>
          <w:tcPr>
            <w:tcW w:type="pct" w:w="4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M8 go-live; M9 project closure</w:t>
            </w:r>
          </w:p>
        </w:tc>
      </w:tr>
    </w:tbl>
    <w:p>
      <w:pPr>
        <w:pStyle w:val="Heading2"/>
        <w:spacing w:after="120" w:before="240" w:line="312"/>
      </w:pPr>
      <w:bookmarkStart w:id="100039" w:name="_Toc100039"/>
      <w:r>
        <w:rPr>
          <w:rFonts w:ascii="Times New Roman" w:eastAsia="SimHei"/>
          <w:b/>
          <w:bCs/>
          <w:color w:val="1A2330"/>
          <w:sz w:val="28"/>
          <w:szCs w:val="28"/>
        </w:rPr>
        <w:t xml:space="preserve">10.2 Risk Register</w:t>
      </w:r>
      <w:bookmarkEnd w:id="100039"/>
    </w:p>
    <w:p>
      <w:pPr>
        <w:spacing w:after="120" w:line="312"/>
        <w:jc w:val="left"/>
      </w:pPr>
      <w:r>
        <w:rPr>
          <w:rFonts w:ascii="Times New Roman" w:eastAsia="SimSun"/>
          <w:color w:val="000000"/>
          <w:sz w:val="24"/>
          <w:szCs w:val="24"/>
        </w:rPr>
        <w:t xml:space="preserve">Risks are managed openly: each has an owner, a mitigation already built into the plan, and a review at every gate. The register below holds the ten risks judged most consequential at this stage; Phase 0 extends it with likelihood and impact scoring agreed with the stakeholders.</w:t>
      </w:r>
    </w:p>
    <w:p>
      <w:pPr>
        <w:keepNext/>
        <w:spacing w:after="80" w:before="160" w:line="312"/>
      </w:pPr>
      <w:r>
        <w:rPr>
          <w:rFonts w:ascii="Times New Roman" w:eastAsia="SimSun"/>
          <w:b/>
          <w:bCs/>
          <w:color w:val="1A2330"/>
          <w:sz w:val="21"/>
          <w:szCs w:val="21"/>
        </w:rPr>
        <w:t xml:space="preserve">Table 16: Risk register (top ten)</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Risk</w:t>
            </w:r>
          </w:p>
        </w:tc>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Likelihood</w:t>
            </w:r>
          </w:p>
        </w:tc>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Impact</w:t>
            </w:r>
          </w:p>
        </w:tc>
        <w:tc>
          <w:tcPr>
            <w:tcW w:type="pct" w:w="4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Mitigation built into this plan</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Legal parameter ambiguity (fine ladder, dates) misread from scanned text</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Medium</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High</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1 verification against official texts; parameters configurable, not coded; decision register records each value</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Low digital familiarity at some woreda offices</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Medium</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High</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Role-based hands-on training; pilot wave before city-wide rollout; registrar workbench mirrors paper checklist</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Connectivity or power interruptions at woreda level</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Medium</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Medium</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Offline-tolerant workbench design considered in Phase 2; tier-level backups per Directive Art. 13</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Bank and electronic payment integration delays</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Medium</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High</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Early sandbox engagement in Phase 3; payment ledger isolated behind interfaces; fallback manual reconciliation flagged for audit</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Legacy registry data quality poor or incomplete</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High</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Medium</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Migration with reconciliation counts; discrepancy log; dual running until balanced</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Resistance from parts of the landlord community</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Medium</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Medium</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Public awareness duty executed per Arts. 14 and 16; incentives for lawful landlords surfaced in the platform</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Scope creep from well-meant additions</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Medium</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Medium</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Change control with one-page impact assessment; decision register; gate approvals</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Single-team or single-vendor dependence</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Low</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High</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Full documentation set as gate deliverables; configuration over code; handover operations manual</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Security breach or data exposure</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Low</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High</w:t>
            </w:r>
          </w:p>
        </w:tc>
        <w:tc>
          <w:tcPr>
            <w:tcW w:type="pct" w:w="4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OWASP ASVS testing; tier-scoped access; encryption; immutable audit log; incident runbook</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Pilot woreda unrepresentative, giving false confidence</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Medium</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Medium</w:t>
            </w:r>
          </w:p>
        </w:tc>
        <w:tc>
          <w:tcPr>
            <w:tcW w:type="pct" w:w="4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Pilot selection at G7 includes at least one high-volume and one low-volume woreda</w:t>
            </w:r>
          </w:p>
        </w:tc>
      </w:tr>
    </w:tbl>
    <w:p>
      <w:pPr>
        <w:pStyle w:val="Heading1"/>
        <w:spacing w:after="160" w:before="360" w:line="312"/>
      </w:pPr>
      <w:bookmarkStart w:id="100040" w:name="_Toc100040"/>
      <w:r>
        <w:rPr>
          <w:rFonts w:ascii="Times New Roman" w:eastAsia="SimHei"/>
          <w:b/>
          <w:bCs/>
          <w:color w:val="1A2330"/>
          <w:sz w:val="32"/>
          <w:szCs w:val="32"/>
        </w:rPr>
        <w:t xml:space="preserve">11. Master Activity Checklist</w:t>
      </w:r>
      <w:bookmarkEnd w:id="100040"/>
    </w:p>
    <w:p>
      <w:pPr>
        <w:spacing w:after="120" w:line="312"/>
        <w:jc w:val="left"/>
      </w:pPr>
      <w:r>
        <w:rPr>
          <w:rFonts w:ascii="Times New Roman" w:eastAsia="SimSun"/>
          <w:color w:val="000000"/>
          <w:sz w:val="24"/>
          <w:szCs w:val="24"/>
        </w:rPr>
        <w:t xml:space="preserve">This checklist is the single list to follow. It consolidates every activity from the phases, gates, testing, migration and rollout discussions into one numbered sequence, so that nothing agreed in this engagement can be lost. Each activity names its phase and its concrete output; the output is what the gate reviews.</w:t>
      </w:r>
    </w:p>
    <w:p>
      <w:pPr>
        <w:keepNext/>
        <w:spacing w:after="80" w:before="160" w:line="312"/>
      </w:pPr>
      <w:r>
        <w:rPr>
          <w:rFonts w:ascii="Times New Roman" w:eastAsia="SimSun"/>
          <w:b/>
          <w:bCs/>
          <w:color w:val="1A2330"/>
          <w:sz w:val="21"/>
          <w:szCs w:val="21"/>
        </w:rPr>
        <w:t xml:space="preserve">Table 17: Master activity checklist</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9%"/>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Activity</w:t>
            </w:r>
          </w:p>
        </w:tc>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Phase</w:t>
            </w:r>
          </w:p>
        </w:tc>
        <w:tc>
          <w:tcPr>
            <w:tcW w:type="pct" w:w="2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Output</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A-01</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Confirm the three legal instruments as binding baseline and obtain official Amharic texts</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P0</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Baseline confirmation note</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A-02</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Appoint project owner, product owner and tier stakeholders</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P0</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Stakeholder map</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A-03</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Approve implementation plan and project charter</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P0</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Signed charter, this plan v1.0</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A-04</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Stand up workspace, repositories and decision register</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P0</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Collaboration environment</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A-05</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Reconcile proclamation, directive and model agreement into one requirement set</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P1</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Requirement set v1.0</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A-06</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Resolve flagged ambiguities, especially Directive Art. 22 fine ladder</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P1</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Resolved-parameter log</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A-07</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Build bilingual EN and Amharic terminology glossary</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P1</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Glossary</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A-08</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Write SRS to ISO/IEC/IEEE 29148 with unique identifiers</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P1</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SRS v1.0</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A-09</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Build article-requirement-module-use case-test traceability matrix</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P1</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Traceability matrix v1.0</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A-10</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Design high-level architecture for public portal, registrar workbench, tier consoles and Ministry analytics</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P2</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Architecture specification</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A-11</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Design database schema across parties to audit log</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P2</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Database design</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A-12</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Design security: tier-scoped RBAC, encryption, immutable audit</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P2</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Security and threat model</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A-13</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Design bilingual interfaces against model contract fields and checklist screens</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P2</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Wireframe pack</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A-14</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Specify integration services: bank and e-payment, identification, notifications</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P2</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Interface specification</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A-15</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Provision development, staging and production environments with tier backups</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P3</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Environment inventory</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A-16</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Build CI/CD pipelines with staged promotion and release tagging</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P3</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Pipeline documentation</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A-17</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Seed configuration: hierarchy, roles, identification catalogues, statuses, model contract v1, penalty ladder, June calendar</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P3</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Seeded configuration</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A-18</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Sprint 1: build organization hierarchy, roles and party onboarding</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P4</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Increment 1 demo</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A-19</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Sprint 2: build property registry with status and exemption clocks; model contract studio</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P4</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Increment 2 demo</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A-20</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Sprint 3: build registration and certification workflow with checklist, interpreter flow, stamping, numbering, legacy annotation</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P4</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Increment 3 demo</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A-21</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Sprint 4: build adjustment engine with June calendar; payment ledger with cash flagging</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P4</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Increment 4 demo</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A-22</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Sprint 5: build complaint intake, dispute pipeline and deadline engine</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P4</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Increment 5 demo</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A-23</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Sprint 6: build control teams, vacancy monitoring, penalty ladder, referrals and court tracking</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P4</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Increment 6 demo</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A-24</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Sprint 7: build replication, backup, dashboards, aggregation and publication feed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P4</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Increment 7 demo; functional completeness</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A-25</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Run integration tests with bank sandbox and identification service including failure paths</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P5</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Integration report</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A-26</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Run system and regression testing against use cases</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P5</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System test report</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A-27</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Run performance tests at woreda and city-scale loads</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P5</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Performance report</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A-28</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Run security testing to the agreed OWASP ASVS level</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P5</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Security assessment</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A-29</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Execute the legal compliance test matrix for every traced article</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P5</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Compliance matrix with results</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A-30</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Prepare UAT scripts from the twenty-one use cases</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P6</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 script pack</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A-31</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Run role-based UAT with nominated role players</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P6</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 results</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A-32</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Hold legal validation walkthrough of the compliance matrix with Bureau experts</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P6</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Legal validation memorandum</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A-33</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Triage and fix UAT defects; re-test with evidence</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P6</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Closed defect log</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A-34</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Obtain signed UAT certificate</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P6</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 certificate</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A-35</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Migrate legacy contracts with Article 8(2) annotation and four-witness data</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P7</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Migration dataset</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A-36</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Scan and attach legacy documents; reconcile against registry books</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P7</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Reconciliation report</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A-37</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Deliver role-based training across woreda, sub-city, Bureau and IT</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P7</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Training records</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A-38</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Prepare public awareness materials per Arts. 14 and 16</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P7</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Awareness pack</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A-39</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Operate pilot woredas with daily support and measures</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P7</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Pilot exit report</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A-40</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Select go-live waves and confirm readiness at G7</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P7</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Wave plan</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A-41</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Execute cutover checklist and give go-live order</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P8</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Go-live record</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A-42</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Run hypercare support with daily reporting</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P8</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Hypercare reports</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A-43</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Operate the annual adjustment cycle: study, June 1 publication, June 30 effect, amendment wave</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P8</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First-cycle operation record</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A-44</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Operate penalty referrals and court-recovery tracking with competent bodies</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P8</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Referral and recovery records</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A-45</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Publish national data to the Ministry feed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P8</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Publication record</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A-46</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Hand over operations manual and runbook; close hypercare</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P8</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Signed handover</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A-47</w:t>
            </w:r>
          </w:p>
        </w:tc>
        <w:tc>
          <w:tcPr>
            <w:tcW w:type="pct" w:w="5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Conduct ninety-day post-implementation review</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P8</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PIR report and backlog</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A-48</w:t>
            </w:r>
          </w:p>
        </w:tc>
        <w:tc>
          <w:tcPr>
            <w:tcW w:type="pct" w:w="5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Close project at Gate G9 with lessons recorded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P8</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Closure minute</w:t>
            </w:r>
          </w:p>
        </w:tc>
      </w:tr>
    </w:tbl>
    <w:p>
      <w:pPr>
        <w:pStyle w:val="Heading1"/>
        <w:spacing w:after="160" w:before="360" w:line="312"/>
      </w:pPr>
      <w:bookmarkStart w:id="100041" w:name="_Toc100041"/>
      <w:r>
        <w:rPr>
          <w:rFonts w:ascii="Times New Roman" w:eastAsia="SimHei"/>
          <w:b/>
          <w:bCs/>
          <w:color w:val="1A2330"/>
          <w:sz w:val="32"/>
          <w:szCs w:val="32"/>
        </w:rPr>
        <w:t xml:space="preserve">12. Appendix A: Legal Traceability Matrix and Glossary</w:t>
      </w:r>
      <w:bookmarkEnd w:id="100041"/>
    </w:p>
    <w:p>
      <w:pPr>
        <w:pStyle w:val="Heading2"/>
        <w:spacing w:after="120" w:before="240" w:line="312"/>
      </w:pPr>
      <w:bookmarkStart w:id="100042" w:name="_Toc100042"/>
      <w:r>
        <w:rPr>
          <w:rFonts w:ascii="Times New Roman" w:eastAsia="SimHei"/>
          <w:b/>
          <w:bCs/>
          <w:color w:val="1A2330"/>
          <w:sz w:val="28"/>
          <w:szCs w:val="28"/>
        </w:rPr>
        <w:t xml:space="preserve">12.1 Traceability Matrix (Summary View)</w:t>
      </w:r>
      <w:bookmarkEnd w:id="100042"/>
    </w:p>
    <w:p>
      <w:pPr>
        <w:spacing w:after="120" w:line="312"/>
        <w:jc w:val="left"/>
      </w:pPr>
      <w:r>
        <w:rPr>
          <w:rFonts w:ascii="Times New Roman" w:eastAsia="SimSun"/>
          <w:color w:val="000000"/>
          <w:sz w:val="24"/>
          <w:szCs w:val="24"/>
        </w:rPr>
        <w:t xml:space="preserve">The full matrix lives with the SRS and is maintained from Phase 1 onward; the summary below shows the mapping pattern by article range so that coverage of the law is visible at a glance. Every row of the full matrix carries the requirement identifier, the design element, and the test case that proves it.</w:t>
      </w:r>
    </w:p>
    <w:p>
      <w:pPr>
        <w:keepNext/>
        <w:spacing w:after="80" w:before="160" w:line="312"/>
      </w:pPr>
      <w:r>
        <w:rPr>
          <w:rFonts w:ascii="Times New Roman" w:eastAsia="SimSun"/>
          <w:b/>
          <w:bCs/>
          <w:color w:val="1A2330"/>
          <w:sz w:val="21"/>
          <w:szCs w:val="21"/>
        </w:rPr>
        <w:t xml:space="preserve">Table 18: Legal source to module mapping</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Articles</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Modules</w:t>
            </w:r>
          </w:p>
        </w:tc>
        <w:tc>
          <w:tcPr>
            <w:tcW w:type="pct" w:w="3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 group</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Scope and definitions</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 3</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M2, M13</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Scope engine, status classification, exclusions</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Contract form, registration, validity</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4, 5; Dir. Art. 4 to 9</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M3, M4</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Contract studio, registration and certification workflow</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Term, renewal, legacy migration</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6, 7; Dir. Art. 10</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M3, M4, M12</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Term rules, amendments, thirty-day windows</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Price control and adjustment</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 to 11; Dir. Art. 11</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M5</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Ceiling computation, June calendar, increase validation</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Exemptions and incentives</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9, 10</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M2, M5</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Exemption clocks, false-information guard</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Payment discipline</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12 to 14; Dir. Art. 16(4)</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M6</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Electronic ledger, cash flagging, evidentiary pairing</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Institutions and duties</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18, 19; Dir. Art. 14 to 16</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M11, M13</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Tier consoles, aggregation, configuration</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Complaints, appeals, decisions</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20 to 26; Dir. Art. 17 to 19</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M8, M12</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Intake, investigation, committee appeal, court clock</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Control and enforcement</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20; Dir. Art. 20 to 22</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M7, M9</w:t>
            </w:r>
          </w:p>
        </w:tc>
        <w:tc>
          <w:tcPr>
            <w:tcW w:type="pct" w:w="3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Team control, vacancy bands, referrals, recovery</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Data custody and security</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12, 13</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M10</w:t>
            </w:r>
          </w:p>
        </w:tc>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Corrections, scanning, replication, backup</w:t>
            </w:r>
          </w:p>
        </w:tc>
      </w:tr>
    </w:tbl>
    <w:p>
      <w:pPr>
        <w:pStyle w:val="Heading2"/>
        <w:spacing w:after="120" w:before="240" w:line="312"/>
      </w:pPr>
      <w:bookmarkStart w:id="100043" w:name="_Toc100043"/>
      <w:r>
        <w:rPr>
          <w:rFonts w:ascii="Times New Roman" w:eastAsia="SimHei"/>
          <w:b/>
          <w:bCs/>
          <w:color w:val="1A2330"/>
          <w:sz w:val="28"/>
          <w:szCs w:val="28"/>
        </w:rPr>
        <w:t xml:space="preserve">12.2 Glossary</w:t>
      </w:r>
      <w:bookmarkEnd w:id="100043"/>
    </w:p>
    <w:p>
      <w:pPr>
        <w:keepNext/>
        <w:spacing w:after="80" w:before="160" w:line="312"/>
      </w:pPr>
      <w:r>
        <w:rPr>
          <w:rFonts w:ascii="Times New Roman" w:eastAsia="SimSun"/>
          <w:b/>
          <w:bCs/>
          <w:color w:val="1A2330"/>
          <w:sz w:val="21"/>
          <w:szCs w:val="21"/>
        </w:rPr>
        <w:t xml:space="preserve">Table 19: Key terms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tblGrid>
      <w:tr>
        <w:trPr>
          <w:cantSplit/>
          <w:tblHeader/>
        </w:trPr>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Term</w:t>
            </w:r>
          </w:p>
        </w:tc>
        <w:tc>
          <w:tcPr>
            <w:tcW w:type="pct" w:w="7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Meaning in this project</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Akeray (landlord)</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party that lets a residential house; onboarding actor of module M1</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Tekeray (tenant)</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party that rents a residential house; payer in the electronic ledger</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Residential House Rent Control and Administration Proclamation No. 1320/2016</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Directive</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Addis Ababa City Directive No. 7/2016 issued under Proclamation Article 29(2)</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Model agreement</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standard rental contract annexed to the directive and digitized in module M3</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city Housing Development and Administration Bureau; the Regulatory Body head for Addis Ababa</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Sub-city office</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intermediate housing office that aggregates woreda data and monitors implementation</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 office</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registration front desk: verification, certification, stamping, complaints, penalties</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Registry book</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uniform numbered hard-copy register kept in every woreda alongside the database</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Regulatory Body</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Collectively, the Bureau and the offices empowered to control rent contracts and prices</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Legacy contract</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 rental contract concluded before the proclamation took effect, registered with the Article 8(2) annotation</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Adjustment rate</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annual permitted rent increase published on June 1 with effect from June 30</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color w:val="808080"/>
        <w:sz w:val="18"/>
        <w:szCs w:val="18"/>
      </w:rPr>
      <w:t xml:space="preserve">Rent Control and Administration System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23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House Rent Control and Administration System - Implementation Plan</dc:title>
  <dc:creator>Rent Control and Administration System Project</dc:creator>
  <cp:lastModifiedBy>Un-named</cp:lastModifiedBy>
  <cp:revision>1</cp:revision>
  <dcterms:created xsi:type="dcterms:W3CDTF">2026-09-08T05:02:51.626Z</dcterms:created>
  <dcterms:modified xsi:type="dcterms:W3CDTF">2026-09-08T05:02:51.627Z</dcterms:modified>
</cp:coreProperties>
</file>

<file path=docProps/custom.xml><?xml version="1.0" encoding="utf-8"?>
<Properties xmlns="http://schemas.openxmlformats.org/officeDocument/2006/custom-properties" xmlns:vt="http://schemas.openxmlformats.org/officeDocument/2006/docPropsVTypes"/>
</file>