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588"/>
            </w:pPr>
          </w:p>
          <w:p>
            <w:pPr>
              <w:pBdr>
                <w:bottom w:val="single" w:color="D4875A" w:sz="6" w:space="8"/>
              </w:pBdr>
              <w:spacing w:after="500"/>
              <w:ind w:left="1200" w:right="800"/>
            </w:pPr>
            <w:r>
              <w:rPr>
                <w:rFonts w:ascii="Calibri" w:eastAsia="SimHei"/>
                <w:color w:val="D4875A"/>
                <w:spacing w:val="40"/>
                <w:sz w:val="18"/>
                <w:szCs w:val="18"/>
              </w:rPr>
              <w:t xml:space="preserve">P  H  A  S  E     1     D  E  L  I  V  E  R  A  B  L  E</w:t>
            </w:r>
          </w:p>
          <w:p>
            <w:pPr>
              <w:spacing w:after="100" w:line="920" w:lineRule="atLeast"/>
              <w:ind w:left="1200" w:right="800"/>
            </w:pPr>
            <w:r>
              <w:rPr>
                <w:rFonts w:ascii="Arial" w:eastAsia="SimHei"/>
                <w:b/>
                <w:bCs/>
                <w:color w:val="FFFFFF"/>
                <w:sz w:val="80"/>
                <w:szCs w:val="80"/>
              </w:rPr>
              <w:t xml:space="preserve">Residential House</w:t>
            </w:r>
          </w:p>
          <w:p>
            <w:pPr>
              <w:spacing w:after="100" w:line="920" w:lineRule="atLeast"/>
              <w:ind w:left="1200" w:right="800"/>
            </w:pPr>
            <w:r>
              <w:rPr>
                <w:rFonts w:ascii="Arial" w:eastAsia="SimHei"/>
                <w:b/>
                <w:bCs/>
                <w:color w:val="FFFFFF"/>
                <w:sz w:val="80"/>
                <w:szCs w:val="80"/>
              </w:rPr>
              <w:t xml:space="preserve">Rent Control and</w:t>
            </w:r>
          </w:p>
          <w:p>
            <w:pPr>
              <w:spacing w:after="300" w:line="920" w:lineRule="atLeast"/>
              <w:ind w:left="1200" w:right="800"/>
            </w:pPr>
            <w:r>
              <w:rPr>
                <w:rFonts w:ascii="Arial" w:eastAsia="SimHei"/>
                <w:b/>
                <w:bCs/>
                <w:color w:val="FFFFFF"/>
                <w:sz w:val="80"/>
                <w:szCs w:val="80"/>
              </w:rPr>
              <w:t xml:space="preserve">Administration System</w:t>
            </w:r>
          </w:p>
          <w:p>
            <w:pPr>
              <w:spacing w:after="800" w:line="340" w:lineRule="atLeast"/>
              <w:ind w:left="1200" w:right="800"/>
            </w:pPr>
            <w:r>
              <w:rPr>
                <w:rFonts w:ascii="Arial" w:eastAsia="Microsoft YaHei"/>
                <w:color w:val="B0B8C0"/>
                <w:sz w:val="24"/>
                <w:szCs w:val="24"/>
              </w:rPr>
              <w:t xml:space="preserve">Software Requirements Specification (SRS) - Version 1.0</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13 Modules, 74 Functional Requirements, 12 NFRs, 21 Use Cases</w:t>
            </w:r>
          </w:p>
          <w:p>
            <w:pPr>
              <w:pBdr>
                <w:left w:val="single" w:color="D4875A" w:sz="8" w:space="12"/>
              </w:pBdr>
              <w:spacing w:after="80"/>
              <w:ind w:left="1400" w:right="800"/>
            </w:pPr>
            <w:r>
              <w:rPr>
                <w:rFonts w:ascii="Arial" w:eastAsia="Microsoft YaHei"/>
                <w:color w:val="A8B0B8"/>
                <w:sz w:val="24"/>
                <w:szCs w:val="24"/>
              </w:rPr>
              <w:t xml:space="preserve">Gate: G1 - Requirements Baseline Approval</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588"/>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SRS v1.0</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Project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Definitions and Acronyms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Reference Documents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1.5 Document Conventions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Overall Description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2.1 Product Perspective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2.2 Administrative and Deployment Context (Three-Tier Structure)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Actor Profiles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2.4 Operating Environment</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2.5 Legal and Regulatory Constraints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2.6 Assumptions and Dependencies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3. Functional Requirements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3.1 Module M1 - Organization, User and Access Management</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3.2 Module M2 - Party Registration and Profile Management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3.3 Module M3 - Property Registration and Status Classification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3.4 Module M4 - Contract Management and Registration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3.5 Module M5 - Rent Ceiling and Annual Increase Engine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3.6 Module M6 - Exemption and Incentive Management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3.7 Module M7 - Electronic Payment and Ledger</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3.8 Module M8 - Compliance Monitoring and Inspection</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3.9 Module M9 - Complaint and Case Management</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3.10 Module M10 - Appeals and Committee Hearings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3.11 Module M11 - Enforcement and Penalty Administration</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3.12 Module M12 - Reporting, Analytics and National Data Publication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3.13 Module M13 - System Administration, Security, Audit and Configuration</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4. External Interface Requirements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4.1 User Interfaces</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4.2 Software and Communications Interfaces</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4.3 Hardware Interfaces</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5. Non-Functional Requirements</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6. Use Case Registry</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7. Legal Traceability Matrix</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7.1 Proclamation Coverage</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7.2 Directive Coverage</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7.3 Model Agreement Field Mapping</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8. Data Requirements</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9. Verification and Acceptance Approach</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10. Open Items and Regional Configuration Parameters</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11. Approval and Change Control</w:t>
            </w:r>
            <w:r>
              <w:tab/>
            </w:r>
            <w:r>
              <w:fldChar w:fldCharType="begin"/>
            </w:r>
            <w:r>
              <w:instrText xml:space="preserve"> PAGEREF _Toc100040 \h </w:instrText>
            </w:r>
            <w:r>
              <w:fldChar w:fldCharType="separate"/>
            </w:r>
            <w:r>
              <w:t>14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w:t>
      </w:r>
      <w:bookmarkEnd w:id="100000"/>
    </w:p>
    <w:p>
      <w:pPr>
        <w:spacing w:after="120" w:line="312"/>
        <w:jc w:val="left"/>
      </w:pPr>
      <w:r>
        <w:rPr>
          <w:rFonts w:ascii="Times New Roman" w:eastAsia="SimSun"/>
          <w:color w:val="000000"/>
          <w:sz w:val="24"/>
          <w:szCs w:val="24"/>
        </w:rPr>
        <w:t xml:space="preserve">This Software Requirements Specification (SRS) defines the complete, verifiable functional and non-functional requirements of the Residential House Rent Control and Administration System. It is the Phase 1 deliverable of the approved Hybrid Phase-Gated Incremental implementation plan, and it consolidates every requirement discussed and agreed during the legal analysis, functional requirement definition, and use case modelling activities of this project. The SRS is written so that every single requirement can be traced back to at least one binding legal provision in the Proclamation, the implementing Directive, or the official Model Rental Agreement, which guarantees that the future system cannot drift away from the law during design and construction.</w:t>
      </w:r>
    </w:p>
    <w:p>
      <w:pPr>
        <w:spacing w:after="120" w:line="312"/>
        <w:jc w:val="left"/>
      </w:pPr>
      <w:r>
        <w:rPr>
          <w:rFonts w:ascii="Times New Roman" w:eastAsia="SimSun"/>
          <w:color w:val="000000"/>
          <w:sz w:val="24"/>
          <w:szCs w:val="24"/>
        </w:rPr>
        <w:t xml:space="preserve">The document is the single baseline against which architecture (Phase 2), module construction (Phase 4), and the legal compliance test pack (Phase 5) will be produced. Any later change to a requirement must pass through the change control procedure defined in the implementation plan and must re-confirm the legal source cited here. The primary audience of this SRS is the project owner (the client and designated product owner), the regulatory body business experts who will confirm operational accuracy, and the engineering team that will design, build, and test the system.</w:t>
      </w:r>
    </w:p>
    <w:p>
      <w:pPr>
        <w:pStyle w:val="Heading2"/>
        <w:spacing w:after="120" w:before="240" w:line="312"/>
      </w:pPr>
      <w:bookmarkStart w:id="100001" w:name="_Toc100001"/>
      <w:r>
        <w:rPr>
          <w:rFonts w:ascii="Times New Roman" w:eastAsia="SimHei"/>
          <w:b/>
          <w:bCs/>
          <w:color w:val="1A2330"/>
          <w:sz w:val="28"/>
          <w:szCs w:val="28"/>
        </w:rPr>
        <w:t xml:space="preserve">1.1 Purpose</w:t>
      </w:r>
      <w:bookmarkEnd w:id="100001"/>
    </w:p>
    <w:p>
      <w:pPr>
        <w:spacing w:after="120" w:line="312"/>
        <w:jc w:val="left"/>
      </w:pPr>
      <w:r>
        <w:rPr>
          <w:rFonts w:ascii="Times New Roman" w:eastAsia="SimSun"/>
          <w:color w:val="000000"/>
          <w:sz w:val="24"/>
          <w:szCs w:val="24"/>
        </w:rPr>
        <w:t xml:space="preserve">The purpose of this document is to specify, in verifiable and testable language, what the Rent Control and Administration System must do to fully implement Proclamation No. 1320/2016 and its subsidiary instruments. It translates legal obligations into system capabilities, assigns each capability a unique requirement identifier, and records the exact article numbers that make the capability mandatory. This removes ambiguity between business expectation and engineering interpretation, and it allows the owner to approve requirements one by one at Gate G1.</w:t>
      </w:r>
    </w:p>
    <w:p>
      <w:pPr>
        <w:pStyle w:val="Heading2"/>
        <w:spacing w:after="120" w:before="240" w:line="312"/>
      </w:pPr>
      <w:bookmarkStart w:id="100002" w:name="_Toc100002"/>
      <w:r>
        <w:rPr>
          <w:rFonts w:ascii="Times New Roman" w:eastAsia="SimHei"/>
          <w:b/>
          <w:bCs/>
          <w:color w:val="1A2330"/>
          <w:sz w:val="28"/>
          <w:szCs w:val="28"/>
        </w:rPr>
        <w:t xml:space="preserve">1.2 Project Scope</w:t>
      </w:r>
      <w:bookmarkEnd w:id="100002"/>
    </w:p>
    <w:p>
      <w:pPr>
        <w:spacing w:after="120" w:line="312"/>
        <w:jc w:val="left"/>
      </w:pPr>
      <w:r>
        <w:rPr>
          <w:rFonts w:ascii="Times New Roman" w:eastAsia="SimSun"/>
          <w:color w:val="000000"/>
          <w:sz w:val="24"/>
          <w:szCs w:val="24"/>
        </w:rPr>
        <w:t xml:space="preserve">The system digitalizes the entire regulated residential rental lifecycle: party registration (landlords, tenants, agents), property registration with legal status classification, written contract preparation using the official model agreement, contract certification and registration at the competent woreda office, rent ceiling publication and annual increase administration, exemption clock management for newly built and previously unoccupied houses, electronic payment recording, complaint intake and investigation, committee appeals, administrative penalties and enforcement, tiered data consolidation, and national data publication by the Ministry.</w:t>
      </w:r>
    </w:p>
    <w:p>
      <w:pPr>
        <w:spacing w:after="120" w:line="312"/>
        <w:jc w:val="left"/>
      </w:pPr>
      <w:r>
        <w:rPr>
          <w:rFonts w:ascii="Times New Roman" w:eastAsia="SimSun"/>
          <w:color w:val="000000"/>
          <w:sz w:val="24"/>
          <w:szCs w:val="24"/>
        </w:rPr>
        <w:t xml:space="preserve">In line with Article 3(3) of the Proclamation, the system explicitly excludes hotels, resorts, guest houses, and commercially licensed rental services from its regulatory scope. The system supports the three-tier administrative structure: the Federal Ministry sets policy and publishes national data; regional city administrations (Bureaus) act as regulatory bodies issuing implementation directives and rent adjustments; and sub-city and woreda housing offices deliver front-line registration, inspection, and case handling services to citizens.</w:t>
      </w:r>
    </w:p>
    <w:p>
      <w:pPr>
        <w:pStyle w:val="Heading2"/>
        <w:spacing w:after="120" w:before="240" w:line="312"/>
      </w:pPr>
      <w:bookmarkStart w:id="100003" w:name="_Toc100003"/>
      <w:r>
        <w:rPr>
          <w:rFonts w:ascii="Times New Roman" w:eastAsia="SimHei"/>
          <w:b/>
          <w:bCs/>
          <w:color w:val="1A2330"/>
          <w:sz w:val="28"/>
          <w:szCs w:val="28"/>
        </w:rPr>
        <w:t xml:space="preserve">1.3 Definitions and Acronyms</w:t>
      </w:r>
      <w:bookmarkEnd w:id="100003"/>
    </w:p>
    <w:p>
      <w:pPr>
        <w:keepNext/>
        <w:spacing w:after="80" w:before="160" w:line="312"/>
      </w:pPr>
      <w:r>
        <w:rPr>
          <w:rFonts w:ascii="Times New Roman" w:eastAsia="SimSun"/>
          <w:b/>
          <w:bCs/>
          <w:color w:val="1A2330"/>
          <w:sz w:val="21"/>
          <w:szCs w:val="21"/>
        </w:rPr>
        <w:t xml:space="preserve">Table 1: Definitions and acronyms used in this SRS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Term</w:t>
            </w:r>
          </w:p>
        </w:tc>
        <w:tc>
          <w:tcPr>
            <w:tcW w:type="pct" w:w="7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Definition</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Residential House Rent Control and Administration Proclamation No. 1320/2016, the parent law (32 articles).</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Residential House Rent Control and Administration Directive No. 7/2016, issued under Proclamation Article 29(2); regional counterpart directives are expected in other cities.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Agreement</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official Model Rental Agreement annexed to the Directive and published under Proclamation Article 5; the mandatory content template for every written rental contract.</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city administration organ mandated to control rental contracts and prices (Proclamation Art. 19; Directive Art. 2(6)) - in Addis Ababa, the Housing Development and Administration Bureau and its offices.</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 Sub-city / Woreda</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three administrative service tiers defined by the Directive: the Bureau (city level), sub-city housing offices, and woreda housing offices.</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contract registrar professional at a woreda office who verifies documents and registers contracts (Directive Arts. 8-9).</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 / NFR</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Functional Requirement / Non-Functional Requirement, identified as FR-Mxx-nn and NFR-nn.</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MoSCoW</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Requirement prioritization scheme: Must have, Should have, Could have, Won't have (this release).</w:t>
            </w:r>
          </w:p>
        </w:tc>
      </w:tr>
      <w:tr>
        <w:trPr>
          <w:cantSplit/>
        </w:trPr>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EC / GC</w:t>
            </w:r>
          </w:p>
        </w:tc>
        <w:tc>
          <w:tcPr>
            <w:tcW w:type="pct" w:w="7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Ethiopian Calendar / Gregorian Calendar. The system must display and store both.</w:t>
            </w:r>
          </w:p>
        </w:tc>
      </w:tr>
      <w:tr>
        <w:trPr>
          <w:cantSplit/>
        </w:trPr>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w:t>
            </w:r>
          </w:p>
        </w:tc>
        <w:tc>
          <w:tcPr>
            <w:tcW w:type="pct" w:w="7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rental contract concluded before the Proclamation entered into force, subject to the 30+3 day migration window of Article 7.</w:t>
            </w:r>
          </w:p>
        </w:tc>
      </w:tr>
    </w:tbl>
    <w:p>
      <w:pPr>
        <w:pStyle w:val="Heading2"/>
        <w:spacing w:after="120" w:before="240" w:line="312"/>
      </w:pPr>
      <w:bookmarkStart w:id="100004" w:name="_Toc100004"/>
      <w:r>
        <w:rPr>
          <w:rFonts w:ascii="Times New Roman" w:eastAsia="SimHei"/>
          <w:b/>
          <w:bCs/>
          <w:color w:val="1A2330"/>
          <w:sz w:val="28"/>
          <w:szCs w:val="28"/>
        </w:rPr>
        <w:t xml:space="preserve">1.4 Reference Documents</w:t>
      </w:r>
      <w:bookmarkEnd w:id="100004"/>
    </w:p>
    <w:p>
      <w:pPr>
        <w:keepNext/>
        <w:spacing w:after="80" w:before="160" w:line="312"/>
      </w:pPr>
      <w:r>
        <w:rPr>
          <w:rFonts w:ascii="Times New Roman" w:eastAsia="SimSun"/>
          <w:b/>
          <w:bCs/>
          <w:color w:val="1A2330"/>
          <w:sz w:val="21"/>
          <w:szCs w:val="21"/>
        </w:rPr>
        <w:t xml:space="preserve">Table 2: Binding and informative references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Ref</w:t>
            </w:r>
          </w:p>
        </w:tc>
        <w:tc>
          <w:tcPr>
            <w:tcW w:type="pct" w:w="5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Document</w:t>
            </w:r>
          </w:p>
        </w:tc>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R1</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Proclamation No. 1320/2016 - Residential House Rent Control and Administration (English translation)</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legal source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R2</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Addis Ababa City Residential House Rent Control and Administration Directive No. 7/2016 (Amharic, incl. annexed Model Agreement)</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legal source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R3</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New Residential House Rental Model Agreement (Amharic)</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content template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R4</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Master Implementation Plan v1.0 (this project)</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Governing process document</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R5</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ISO/IEC/IEEE 29148 - Requirements engineering</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Informative standard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R6</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 25010 - Product quality model</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Informative standard</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R7</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ISO/IEC 27001 - Information security management</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Informative standard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R8</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Ethiopia Personal Data Protection Proclamation No. 1321/2024</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Binding for personal data handling</w:t>
            </w:r>
          </w:p>
        </w:tc>
      </w:tr>
    </w:tbl>
    <w:p>
      <w:pPr>
        <w:pStyle w:val="Heading2"/>
        <w:spacing w:after="120" w:before="240" w:line="312"/>
      </w:pPr>
      <w:bookmarkStart w:id="100005" w:name="_Toc100005"/>
      <w:r>
        <w:rPr>
          <w:rFonts w:ascii="Times New Roman" w:eastAsia="SimHei"/>
          <w:b/>
          <w:bCs/>
          <w:color w:val="1A2330"/>
          <w:sz w:val="28"/>
          <w:szCs w:val="28"/>
        </w:rPr>
        <w:t xml:space="preserve">1.5 Document Conventions</w:t>
      </w:r>
      <w:bookmarkEnd w:id="100005"/>
    </w:p>
    <w:p>
      <w:pPr>
        <w:spacing w:after="120" w:line="312"/>
        <w:jc w:val="left"/>
      </w:pPr>
      <w:r>
        <w:rPr>
          <w:rFonts w:ascii="Times New Roman" w:eastAsia="SimSun"/>
          <w:color w:val="000000"/>
          <w:sz w:val="24"/>
          <w:szCs w:val="24"/>
        </w:rPr>
        <w:t xml:space="preserve">Functional requirements are grouped into thirteen modules numbered M1 to M13 that mirror the module structure approved in the implementation plan. Each requirement carries an identifier of the form FR-Mxx-nn, a testable statement, the legal source that mandates it, and a MoSCoW priority. The legal source uses compact citations: Proc. for the Proclamation, Dir. for the Directive, and MA for the Model Agreement, followed by article or clause numbers. Non-functional requirements use NFR-nn identifiers and are organized by the ISO/IEC 25010 quality characteristics. Where a legal figure was partly ambiguous in the scanned Directive text, the requirement is still stated normatively but the exact numeric value is declared a configurable parameter and listed in Chapter 10 for confirmation at the legal review.</w:t>
      </w:r>
    </w:p>
    <w:p>
      <w:pPr>
        <w:spacing w:after="120" w:line="312"/>
        <w:jc w:val="left"/>
      </w:pPr>
      <w:r>
        <w:rPr>
          <w:rFonts w:ascii="Times New Roman" w:eastAsia="SimSun"/>
          <w:color w:val="000000"/>
          <w:sz w:val="24"/>
          <w:szCs w:val="24"/>
        </w:rPr>
        <w:t xml:space="preserve">Statements marked with [G1-CONFIRM] require explicit owner confirmation at the Gate G1 review before they are frozen into the design baseline. This convention keeps the interaction between the owner and the project smooth and prevents silent assumptions from entering the build.</w:t>
      </w:r>
    </w:p>
    <w:p>
      <w:pPr>
        <w:pStyle w:val="Heading1"/>
        <w:spacing w:after="160" w:before="360" w:line="312"/>
      </w:pPr>
      <w:bookmarkStart w:id="100006" w:name="_Toc100006"/>
      <w:r>
        <w:rPr>
          <w:rFonts w:ascii="Times New Roman" w:eastAsia="SimHei"/>
          <w:b/>
          <w:bCs/>
          <w:color w:val="1A2330"/>
          <w:sz w:val="32"/>
          <w:szCs w:val="32"/>
        </w:rPr>
        <w:t xml:space="preserve">2. Overall Description</w:t>
      </w:r>
      <w:bookmarkEnd w:id="100006"/>
    </w:p>
    <w:p>
      <w:pPr>
        <w:pStyle w:val="Heading2"/>
        <w:spacing w:after="120" w:before="240" w:line="312"/>
      </w:pPr>
      <w:bookmarkStart w:id="100007" w:name="_Toc100007"/>
      <w:r>
        <w:rPr>
          <w:rFonts w:ascii="Times New Roman" w:eastAsia="SimHei"/>
          <w:b/>
          <w:bCs/>
          <w:color w:val="1A2330"/>
          <w:sz w:val="28"/>
          <w:szCs w:val="28"/>
        </w:rPr>
        <w:t xml:space="preserve">2.1 Product Perspective</w:t>
      </w:r>
      <w:bookmarkEnd w:id="100007"/>
    </w:p>
    <w:p>
      <w:pPr>
        <w:spacing w:after="120" w:line="312"/>
        <w:jc w:val="left"/>
      </w:pPr>
      <w:r>
        <w:rPr>
          <w:rFonts w:ascii="Times New Roman" w:eastAsia="SimSun"/>
          <w:color w:val="000000"/>
          <w:sz w:val="24"/>
          <w:szCs w:val="24"/>
        </w:rPr>
        <w:t xml:space="preserve">The system is a new national-capable government platform that replaces the manual, paper-based contract registers currently used in woreda housing offices. The Directive itself anticipates this digitalization: Article 14(4) obliges the Bureau to introduce an information technology supported modern contract registration system, Article 16(6) obliges every woreda office to implement it, and Article 13 already prescribes the hybrid record keeping model (hard copy plus soft copy, scanning, backups, and data replication to the sub-city and the Bureau) that the software must automate. The Proclamation completes the mandate at federal level through Article 19(5), which directs the Regulatory Body to build a modern, IT supported rental housing information system.</w:t>
      </w:r>
    </w:p>
    <w:p>
      <w:pPr>
        <w:spacing w:after="120" w:line="312"/>
        <w:jc w:val="left"/>
      </w:pPr>
      <w:r>
        <w:rPr>
          <w:rFonts w:ascii="Times New Roman" w:eastAsia="SimSun"/>
          <w:color w:val="000000"/>
          <w:sz w:val="24"/>
          <w:szCs w:val="24"/>
        </w:rPr>
        <w:t xml:space="preserve">The platform is therefore not a single-office tool but a multi-tenant, jurisdiction-aware system: every woreda office operates the same registration workflow on shared data, sub-city offices consolidate, Bureaus regulate and publish price adjustments, and the Ministry aggregates nationally. The product comprises a public portal for citizens, an office back-office for registrars and inspectors, a committee workspace for appeal hearings, and an analytics and publication layer for the Bureau and the Ministry.</w:t>
      </w:r>
    </w:p>
    <w:p>
      <w:pPr>
        <w:pStyle w:val="Heading2"/>
        <w:spacing w:after="120" w:before="240" w:line="312"/>
      </w:pPr>
      <w:bookmarkStart w:id="100008" w:name="_Toc100008"/>
      <w:r>
        <w:rPr>
          <w:rFonts w:ascii="Times New Roman" w:eastAsia="SimHei"/>
          <w:b/>
          <w:bCs/>
          <w:color w:val="1A2330"/>
          <w:sz w:val="28"/>
          <w:szCs w:val="28"/>
        </w:rPr>
        <w:t xml:space="preserve">2.2 Administrative and Deployment Context (Three-Tier Structure)</w:t>
      </w:r>
      <w:bookmarkEnd w:id="100008"/>
    </w:p>
    <w:p>
      <w:pPr>
        <w:spacing w:after="120" w:line="312"/>
        <w:jc w:val="left"/>
      </w:pPr>
      <w:r>
        <w:rPr>
          <w:rFonts w:ascii="Times New Roman" w:eastAsia="SimSun"/>
          <w:color w:val="000000"/>
          <w:sz w:val="24"/>
          <w:szCs w:val="24"/>
        </w:rPr>
        <w:t xml:space="preserve">The deployment and authorization model follows exactly the three-tier administrative structure agreed in the implementation plan. The table below states each tier, its legal duties, and the primary system capabilities it consumes.</w:t>
      </w:r>
    </w:p>
    <w:p>
      <w:pPr>
        <w:keepNext/>
        <w:spacing w:after="80" w:before="160" w:line="312"/>
      </w:pPr>
      <w:r>
        <w:rPr>
          <w:rFonts w:ascii="Times New Roman" w:eastAsia="SimSun"/>
          <w:b/>
          <w:bCs/>
          <w:color w:val="1A2330"/>
          <w:sz w:val="21"/>
          <w:szCs w:val="21"/>
        </w:rPr>
        <w:t xml:space="preserve">Table 3: Three-tier administrative structure and system mapping</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Tier</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Duties (source)</w:t>
            </w:r>
          </w:p>
        </w:tc>
        <w:tc>
          <w:tcPr>
            <w:tcW w:type="pct" w:w="4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Primary System Capabilities</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Federal: Ministry</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Policy, national data collection and publication (Proc. Art. 18); national platform mandate via Regulatory Bodies (Proc. Art. 19(5))</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dashboards, consolidated registry, public national data publication (M12), national configuration and standards (M13)</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 City: Bureau (Regulatory Body)</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 directives, improve model contract, annual rent increase study announced June 1 effective June 30, awareness, supervision (Dir. Arts. 11, 14; Proc. Art. 8)</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increase engine, directive parameter configuration, model contract publishing, tier-2 dashboards, complaint oversight (M5, M12, M13)</w:t>
            </w:r>
          </w:p>
        </w:tc>
      </w:tr>
      <w:tr>
        <w:trPr>
          <w:cantSplit/>
        </w:trPr>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City Intermediate: Sub-city Office</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Follow up and control woreda offices, consolidate woreda data, forward to Bureau, sub-city awareness (Dir. Art. 15)</w:t>
            </w:r>
          </w:p>
        </w:tc>
        <w:tc>
          <w:tcPr>
            <w:tcW w:type="pct" w:w="4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Consolidated registers, data replication target, supervision reports (M12, M13)</w:t>
            </w:r>
          </w:p>
        </w:tc>
      </w:tr>
      <w:tr>
        <w:trPr>
          <w:cantSplit/>
        </w:trPr>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Front Line: Woreda Office</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and certify contracts at the woreda where the house is located, verify documents and prices, receive complaints and appeals, enforce penalties, scan and forward data (Dir. Arts. 6, 16, 17-19, 22)</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and certification workflow, complaint intake, inspection, penalty administration, scanning and upload (M4, M8, M9, M11)</w:t>
            </w:r>
          </w:p>
        </w:tc>
      </w:tr>
    </w:tbl>
    <w:p>
      <w:pPr>
        <w:spacing w:after="120" w:line="312"/>
        <w:jc w:val="left"/>
      </w:pPr>
      <w:r>
        <w:rPr>
          <w:rFonts w:ascii="Times New Roman" w:eastAsia="SimSun"/>
          <w:color w:val="000000"/>
          <w:sz w:val="24"/>
          <w:szCs w:val="24"/>
        </w:rPr>
        <w:t xml:space="preserve">Data authority flows upward and service delivery flows downward: a contract is registered once, at the woreda where the property lies, and the record is automatically replicated to the sub-city office and the Bureau as required by Directive Article 13(3). This one-registration-many-consumers principle eliminates duplicate registration and gives every tier a consistent, real-time view of the same legal facts.</w:t>
      </w:r>
    </w:p>
    <w:p>
      <w:pPr>
        <w:pStyle w:val="Heading2"/>
        <w:spacing w:after="120" w:before="240" w:line="312"/>
      </w:pPr>
      <w:bookmarkStart w:id="100009" w:name="_Toc100009"/>
      <w:r>
        <w:rPr>
          <w:rFonts w:ascii="Times New Roman" w:eastAsia="SimHei"/>
          <w:b/>
          <w:bCs/>
          <w:color w:val="1A2330"/>
          <w:sz w:val="28"/>
          <w:szCs w:val="28"/>
        </w:rPr>
        <w:t xml:space="preserve">2.3 Actor Profiles</w:t>
      </w:r>
      <w:bookmarkEnd w:id="100009"/>
    </w:p>
    <w:p>
      <w:pPr>
        <w:keepNext/>
        <w:spacing w:after="80" w:before="160" w:line="312"/>
      </w:pPr>
      <w:r>
        <w:rPr>
          <w:rFonts w:ascii="Times New Roman" w:eastAsia="SimSun"/>
          <w:b/>
          <w:bCs/>
          <w:color w:val="1A2330"/>
          <w:sz w:val="21"/>
          <w:szCs w:val="21"/>
        </w:rPr>
        <w:t xml:space="preserve">Table 4: System actors and their goals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Actor</w:t>
            </w:r>
          </w:p>
        </w:tc>
        <w:tc>
          <w:tcPr>
            <w:tcW w:type="pct" w:w="7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Description and Primary Goals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Registers identity and property, prepares and signs the model agreement, obtains certification and register number, declares permitted rent increases, receives payments electronically.</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Verifies the landlord and contract are registered, pays rent only through bank or legal electronic means, files complaints for overcharging or illegal eviction, appeals decisions.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Agent</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Acts under legal power of attorney with two witnesses for either party during registration (Dir. Art. 5(3)); manages a portfolio of represented parties.</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Officer</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stamper, inspector, and analyst roles at woreda, sub-city, and Bureau levels; verify documents, register contracts, conduct team inspections, decide complaints, and enforce penalties.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Complaint Hearing Committee</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Hears appeals within 15 working days, issues the final administrative decision, records minutes and outcomes.</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w:t>
            </w:r>
          </w:p>
        </w:tc>
        <w:tc>
          <w:tcPr>
            <w:tcW w:type="pct" w:w="7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Collects and publishes national rental data, monitors regional performance, defines national parameters and standards.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(unregistered visitor)</w:t>
            </w:r>
          </w:p>
        </w:tc>
        <w:tc>
          <w:tcPr>
            <w:tcW w:type="pct" w:w="7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Consults published average rents and statistics, verifies that a contract or landlord is registered, downloads the model agreement, reports violations.</w:t>
            </w:r>
          </w:p>
        </w:tc>
      </w:tr>
    </w:tbl>
    <w:p>
      <w:pPr>
        <w:pStyle w:val="Heading2"/>
        <w:spacing w:after="120" w:before="240" w:line="312"/>
      </w:pPr>
      <w:bookmarkStart w:id="100010" w:name="_Toc100010"/>
      <w:r>
        <w:rPr>
          <w:rFonts w:ascii="Times New Roman" w:eastAsia="SimHei"/>
          <w:b/>
          <w:bCs/>
          <w:color w:val="1A2330"/>
          <w:sz w:val="28"/>
          <w:szCs w:val="28"/>
        </w:rPr>
        <w:t xml:space="preserve">2.4 Operating Environment</w:t>
      </w:r>
      <w:bookmarkEnd w:id="100010"/>
    </w:p>
    <w:p>
      <w:pPr>
        <w:spacing w:after="120" w:line="312"/>
        <w:jc w:val="left"/>
      </w:pPr>
      <w:r>
        <w:rPr>
          <w:rFonts w:ascii="Times New Roman" w:eastAsia="SimSun"/>
          <w:color w:val="000000"/>
          <w:sz w:val="24"/>
          <w:szCs w:val="24"/>
        </w:rPr>
        <w:t xml:space="preserve">The system runs as a web application accessed through standard browsers, with responsive layouts so that office staff on desktops and citizens on mobile phones share one platform. Woreda offices are equipped with document scanners and printers because Directive Article 13(2) requires scanning of contracts, duplicates, identity photos, and payment documents; the back-office therefore includes a scan-capture station workflow. Public services must remain usable under low-bandwidth conditions common in the deployment geography, so pages are lightweight and documents are compressed. SMS and email gateways deliver legally meaningful deadline reminders, and the platform exposes controlled APIs for the banking channel integration required by the electronic payment mandate.</w:t>
      </w:r>
    </w:p>
    <w:p>
      <w:pPr>
        <w:spacing w:after="120" w:line="312"/>
        <w:jc w:val="left"/>
      </w:pPr>
      <w:r>
        <w:rPr>
          <w:rFonts w:ascii="Times New Roman" w:eastAsia="SimSun"/>
          <w:color w:val="000000"/>
          <w:sz w:val="24"/>
          <w:szCs w:val="24"/>
        </w:rPr>
        <w:t xml:space="preserve">Because Ethiopian administrative dates follow the Ethiopian Calendar while international integrations use the Gregorian Calendar, the environment must support dual-calendar rendering and storage. All timestamps are stored in UTC with an explicit EC/GC conversion layer; this is elaborated in NFR-06.</w:t>
      </w:r>
    </w:p>
    <w:p>
      <w:pPr>
        <w:pStyle w:val="Heading2"/>
        <w:spacing w:after="120" w:before="240" w:line="312"/>
      </w:pPr>
      <w:bookmarkStart w:id="100011" w:name="_Toc100011"/>
      <w:r>
        <w:rPr>
          <w:rFonts w:ascii="Times New Roman" w:eastAsia="SimHei"/>
          <w:b/>
          <w:bCs/>
          <w:color w:val="1A2330"/>
          <w:sz w:val="28"/>
          <w:szCs w:val="28"/>
        </w:rPr>
        <w:t xml:space="preserve">2.5 Legal and Regulatory Constraints</w:t>
      </w:r>
      <w:bookmarkEnd w:id="100011"/>
    </w:p>
    <w:p>
      <w:pPr>
        <w:spacing w:after="120" w:line="312"/>
        <w:jc w:val="left"/>
      </w:pPr>
      <w:r>
        <w:rPr>
          <w:rFonts w:ascii="Times New Roman" w:eastAsia="SimSun"/>
          <w:color w:val="000000"/>
          <w:sz w:val="24"/>
          <w:szCs w:val="24"/>
        </w:rPr>
        <w:t xml:space="preserve">The following binding legal rules constrain every design decision. They are stated here once and referenced by individual requirements in Chapter 3.</w:t>
      </w:r>
    </w:p>
    <w:p>
      <w:pPr>
        <w:keepNext/>
        <w:spacing w:after="80" w:before="160" w:line="312"/>
      </w:pPr>
      <w:r>
        <w:rPr>
          <w:rFonts w:ascii="Times New Roman" w:eastAsia="SimSun"/>
          <w:b/>
          <w:bCs/>
          <w:color w:val="1A2330"/>
          <w:sz w:val="21"/>
          <w:szCs w:val="21"/>
        </w:rPr>
        <w:t xml:space="preserve">Table 5: Binding legal constraints on system behavior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7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Constraint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Source</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C1</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rental contract must be written, signed, certified by the Regulatory Body, and registered; an unregistered contract produces no legal effect and exposure to a fine of up to three months' rent.</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Dir. Arts. 8-9, 22</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C2</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must occur within 30 days of signing, extendable by up to 3 months for legacy contracts under Article 7.</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7; Dir. Art. 10</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C3</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Contracts must follow the published Model Agreement content; the Bureau may improve the model.</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C4</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Minimum contract term is two years; renewal must be written.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6; MA cl. 4(2-3)</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C5</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rent increase is announced June 1 and takes effect June 30; mid-term increases must follow the announced rate and be notified in writing to the tenant and the Regulatory Body.</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Dir. Art. 11; MA cl. 5</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C6</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First-time rental of newly built houses is freely priced; exemption clocks are 4 years (newly built) and 2 years (previously unoccupied); vacancy beyond exemption in shortage cities attracts +25% property tax.</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9, 10</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C7</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payment is capped at two months' rent; rent must be paid only by bank or other legal electronic means; the registered contract plus electronic payment records are the admissible evidence.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12-14; MA cl. 6</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C8</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Complaints may be submitted in person, verbally, in writing, by phone, or any other media; the Regulatory Body decides within 30 working days; appeal lies to the Committee within 15 working days; court within 30 days; enforcement is blocked until the decision is final.</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20-26; Dir. Arts. 17-19</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C9</w:t>
            </w:r>
          </w:p>
        </w:tc>
        <w:tc>
          <w:tcPr>
            <w:tcW w:type="pct" w:w="7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exclusions: hotels, resorts, guest houses, and commercially licensed rentals are out of scope.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3(3)</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C10</w:t>
            </w:r>
          </w:p>
        </w:tc>
        <w:tc>
          <w:tcPr>
            <w:tcW w:type="pct" w:w="7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Personal data must be processed lawfully under the Personal Data Protection Proclamation.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PDPP 1321/2024</w:t>
            </w:r>
          </w:p>
        </w:tc>
      </w:tr>
    </w:tbl>
    <w:p>
      <w:pPr>
        <w:pStyle w:val="Heading2"/>
        <w:spacing w:after="120" w:before="240" w:line="312"/>
      </w:pPr>
      <w:bookmarkStart w:id="100012" w:name="_Toc100012"/>
      <w:r>
        <w:rPr>
          <w:rFonts w:ascii="Times New Roman" w:eastAsia="SimHei"/>
          <w:b/>
          <w:bCs/>
          <w:color w:val="1A2330"/>
          <w:sz w:val="28"/>
          <w:szCs w:val="28"/>
        </w:rPr>
        <w:t xml:space="preserve">2.6 Assumptions and Dependencies</w:t>
      </w:r>
      <w:bookmarkEnd w:id="100012"/>
    </w:p>
    <w:p>
      <w:pPr>
        <w:spacing w:after="120" w:line="312"/>
        <w:jc w:val="left"/>
      </w:pPr>
      <w:r>
        <w:rPr>
          <w:rFonts w:ascii="Times New Roman" w:eastAsia="SimSun"/>
          <w:color w:val="000000"/>
          <w:sz w:val="24"/>
          <w:szCs w:val="24"/>
        </w:rPr>
        <w:t xml:space="preserve">The plan assumes that each participating city administration will enact or has enacted its own implementation directive mirroring the Addis Ababa Directive, so the system encodes regional variation as configuration rather than code. It assumes banking partners can expose payment notification channels (statement files or API callbacks) sufficient to reconcile tenant rent payments to contracts, and that an SMS/email gateway contract will be available before Phase 6 pilot. Identity verification depends on the presented document menu of Directive Article 5(2) in the pilot phase, with optional integration to a national digital ID service left as a future enhancement. Finally, the project assumes the owner will nominate business focal persons from the Bureau for the weekly sprint reviews defined in the implementation plan, which keeps every stage interactive.</w:t>
      </w:r>
    </w:p>
    <w:p>
      <w:pPr>
        <w:pStyle w:val="Heading1"/>
        <w:spacing w:after="160" w:before="360" w:line="312"/>
      </w:pPr>
      <w:bookmarkStart w:id="100013" w:name="_Toc100013"/>
      <w:r>
        <w:rPr>
          <w:rFonts w:ascii="Times New Roman" w:eastAsia="SimHei"/>
          <w:b/>
          <w:bCs/>
          <w:color w:val="1A2330"/>
          <w:sz w:val="32"/>
          <w:szCs w:val="32"/>
        </w:rPr>
        <w:t xml:space="preserve">3. Functional Requirements</w:t>
      </w:r>
      <w:bookmarkEnd w:id="100013"/>
    </w:p>
    <w:p>
      <w:pPr>
        <w:spacing w:after="120" w:line="312"/>
        <w:jc w:val="left"/>
      </w:pPr>
      <w:r>
        <w:rPr>
          <w:rFonts w:ascii="Times New Roman" w:eastAsia="SimSun"/>
          <w:color w:val="000000"/>
          <w:sz w:val="24"/>
          <w:szCs w:val="24"/>
        </w:rPr>
        <w:t xml:space="preserve">This chapter specifies the thirteen functional modules of the system. Module boundaries follow the approved implementation plan and the natural seams of the legal workflow: identity and organization first, then the regulated asset lifecycle (parties, property, contract, price, exemption, payment), then the control lifecycle (inspection, complaint, appeal, enforcement), and finally the cross-cutting reporting and administration modules. Each module opens with a short narrative that explains the business context and the governing legal mechanics, followed by a requirement table. Every requirement is individually testable, carries its legal source, and is prioritized with MoSCoW so that the owner can approve scope incrementally.</w:t>
      </w:r>
    </w:p>
    <w:p>
      <w:pPr>
        <w:pStyle w:val="Heading2"/>
        <w:spacing w:after="120" w:before="240" w:line="312"/>
      </w:pPr>
      <w:bookmarkStart w:id="100014" w:name="_Toc100014"/>
      <w:r>
        <w:rPr>
          <w:rFonts w:ascii="Times New Roman" w:eastAsia="SimHei"/>
          <w:b/>
          <w:bCs/>
          <w:color w:val="1A2330"/>
          <w:sz w:val="28"/>
          <w:szCs w:val="28"/>
        </w:rPr>
        <w:t xml:space="preserve">3.1 Module M1 - Organization, User and Access Management</w:t>
      </w:r>
      <w:bookmarkEnd w:id="100014"/>
    </w:p>
    <w:p>
      <w:pPr>
        <w:spacing w:after="120" w:line="312"/>
        <w:jc w:val="left"/>
      </w:pPr>
      <w:r>
        <w:rPr>
          <w:rFonts w:ascii="Times New Roman" w:eastAsia="SimSun"/>
          <w:color w:val="000000"/>
          <w:sz w:val="24"/>
          <w:szCs w:val="24"/>
        </w:rPr>
        <w:t xml:space="preserve">The system must mirror the administrative reality of the Proclamation and the Directive before any business object is created. The organization model encodes the four administrative levels (Ministry, Regional Bureau, sub-city office, woreda office) with their jurisdictions, so that every property, contract, complaint, and penalty is always attached to exactly one competent office. Access control then distinguishes citizen actors from staff actors: officers inherit permissions from their office and role (registrar, stamper professional, inspector, case handler, committee member, bureau analyst, administrator), while citizens own their personal accounts. This module also implements the separation of duties demanded by the Directive, which assigns verification, registration, stamping, and control to distinct professional roles (Dir. Arts. 8, 9, 20).</w:t>
      </w:r>
    </w:p>
    <w:p>
      <w:pPr>
        <w:keepNext/>
        <w:spacing w:after="80" w:before="160" w:line="312"/>
      </w:pPr>
      <w:r>
        <w:rPr>
          <w:rFonts w:ascii="Times New Roman" w:eastAsia="SimSun"/>
          <w:b/>
          <w:bCs/>
          <w:color w:val="1A2330"/>
          <w:sz w:val="21"/>
          <w:szCs w:val="21"/>
        </w:rPr>
        <w:t xml:space="preserve">Table 6: M1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the four-level organization hierarchy (Ministry, Regional Bureau, sub-city, woreda) with jurisdiction records; every business object must be bound to a woreda jurisdiction derived from the property address.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Dir. Arts. 2, 14-16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role-based staff accounts per office with segregation of duties between registrar, stamper, inspector (team-based), case handler, committee member, and administrator roles.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8(1), 9, 20(2-4)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citizen self-service registration for landlord, tenant, and agent accounts with identity document capture and mobile phone verification.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delegated administration: a Bureau administrator creates and disables sub-city and woreda staff accounts; woreda office heads manage their local queue assignments.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14; Dir. Art. 16</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authentication with password policy, session timeout, optional two-factor authentication, and full login audit records.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ISO 27001 alignment; PDPP 1321/2024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 and record official control credentials for inspectors (a visible identification reference usable during field control), as required for inspection work performed in government working hours.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20(3)</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5" w:name="_Toc100015"/>
      <w:r>
        <w:rPr>
          <w:rFonts w:ascii="Times New Roman" w:eastAsia="SimHei"/>
          <w:b/>
          <w:bCs/>
          <w:color w:val="1A2330"/>
          <w:sz w:val="28"/>
          <w:szCs w:val="28"/>
        </w:rPr>
        <w:t xml:space="preserve">3.2 Module M2 - Party Registration and Profile Management</w:t>
      </w:r>
      <w:bookmarkEnd w:id="100015"/>
    </w:p>
    <w:p>
      <w:pPr>
        <w:spacing w:after="120" w:line="312"/>
        <w:jc w:val="left"/>
      </w:pPr>
      <w:r>
        <w:rPr>
          <w:rFonts w:ascii="Times New Roman" w:eastAsia="SimSun"/>
          <w:color w:val="000000"/>
          <w:sz w:val="24"/>
          <w:szCs w:val="24"/>
        </w:rPr>
        <w:t xml:space="preserve">Before any contract can be registered, the parties themselves must exist in the system with legally sufficient identity information. The model agreement devotes its first two clauses to the full identity blocks of lessor and lessee (name with grandfather name, region, city, sub-city, woreda or kebele, specific location, house number, telephone), and the Directive prescribes the acceptable identity document menu with original and copy verification. This module turns those clauses into a guided registration workflow, the detailed scenario of which was agreed as use case UC-L0 (landlord registration). It also handles agents, who must present legal power of attorney plus the identification of two witnesses, and it keeps the party record stable across name changes, which the Directive says may only be corrected upon a court decision.</w:t>
      </w:r>
    </w:p>
    <w:p>
      <w:pPr>
        <w:keepNext/>
        <w:spacing w:after="80" w:before="160" w:line="312"/>
      </w:pPr>
      <w:r>
        <w:rPr>
          <w:rFonts w:ascii="Times New Roman" w:eastAsia="SimSun"/>
          <w:b/>
          <w:bCs/>
          <w:color w:val="1A2330"/>
          <w:sz w:val="21"/>
          <w:szCs w:val="21"/>
        </w:rPr>
        <w:t xml:space="preserve">Table 7: M2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Implement the landlord registration workflow (UC-L0): identity fields exactly as in Model Agreement clauses 1-2, contact details, identity document capture, and review confirmation.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1-2; Dir. Art. 5(2)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the full legal identity document menu (resident ID, office ID, driving license, passport, advocate license, pension ID, student or professional license), each with original-plus-copy verification flags and scanned images.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agent registration linked to a principal party, requiring the legal power of attorney document and identification of two witnesses, with expiry tracking of the mandate.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tenant profiles with current and historical rental relationships, active contracts, and complaint involvement.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2; Proc. Art. 18</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Detect duplicate party identities and record name or marital status changes only upon presentation of a court decision, notifying the database custodian per the correction procedure.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12(4-6)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6" w:name="_Toc100016"/>
      <w:r>
        <w:rPr>
          <w:rFonts w:ascii="Times New Roman" w:eastAsia="SimHei"/>
          <w:b/>
          <w:bCs/>
          <w:color w:val="1A2330"/>
          <w:sz w:val="28"/>
          <w:szCs w:val="28"/>
        </w:rPr>
        <w:t xml:space="preserve">3.3 Module M3 - Property Registration and Status Classification</w:t>
      </w:r>
      <w:bookmarkEnd w:id="100016"/>
    </w:p>
    <w:p>
      <w:pPr>
        <w:spacing w:after="120" w:line="312"/>
        <w:jc w:val="left"/>
      </w:pPr>
      <w:r>
        <w:rPr>
          <w:rFonts w:ascii="Times New Roman" w:eastAsia="SimSun"/>
          <w:color w:val="000000"/>
          <w:sz w:val="24"/>
          <w:szCs w:val="24"/>
        </w:rPr>
        <w:t xml:space="preserve">The property is the regulated asset, and its legal status is the key that unlocks or removes price freedom. Article 2 of the Proclamation classifies houses as newly built, previously unoccupied, unutilized, or previously rented, and the model agreement requires the status to be stated in clause 4(1) using the three operational categories (existing rental house, newly built rental house, existing house never rented before). Because the exemption clocks of Article 10 and the phantom-rent rule of Article 8(10) both depend on this classification, the module demands supporting evidence at registration and protects against later manipulation: a change of status after first registration raises a compliance case rather than silently updating the record. The property address fields replicate the model agreement clause 3 block, and the woreda of the property determines the only office competent to register its contracts.</w:t>
      </w:r>
    </w:p>
    <w:p>
      <w:pPr>
        <w:keepNext/>
        <w:spacing w:after="80" w:before="160" w:line="312"/>
      </w:pPr>
      <w:r>
        <w:rPr>
          <w:rFonts w:ascii="Times New Roman" w:eastAsia="SimSun"/>
          <w:b/>
          <w:bCs/>
          <w:color w:val="1A2330"/>
          <w:sz w:val="21"/>
          <w:szCs w:val="21"/>
        </w:rPr>
        <w:t xml:space="preserve">Table 8: M3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a property inventory with the full address block of Model Agreement clause 3 (region, city, sub-city, woreda or kebele, specific location, house number) plus ownership reference and service type (independent compound or rooms).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3; Dir. Art. 7(5)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Classify each property with the legal status enum: existing rented, newly built, previously unrented; require supporting evidence documents at classification time.</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2(2-4); MA cl. 4(1)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the ownership proof menu: holding certificate, undocumented-possession evidence from the competent organ, court-executed sale document, or inheritance proof; store original-plus-copy verification.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5(4)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Bind each property to exactly one woreda jurisdiction and enforce that its contracts are registered at that woreda office (with Bureau-level override for documented exceptional cases).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6(2), 7(5)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occupancy and vacancy intervals per property; flag houses unutilized for more than six months to trigger the phantom-rent ceiling rule and potential vacancy tax events.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8(10); Dir. Art. 21(9)</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7" w:name="_Toc100017"/>
      <w:r>
        <w:rPr>
          <w:rFonts w:ascii="Times New Roman" w:eastAsia="SimHei"/>
          <w:b/>
          <w:bCs/>
          <w:color w:val="1A2330"/>
          <w:sz w:val="28"/>
          <w:szCs w:val="28"/>
        </w:rPr>
        <w:t xml:space="preserve">3.4 Module M4 - Contract Management and Registration</w:t>
      </w:r>
      <w:bookmarkEnd w:id="100017"/>
    </w:p>
    <w:p>
      <w:pPr>
        <w:spacing w:after="120" w:line="312"/>
        <w:jc w:val="left"/>
      </w:pPr>
      <w:r>
        <w:rPr>
          <w:rFonts w:ascii="Times New Roman" w:eastAsia="SimSun"/>
          <w:color w:val="000000"/>
          <w:sz w:val="24"/>
          <w:szCs w:val="24"/>
        </w:rPr>
        <w:t xml:space="preserve">This is the legal heart of the system. Proclamation Article 4 requires every contract to be written, signed, certified, and registered, on pain of invalidity and a fine of up to three months' rent, and gives parties 30 days from signing to register. The Directive then prescribes the exact office workflow: document checklist (nine verification points), registrar certification acts (signature witnessing, interpreter handling for deaf parties, copy-versus-original verification with back-page annotations and sequential document numbers), stamp issuance, computer database entry, and delivery of one certified copy to each party. The module digitalizes that flow end to end, generates the contract text from the official model agreement, and manages the whole contract lifecycle afterwards: amendments within 30 days, renewals, terminations, and the legacy migration campaign of Article 7 with its additional three-month grace window and four-witness requirement.</w:t>
      </w:r>
    </w:p>
    <w:p>
      <w:pPr>
        <w:keepNext/>
        <w:spacing w:after="80" w:before="160" w:line="312"/>
      </w:pPr>
      <w:r>
        <w:rPr>
          <w:rFonts w:ascii="Times New Roman" w:eastAsia="SimSun"/>
          <w:b/>
          <w:bCs/>
          <w:color w:val="1A2330"/>
          <w:sz w:val="21"/>
          <w:szCs w:val="21"/>
        </w:rPr>
        <w:t xml:space="preserve">Table 9: M4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Generate contracts electronically from the official Model Agreement: all eight clauses plus signature and witness blocks, with clause 5(1-2) and 6(1-5) defaults that cannot be weakened below legal minimums.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 MA</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Validate the registration application against the Directive document checklist: contract content completeness, signature sets (new: parties plus witnesses; legacy: parties plus four witnesses), proclamation conformity, woreda jurisdiction, document completeness, originals with copies, duplicate copy for the office, and identity photo match.</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5, 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the registrar certification workflow: confirm free will and signatures, handle proxy and institution signatures, record sign-language interpreter involvement with association letter reference for deaf parties, verify copies against originals with name, date, sequential document number, and back-page annotation.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8(1), 8(2)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the 30-day registration window from contract signature with automatic deadline tracking; register late submissions beyond the Directive grace as fine events routed to Module M11.</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4; Dir. Art. 22(1-2)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the legacy contract migration campaign: pre-Proclamation contracts with four witnesses, special annotation that registration was voluntary and verified, and the additional three-month window of Article 7.</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7; Dir. Art. 8(2)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contract amendments and extensions within 30 days; validate any rent change against the currently announced permitted increase before acceptance, and re-issue stamped copies.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10(1-7); MA cl. 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FR-M4-07</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renewals and terminations with their legal grounds (including the landlord no-notice grounds a to g), notice evidence, and handover state, keeping the full contract history immutable.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6, 15-17; MA cl. 6(3)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FR-M4-08</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 the unique register number and archive record upon stamping, store the stamped archive reference, and deliver certified copies to lessor and lessee (electronically and in print).</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9(1), 9(5), 10(7)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8" w:name="_Toc100018"/>
      <w:r>
        <w:rPr>
          <w:rFonts w:ascii="Times New Roman" w:eastAsia="SimHei"/>
          <w:b/>
          <w:bCs/>
          <w:color w:val="1A2330"/>
          <w:sz w:val="28"/>
          <w:szCs w:val="28"/>
        </w:rPr>
        <w:t xml:space="preserve">3.5 Module M5 - Rent Ceiling and Annual Increase Engine</w:t>
      </w:r>
      <w:bookmarkEnd w:id="100018"/>
    </w:p>
    <w:p>
      <w:pPr>
        <w:spacing w:after="120" w:line="312"/>
        <w:jc w:val="left"/>
      </w:pPr>
      <w:r>
        <w:rPr>
          <w:rFonts w:ascii="Times New Roman" w:eastAsia="SimSun"/>
          <w:color w:val="000000"/>
          <w:sz w:val="24"/>
          <w:szCs w:val="24"/>
        </w:rPr>
        <w:t xml:space="preserve">Article 8 is the price control engine of the Proclamation: the Regulatory Body studies the market and fixes or adjusts rent ceilings for each city, announces the annual change on June 1, and the change takes hold on June 30. Contracts concluded between those dates must apply the new rate, and a landlord who raises rent mid-term may only do so within the announced adjustment and must notify both the tenant and the Regulatory Body in writing, as the model agreement repeats in clauses 5(1) and 5(2). The module operationalizes the full annual calendar - study data collection, rate determination, June 1 publication, June 30 automatic effect, contract re-registration prompts - and enforces the compliance checks at registration time (Directive Article 16(3) makes price-rate verification a woreda duty). It also encodes the two special price rules: free pricing for first-time rental of newly built houses (Article 9) and the phantom-rent ceiling for houses left unutilized for more than six months (Article 8(10)).</w:t>
      </w:r>
    </w:p>
    <w:p>
      <w:pPr>
        <w:keepNext/>
        <w:spacing w:after="80" w:before="160" w:line="312"/>
      </w:pPr>
      <w:r>
        <w:rPr>
          <w:rFonts w:ascii="Times New Roman" w:eastAsia="SimSun"/>
          <w:b/>
          <w:bCs/>
          <w:color w:val="1A2330"/>
          <w:sz w:val="21"/>
          <w:szCs w:val="21"/>
        </w:rPr>
        <w:t xml:space="preserve">Table 10: M5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per-city (and optional sub-city level) rent ceiling records with study data support for the annual determination.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8(1-3); Dir. Arts. 11(1), 14(6)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 the annual increase calendar: rate publication on June 1, automatic effectiveness on June 30, and notification to all parties with active contracts plus registration prompts for amendments.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8(4-5); Dir. Art. 11(2-3)</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Validate every contract rent and every amendment against the applicable ceiling at registration time; reject or flag amounts above the permitted rate for the property status and date.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8(6-9); Dir. Art. 16(3)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mid-term increase notices: landlord declaration, written notice evidence to tenant and Regulatory Body, and linkage to the registered amendment within 30 days.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5(1-2); Dir. Art. 10</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Apply free-pricing flags for first-time rentals of newly built houses and the phantom-rent rule (ceiling equals the last genuine rent for houses unutilized over six months).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9, 8(10)</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19" w:name="_Toc100019"/>
      <w:r>
        <w:rPr>
          <w:rFonts w:ascii="Times New Roman" w:eastAsia="SimHei"/>
          <w:b/>
          <w:bCs/>
          <w:color w:val="1A2330"/>
          <w:sz w:val="28"/>
          <w:szCs w:val="28"/>
        </w:rPr>
        <w:t xml:space="preserve">3.6 Module M6 - Exemption and Incentive Management</w:t>
      </w:r>
      <w:bookmarkEnd w:id="100019"/>
    </w:p>
    <w:p>
      <w:pPr>
        <w:spacing w:after="120" w:line="312"/>
        <w:jc w:val="left"/>
      </w:pPr>
      <w:r>
        <w:rPr>
          <w:rFonts w:ascii="Times New Roman" w:eastAsia="SimSun"/>
          <w:color w:val="000000"/>
          <w:sz w:val="24"/>
          <w:szCs w:val="24"/>
        </w:rPr>
        <w:t xml:space="preserve">Article 10 rewards owners who bring housing to the market, and it does so with clocks that start ticking at legally defined moments: up to four years for newly built houses and two years for previously unoccupied houses, with the clarification agreed in the analysis that the clock is armed when the property status is first evidenced and the first contract is registered. When an exemption expires and the house remains vacant in a shortage city, the additional 25 percent vacancy property tax applies, and the Directive adds an escalating ladder (5 to 25 percent by vacancy duration) executed through the property tax system with the Regulatory Body filtering and forwarding the data. The module arms, counts down, and expires these clocks automatically, warns owners ahead of expiry, computes the surcharge events, and - critically for integrity - treats false status claims as a sanctionable offense with the case routed to enforcement, since the Directive lists fraudulent incentive claims among both the prohibitions and the fine grounds.</w:t>
      </w:r>
    </w:p>
    <w:p>
      <w:pPr>
        <w:keepNext/>
        <w:spacing w:after="80" w:before="160" w:line="312"/>
      </w:pPr>
      <w:r>
        <w:rPr>
          <w:rFonts w:ascii="Times New Roman" w:eastAsia="SimSun"/>
          <w:b/>
          <w:bCs/>
          <w:color w:val="1A2330"/>
          <w:sz w:val="21"/>
          <w:szCs w:val="21"/>
        </w:rPr>
        <w:t xml:space="preserve">Table 11: M6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Arm the exemption clock automatically at first contract registration (4 years newly built, 2 years previously unoccupied) and display remaining time on the property and contract records.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10(1-2)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Send expiry warnings to the owner and the Regulatory Body at configurable intervals before exemption end, and switch the property to the fully controlled price regime on expiry.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 vacancy surcharge events (+25 percent property tax reference, and the Directive escalation ladder 5/10/15/20/25 percent by vacancy year band) and forward filtered data to the tax enforcement channel.</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10(4); Dir. Art. 22(8-9)</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Require evidence for status changes after first registration; route false status or fake evidence claims as penalty cases to Module M11.</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21(10), 22(10)</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an incentive and exemption register with reporting per city for the Bureau and Ministry dashboards.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10(3), 18</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0" w:name="_Toc100020"/>
      <w:r>
        <w:rPr>
          <w:rFonts w:ascii="Times New Roman" w:eastAsia="SimHei"/>
          <w:b/>
          <w:bCs/>
          <w:color w:val="1A2330"/>
          <w:sz w:val="28"/>
          <w:szCs w:val="28"/>
        </w:rPr>
        <w:t xml:space="preserve">3.7 Module M7 - Electronic Payment and Ledger</w:t>
      </w:r>
      <w:bookmarkEnd w:id="100020"/>
    </w:p>
    <w:p>
      <w:pPr>
        <w:spacing w:after="120" w:line="312"/>
        <w:jc w:val="left"/>
      </w:pPr>
      <w:r>
        <w:rPr>
          <w:rFonts w:ascii="Times New Roman" w:eastAsia="SimSun"/>
          <w:color w:val="000000"/>
          <w:sz w:val="24"/>
          <w:szCs w:val="24"/>
        </w:rPr>
        <w:t xml:space="preserve">Articles 12 to 14 form a closed evidence chain: advance payment is capped at two months, rent must move only through banks or other legal electronic means, and it is precisely the combination of the registered contract plus electronic payment records that courts must accept as admissible evidence. The module therefore maintains, for every registered contract, a payment schedule (advance within the cap, monthly rent with the due day chosen in model agreement clause 6(1)), reconciles incoming bank or e-payment notifications against that schedule, and publishes a ledger that both parties can consult. Because cash payment is not merely discouraged but sanctionable (the Directive fine ladder includes a 10 percent penalty per cash payment), the ledger also records cash-payment allegations captured through complaints or inspections and routes them to enforcement. Service charge allocation for water, electricity, telephone, security, and cleaning follows the model agreement clause 4(4) and Article 27 of the Proclamation.</w:t>
      </w:r>
    </w:p>
    <w:p>
      <w:pPr>
        <w:keepNext/>
        <w:spacing w:after="80" w:before="160" w:line="312"/>
      </w:pPr>
      <w:r>
        <w:rPr>
          <w:rFonts w:ascii="Times New Roman" w:eastAsia="SimSun"/>
          <w:b/>
          <w:bCs/>
          <w:color w:val="1A2330"/>
          <w:sz w:val="21"/>
          <w:szCs w:val="21"/>
        </w:rPr>
        <w:t xml:space="preserve">Table 12: M7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Generate per-contract payment schedules: advance payment capped at two months, monthly rent with the agreed due day, visible to both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12; MA cl. 6(1)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Integrate with bank and electronic payment channels to record, match, and reconcile rent payments to contracts; recognize only bank or legal electronic channels as valid payment evidence.</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13, 14; Dir. Art. 16(4)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 the electronic payment ledger as the admissible-evidence registry, with tamper-evident entries and downloadable receipts for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arrears, partial payments, and late payment patterns; expose arrears reports to both parties and the Regulatory Body.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13-14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cash-payment allegations from complaints or inspections and create per-occurrence fine events (10 percent of the payment) for Module M11.</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22(7)</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the service charge allocation (tenant, landlord, or shared) for water, telephone, electricity, security, cleaning, and similar services.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4(4); Proc. Art. 27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1" w:name="_Toc100021"/>
      <w:r>
        <w:rPr>
          <w:rFonts w:ascii="Times New Roman" w:eastAsia="SimHei"/>
          <w:b/>
          <w:bCs/>
          <w:color w:val="1A2330"/>
          <w:sz w:val="28"/>
          <w:szCs w:val="28"/>
        </w:rPr>
        <w:t xml:space="preserve">3.8 Module M8 - Compliance Monitoring and Inspection</w:t>
      </w:r>
      <w:bookmarkEnd w:id="100021"/>
    </w:p>
    <w:p>
      <w:pPr>
        <w:spacing w:after="120" w:line="312"/>
        <w:jc w:val="left"/>
      </w:pPr>
      <w:r>
        <w:rPr>
          <w:rFonts w:ascii="Times New Roman" w:eastAsia="SimSun"/>
          <w:color w:val="000000"/>
          <w:sz w:val="24"/>
          <w:szCs w:val="24"/>
        </w:rPr>
        <w:t xml:space="preserve">The Directive gives the woreda office a double mandate: react to complaints and act on its own initiative. Article 20 structures field control precisely - control is performed by a team of more than one assigned professional, the lead inspector carries a government identification card declaring the control mandate during working hours, and findings must lead to the appropriate administrative decision. The module digitizes this as an inspection case: initiation (complaint-linked or self-initiated), team assignment with credential records, structured field checklists (contract presence, rent conformity with the registered price, advance payment legality, e-payment usage, occupancy status against vacancy rules), evidence capture, and a findings report that feeds the decision workflow. It also supports the standing verification duties of woreda offices under Article 16 - checking that presented contracts use the permitted increase rate and that payments flow through legal electronic channels.</w:t>
      </w:r>
    </w:p>
    <w:p>
      <w:pPr>
        <w:keepNext/>
        <w:spacing w:after="80" w:before="160" w:line="312"/>
      </w:pPr>
      <w:r>
        <w:rPr>
          <w:rFonts w:ascii="Times New Roman" w:eastAsia="SimSun"/>
          <w:b/>
          <w:bCs/>
          <w:color w:val="1A2330"/>
          <w:sz w:val="21"/>
          <w:szCs w:val="21"/>
        </w:rPr>
        <w:t xml:space="preserve">Table 13: M8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Create inspection cases from complaints or on office initiative, linked to the property, contract, and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20(1); Proc. Art. 20(1)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Assign inspection teams of two or more professionals and record their credential references for the mandate declaration.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20(2-4)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structured field checklists and evidence capture (photos, documents, payment references) from mobile or office devices.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16, 20</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Produce findings reports with automatic classification of violations per the prohibition list and route them to the decision workflow.</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woreda verification duties on presented contracts: increase-rate conformity and electronic-payment conformity checks.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16(3), 16(4)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2" w:name="_Toc100022"/>
      <w:r>
        <w:rPr>
          <w:rFonts w:ascii="Times New Roman" w:eastAsia="SimHei"/>
          <w:b/>
          <w:bCs/>
          <w:color w:val="1A2330"/>
          <w:sz w:val="28"/>
          <w:szCs w:val="28"/>
        </w:rPr>
        <w:t xml:space="preserve">3.9 Module M9 - Complaint and Case Management</w:t>
      </w:r>
      <w:bookmarkEnd w:id="100022"/>
    </w:p>
    <w:p>
      <w:pPr>
        <w:spacing w:after="120" w:line="312"/>
        <w:jc w:val="left"/>
      </w:pPr>
      <w:r>
        <w:rPr>
          <w:rFonts w:ascii="Times New Roman" w:eastAsia="SimSun"/>
          <w:color w:val="000000"/>
          <w:sz w:val="24"/>
          <w:szCs w:val="24"/>
        </w:rPr>
        <w:t xml:space="preserve">The complaint chain is deadline-driven and multi-channel. Article 18 of the Directive accepts complaints in person, verbally or in writing, by telephone, or through any other media, and Article 19 prescribes the admissibility checklist (complainant identity and address, property address, party names and addresses, date of the violation, and the ground classification) before the case enters the ledger. The Proclamation then sets the clock: the Regulatory Body must investigate and decide within 30 working days, and enforcement cannot start while the case is live. The module implements an omni-channel intake (public portal, office desk, phone log), the eight legal complaint grounds of Directive Article 17 as a controlled classification, a sequential case ledger, an investigation workspace with evidence requests to relevant bodies, decision recording, and the mandatory notification to the complainant. Anonymous reports are accepted but must still carry the property address and violation date to be admissible.</w:t>
      </w:r>
    </w:p>
    <w:p>
      <w:pPr>
        <w:keepNext/>
        <w:spacing w:after="80" w:before="160" w:line="312"/>
      </w:pPr>
      <w:r>
        <w:rPr>
          <w:rFonts w:ascii="Times New Roman" w:eastAsia="SimSun"/>
          <w:b/>
          <w:bCs/>
          <w:color w:val="1A2330"/>
          <w:sz w:val="21"/>
          <w:szCs w:val="21"/>
        </w:rPr>
        <w:t xml:space="preserve">Table 14: M9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complaints through all legal channels: public portal, in-person desk entry, verbal (recorded by officer), written, and phone; every channel produces the same structured case.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 Proc. Art. 20(1)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Classify complaints against the eight legal grounds: renting without registration; paying above the registered price; unauthorized increase or excess advance; illegal term termination; house unutilized over six months; false evidence for incentives; non-residential or criminal use; any other legal violation.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17</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 the admissibility checklist and register admissible cases in a sequential case ledger with status tracking.</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19(1-3)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an investigation workspace with evidence requests to relevant bodies, findings, and proposed decisions.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19(4)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the 30-working-day decision deadline with escalation alerts, and record and communicate the decision to the complainant.</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20(2); Dir. Art. 19(5)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Keep complainant identity confidential from the respondent while preserving due-process evidence sharing.</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PDPP 1321/2024; Dir. Art. 19</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3" w:name="_Toc100023"/>
      <w:r>
        <w:rPr>
          <w:rFonts w:ascii="Times New Roman" w:eastAsia="SimHei"/>
          <w:b/>
          <w:bCs/>
          <w:color w:val="1A2330"/>
          <w:sz w:val="28"/>
          <w:szCs w:val="28"/>
        </w:rPr>
        <w:t xml:space="preserve">3.10 Module M10 - Appeals and Committee Hearings</w:t>
      </w:r>
      <w:bookmarkEnd w:id="100023"/>
    </w:p>
    <w:p>
      <w:pPr>
        <w:spacing w:after="120" w:line="312"/>
        <w:jc w:val="left"/>
      </w:pPr>
      <w:r>
        <w:rPr>
          <w:rFonts w:ascii="Times New Roman" w:eastAsia="SimSun"/>
          <w:color w:val="000000"/>
          <w:sz w:val="24"/>
          <w:szCs w:val="24"/>
        </w:rPr>
        <w:t xml:space="preserve">An aggrieved party may appeal a Regulatory Body decision to the Rent Complaint Hearing Committee within 15 working days, the Committee's decision is the final administrative step, and a dissatisfied party may still go to court within 30 days; meanwhile enforcement of the contested decision is blocked until the decision becomes final. The module manages this second deadline chain automatically: appeal intake with validity check against the 15-working-day window, hearing scheduling with quorum and minutes, decision records with the final-administrative-decision flag, the court escalation window countdown, and the enforcement gate that only unlocks when the case reaches finality. A shared working-day calendar (excluding public holidays per region) drives every deadline in M9, M10, and M11, which is what makes the deadline engine legally reliable.</w:t>
      </w:r>
    </w:p>
    <w:p>
      <w:pPr>
        <w:keepNext/>
        <w:spacing w:after="80" w:before="160" w:line="312"/>
      </w:pPr>
      <w:r>
        <w:rPr>
          <w:rFonts w:ascii="Times New Roman" w:eastAsia="SimSun"/>
          <w:b/>
          <w:bCs/>
          <w:color w:val="1A2330"/>
          <w:sz w:val="21"/>
          <w:szCs w:val="21"/>
        </w:rPr>
        <w:t xml:space="preserve">Table 15: M10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Accept appeals within 15 working days of a decision, with automatic validity checking and acknowledgment receipts.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Support Committee hearing management: scheduling, quorum recording, session minutes, and member conflict-of-interest notes.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Committee decisions with the final-administrative-decision flag and immediate notification to all parties.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the 30-day court escalation window after finality and provide certified case-file exports for court submission.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25, 26</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the working-day deadline engine across complaints, appeals, registrations, and amendments, with configurable regional holiday calendars.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 24, 26; Dir. Art. 22(11)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4" w:name="_Toc100024"/>
      <w:r>
        <w:rPr>
          <w:rFonts w:ascii="Times New Roman" w:eastAsia="SimHei"/>
          <w:b/>
          <w:bCs/>
          <w:color w:val="1A2330"/>
          <w:sz w:val="28"/>
          <w:szCs w:val="28"/>
        </w:rPr>
        <w:t xml:space="preserve">3.11 Module M11 - Enforcement and Penalty Administration</w:t>
      </w:r>
      <w:bookmarkEnd w:id="100024"/>
    </w:p>
    <w:p>
      <w:pPr>
        <w:spacing w:after="120" w:line="312"/>
        <w:jc w:val="left"/>
      </w:pPr>
      <w:r>
        <w:rPr>
          <w:rFonts w:ascii="Times New Roman" w:eastAsia="SimSun"/>
          <w:color w:val="000000"/>
          <w:sz w:val="24"/>
          <w:szCs w:val="24"/>
        </w:rPr>
        <w:t xml:space="preserve">Enforcement is where the legal design is most protective of fairness: no administrative fine may be executed while a decision is still appealable, and the fine amounts are fixed by law rather than by the officer's mood. The Proclamation caps contract-related fines at three months' rent of the affected contract, and the Directive details the ladder per offense (for example, three months' rent for unregistered renting, escalating fines for late registration beyond the grace period, one month's rent for unregistered amendments, two months' rent for unauthorized increase, illegal eviction, or excess advance demands, three months' rent for notice-less termination, 10 percent per cash payment, and the vacancy tax escalation executed through the property tax channel). Some scanned figures in the Amharic source are laid out ambiguously, so the module must implement the ladder as configurable parameters confirmed at legal review, not hard-coded numbers. The module computes fines per offense and per responsible party, applies the finality gate from M10, tracks penalty payment, and prepares court referral files for unpaid fines.</w:t>
      </w:r>
    </w:p>
    <w:p>
      <w:pPr>
        <w:keepNext/>
        <w:spacing w:after="80" w:before="160" w:line="312"/>
      </w:pPr>
      <w:r>
        <w:rPr>
          <w:rFonts w:ascii="Times New Roman" w:eastAsia="SimSun"/>
          <w:b/>
          <w:bCs/>
          <w:color w:val="1A2330"/>
          <w:sz w:val="21"/>
          <w:szCs w:val="21"/>
        </w:rPr>
        <w:t xml:space="preserve">Table 16: M11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Compute administrative penalties per offense type from a configurable, region-specific fine ladder expressed in months of the contract rent (or percentages where legally defined).</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Proc. Art. 4 [G1-CONFIRM]</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the finality gate: no penalty execution while a complaint or appeal is pending; unlock automatically upon decision finality.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20(5), 22(5), 25(2)</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Track penalty notices, payment status, deadlines, and receipts per responsible party.</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Prepare court referral case files (decision, evidence index, penalty computation) for voluntarily unpaid fines.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22(11)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Forward vacancy tax surcharge events and filtered owner data to the tax enforcement channel and record the referral outcome.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22(8-9)</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Mark contracts concluded unregistered as legally ineffective in public verification while keeping the record available to authorized offices for case handling.</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5" w:name="_Toc100025"/>
      <w:r>
        <w:rPr>
          <w:rFonts w:ascii="Times New Roman" w:eastAsia="SimHei"/>
          <w:b/>
          <w:bCs/>
          <w:color w:val="1A2330"/>
          <w:sz w:val="28"/>
          <w:szCs w:val="28"/>
        </w:rPr>
        <w:t xml:space="preserve">3.12 Module M12 - Reporting, Analytics and National Data Publication</w:t>
      </w:r>
      <w:bookmarkEnd w:id="100025"/>
    </w:p>
    <w:p>
      <w:pPr>
        <w:spacing w:after="120" w:line="312"/>
        <w:jc w:val="left"/>
      </w:pPr>
      <w:r>
        <w:rPr>
          <w:rFonts w:ascii="Times New Roman" w:eastAsia="SimSun"/>
          <w:color w:val="000000"/>
          <w:sz w:val="24"/>
          <w:szCs w:val="24"/>
        </w:rPr>
        <w:t xml:space="preserve">The Proclamation assigns the Ministry the duty to collect and publish rental data nationally, and the Directive builds the data pipeline to feed it: woreda offices scan and register, replicate to sub-city and Bureau (Article 13), sub-city offices consolidate and forward (Article 15), and the Bureau analyzes and disseminates (Article 14). The module turns that pipeline into automatic tiered consolidation and a publication layer: operational dashboards per tier (registration coverage, average rents, complaint volumes and outcomes, penalty execution, exemption and vacancy statistics), the annual rent-increase study pack with market analytics supporting the June 1 determination, and the public national data portal where the Ministry publishes anonymized aggregates. All published statistics must pass a privacy filter that suppresses personally identifying combinations before release.</w:t>
      </w:r>
    </w:p>
    <w:p>
      <w:pPr>
        <w:keepNext/>
        <w:spacing w:after="80" w:before="160" w:line="312"/>
      </w:pPr>
      <w:r>
        <w:rPr>
          <w:rFonts w:ascii="Times New Roman" w:eastAsia="SimSun"/>
          <w:b/>
          <w:bCs/>
          <w:color w:val="1A2330"/>
          <w:sz w:val="21"/>
          <w:szCs w:val="21"/>
        </w:rPr>
        <w:t xml:space="preserve">Table 17: M12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Replicate registration, payment, and case data upward automatically: woreda to sub-city to Bureau to Ministry, with change propagation for corrections.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13(3-5), 15(2), 16(5)</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operational dashboards per tier: registration coverage, rent statistics, complaint and appeal outcomes, penalties, exemptions, and vacancy indicators.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Dir. Art. 14(5)</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Produce the annual rent increase study pack (market data, situational analysis inputs) supporting the Bureau determination announced June 1.</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8(1); Dir. Arts. 11(1), 14(6)</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 national anonymized data through the public portal: average rents per city, registered contract volumes, and annual statistics.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18(3)</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standard and ad-hoc report exports (PDF, spreadsheet) with role-based access and privacy filtering.</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PDPP 1321/2024</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2"/>
        <w:spacing w:after="120" w:before="240" w:line="312"/>
      </w:pPr>
      <w:bookmarkStart w:id="100026" w:name="_Toc100026"/>
      <w:r>
        <w:rPr>
          <w:rFonts w:ascii="Times New Roman" w:eastAsia="SimHei"/>
          <w:b/>
          <w:bCs/>
          <w:color w:val="1A2330"/>
          <w:sz w:val="28"/>
          <w:szCs w:val="28"/>
        </w:rPr>
        <w:t xml:space="preserve">3.13 Module M13 - System Administration, Security, Audit and Configuration</w:t>
      </w:r>
      <w:bookmarkEnd w:id="100026"/>
    </w:p>
    <w:p>
      <w:pPr>
        <w:spacing w:after="120" w:line="312"/>
        <w:jc w:val="left"/>
      </w:pPr>
      <w:r>
        <w:rPr>
          <w:rFonts w:ascii="Times New Roman" w:eastAsia="SimSun"/>
          <w:color w:val="000000"/>
          <w:sz w:val="24"/>
          <w:szCs w:val="24"/>
        </w:rPr>
        <w:t xml:space="preserve">This module carries the obligations that keep the platform legally trustworthy over years of operation. The Directive mandates hybrid record keeping - hard and soft copies, scanning of contracts, duplicates, identity photos, and payment documents, backups at every tier, uniform register formats with sequential numbering across all woredas, and change propagation when a woreda corrects data (Article 13). The Proclamation and the standards baseline add security and auditability: every create, read of sensitive data, update, and decision is logged immutably; personal data is protected under the Personal Data Protection Proclamation; and regional variation (each city's directive figures, holiday calendars, fine ladders) lives in versioned configuration rather than code. The module also owns the bilingual user interface with dual EC/GC calendars, the notification service that keeps every legal deadline visible to citizens and officers, and the document generation and stamping workflow records required by Articles 8 to 10 of the Directive.</w:t>
      </w:r>
    </w:p>
    <w:p>
      <w:pPr>
        <w:keepNext/>
        <w:spacing w:after="80" w:before="160" w:line="312"/>
      </w:pPr>
      <w:r>
        <w:rPr>
          <w:rFonts w:ascii="Times New Roman" w:eastAsia="SimSun"/>
          <w:b/>
          <w:bCs/>
          <w:color w:val="1A2330"/>
          <w:sz w:val="21"/>
          <w:szCs w:val="21"/>
        </w:rPr>
        <w:t xml:space="preserve">Table 18: M13 functional requirements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5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Source</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FR-M13-01</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an immutable audit trail of all administrative actions and decisions (actor, action, object, before/after, timestamp, office).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 ISO 27001</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FR-M13-02</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Manage scanned documents and attachments (contracts, duplicates, ID photos, payment documents) with hard-copy register cross-references and per-tier backup jobs.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13(1-4)</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FR-M13-03</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Enforce uniform register formats and uninterrupted sequential numbering per register across all woredas.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13(3)</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FR-M13-04</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Provide versioned regional configuration: directive parameters, fine ladders, increase rates, working-day calendars, and model contract text per jurisdiction.</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29; Dir. Art. 22 [G1-CONFIRM]</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FR-M13-05</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 bilingual UI (Amharic and English) with dual Ethiopian and Gregorian calendar rendering and storage conversion.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26 (EC dates); usability</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FR-M13-06</w:t>
            </w:r>
          </w:p>
        </w:tc>
        <w:tc>
          <w:tcPr>
            <w:tcW w:type="pct" w:w="5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Operate the notification service (SMS, email, in-app) for registration deadlines, June 1 and June 30 events, appeal windows, hearing schedules, and exemption expiries.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8, 24; Dir. Art. 6(1)</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FR-M13-07</w:t>
            </w:r>
          </w:p>
        </w:tc>
        <w:tc>
          <w:tcPr>
            <w:tcW w:type="pct" w:w="5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Record stamp issuance events, back-stamp verification annotations, and archive binding references produced by the certification workflow.</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9, 10(7)</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Must</w:t>
            </w:r>
          </w:p>
        </w:tc>
      </w:tr>
    </w:tbl>
    <w:p>
      <w:pPr>
        <w:pStyle w:val="Heading1"/>
        <w:spacing w:after="160" w:before="360" w:line="312"/>
      </w:pPr>
      <w:bookmarkStart w:id="100027" w:name="_Toc100027"/>
      <w:r>
        <w:rPr>
          <w:rFonts w:ascii="Times New Roman" w:eastAsia="SimHei"/>
          <w:b/>
          <w:bCs/>
          <w:color w:val="1A2330"/>
          <w:sz w:val="32"/>
          <w:szCs w:val="32"/>
        </w:rPr>
        <w:t xml:space="preserve">4. External Interface Requirements</w:t>
      </w:r>
      <w:bookmarkEnd w:id="100027"/>
    </w:p>
    <w:p>
      <w:pPr>
        <w:pStyle w:val="Heading2"/>
        <w:spacing w:after="120" w:before="240" w:line="312"/>
      </w:pPr>
      <w:bookmarkStart w:id="100028" w:name="_Toc100028"/>
      <w:r>
        <w:rPr>
          <w:rFonts w:ascii="Times New Roman" w:eastAsia="SimHei"/>
          <w:b/>
          <w:bCs/>
          <w:color w:val="1A2330"/>
          <w:sz w:val="28"/>
          <w:szCs w:val="28"/>
        </w:rPr>
        <w:t xml:space="preserve">4.1 User Interfaces</w:t>
      </w:r>
      <w:bookmarkEnd w:id="100028"/>
    </w:p>
    <w:p>
      <w:pPr>
        <w:spacing w:after="120" w:line="312"/>
        <w:jc w:val="left"/>
      </w:pPr>
      <w:r>
        <w:rPr>
          <w:rFonts w:ascii="Times New Roman" w:eastAsia="SimSun"/>
          <w:color w:val="000000"/>
          <w:sz w:val="24"/>
          <w:szCs w:val="24"/>
        </w:rPr>
        <w:t xml:space="preserve">The system presents four distinct user experiences on one platform. The public portal serves citizens and visitors in Amharic and English with rent statistics, contract and landlord verification lookups, the downloadable model agreement, and complaint submission. The citizen workspace (landlord, tenant, agent) supports registration, contract preparation, payment visibility, and case tracking. The office back-office serves registrars, stampers, inspectors, and case handlers with queue-based workflows, checklist screens mirroring the Directive verification points, and scanner integration. The committee workspace schedules hearings and records decisions, while the Bureau and Ministry consoles provide configuration, dashboards, and publication control. All interfaces follow a single design system, are responsive for mobile use, and meet accessibility basics (contrast, keyboard navigation).</w:t>
      </w:r>
    </w:p>
    <w:p>
      <w:pPr>
        <w:pStyle w:val="Heading2"/>
        <w:spacing w:after="120" w:before="240" w:line="312"/>
      </w:pPr>
      <w:bookmarkStart w:id="100029" w:name="_Toc100029"/>
      <w:r>
        <w:rPr>
          <w:rFonts w:ascii="Times New Roman" w:eastAsia="SimHei"/>
          <w:b/>
          <w:bCs/>
          <w:color w:val="1A2330"/>
          <w:sz w:val="28"/>
          <w:szCs w:val="28"/>
        </w:rPr>
        <w:t xml:space="preserve">4.2 Software and Communications Interfaces</w:t>
      </w:r>
      <w:bookmarkEnd w:id="100029"/>
    </w:p>
    <w:p>
      <w:pPr>
        <w:keepNext/>
        <w:spacing w:after="80" w:before="160" w:line="312"/>
      </w:pPr>
      <w:r>
        <w:rPr>
          <w:rFonts w:ascii="Times New Roman" w:eastAsia="SimSun"/>
          <w:b/>
          <w:bCs/>
          <w:color w:val="1A2330"/>
          <w:sz w:val="21"/>
          <w:szCs w:val="21"/>
        </w:rPr>
        <w:t xml:space="preserve">Table 19: External system interfaces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Interface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Purpose and Direction</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Notes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Banking / e-payment gateway</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Inbound payment notifications; outbound reconciliation queries; validates the Article 13 electronic-only rule</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Contract-dependent (placeholder partner); file-based fallback required</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SMS gateway</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Outbound deadline and event notifications to parties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Afar-format templates; bilingual</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Email service</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Outbound formal notices, receipts, hearing schedules</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Delivery logging for audit</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 scanning station</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Capture of contracts, IDs, duplicates at woreda offices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13(2); PDF/A archiving</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Tax system referral</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Outbound vacancy surcharge events and filtered owner data</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22(8-9); initial phase manual export acceptable</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National data exchange (future)</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to Ministry aggregation; open data publication</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 anonymized aggregates only</w:t>
            </w:r>
          </w:p>
        </w:tc>
      </w:tr>
    </w:tbl>
    <w:p>
      <w:pPr>
        <w:pStyle w:val="Heading2"/>
        <w:spacing w:after="120" w:before="240" w:line="312"/>
      </w:pPr>
      <w:bookmarkStart w:id="100030" w:name="_Toc100030"/>
      <w:r>
        <w:rPr>
          <w:rFonts w:ascii="Times New Roman" w:eastAsia="SimHei"/>
          <w:b/>
          <w:bCs/>
          <w:color w:val="1A2330"/>
          <w:sz w:val="28"/>
          <w:szCs w:val="28"/>
        </w:rPr>
        <w:t xml:space="preserve">4.3 Hardware Interfaces</w:t>
      </w:r>
      <w:bookmarkEnd w:id="100030"/>
    </w:p>
    <w:p>
      <w:pPr>
        <w:spacing w:after="120" w:line="312"/>
        <w:jc w:val="left"/>
      </w:pPr>
      <w:r>
        <w:rPr>
          <w:rFonts w:ascii="Times New Roman" w:eastAsia="SimSun"/>
          <w:color w:val="000000"/>
          <w:sz w:val="24"/>
          <w:szCs w:val="24"/>
        </w:rPr>
        <w:t xml:space="preserve">Woreda and sub-city offices require A4 document scanners (duplex, 300 dpi minimum) for the mandatory digitization of contracts and attachments, printers for certified copies and official forms, and reliable connectivity to the central platform. Inspectors use tablets or laptops with camera capability for field evidence capture, with offline capture and later synchronization tolerated for areas with unstable connectivity. No specialized hardware is imposed on citizens beyond any smartphone or computer with a browser, keeping public access barriers low.</w:t>
      </w:r>
    </w:p>
    <w:p>
      <w:pPr>
        <w:pStyle w:val="Heading1"/>
        <w:spacing w:after="160" w:before="360" w:line="312"/>
      </w:pPr>
      <w:bookmarkStart w:id="100031" w:name="_Toc100031"/>
      <w:r>
        <w:rPr>
          <w:rFonts w:ascii="Times New Roman" w:eastAsia="SimHei"/>
          <w:b/>
          <w:bCs/>
          <w:color w:val="1A2330"/>
          <w:sz w:val="32"/>
          <w:szCs w:val="32"/>
        </w:rPr>
        <w:t xml:space="preserve">5. Non-Functional Requirements</w:t>
      </w:r>
      <w:bookmarkEnd w:id="100031"/>
    </w:p>
    <w:p>
      <w:pPr>
        <w:spacing w:after="120" w:line="312"/>
        <w:jc w:val="left"/>
      </w:pPr>
      <w:r>
        <w:rPr>
          <w:rFonts w:ascii="Times New Roman" w:eastAsia="SimSun"/>
          <w:color w:val="000000"/>
          <w:sz w:val="24"/>
          <w:szCs w:val="24"/>
        </w:rPr>
        <w:t xml:space="preserve">Non-functional requirements follow the ISO/IEC 25010 quality model so that each quality characteristic is verifiable at the Phase 5 test stage. Numeric targets below are the acceptance baseline for the pilot deployment; they may be raised by the owner at Gate G2 but never silently lowered during construction. Where a target depends on deployment scale, it is stated for one full city (all sub-cities and woredas) as the unit of scale.</w:t>
      </w:r>
    </w:p>
    <w:p>
      <w:pPr>
        <w:keepNext/>
        <w:spacing w:after="80" w:before="160" w:line="312"/>
      </w:pPr>
      <w:r>
        <w:rPr>
          <w:rFonts w:ascii="Times New Roman" w:eastAsia="SimSun"/>
          <w:b/>
          <w:bCs/>
          <w:color w:val="1A2330"/>
          <w:sz w:val="21"/>
          <w:szCs w:val="21"/>
        </w:rPr>
        <w:t xml:space="preserve">Table 20: Non-functional requirements (ISO/IEC 25010 based)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Characteristic</w:t>
            </w:r>
          </w:p>
        </w:tc>
        <w:tc>
          <w:tcPr>
            <w:tcW w:type="pct" w:w="7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Requirement and Acceptance Target</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NFR-01</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Performance</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Interactive screens respond within 3 seconds at the 95th percentile under a full-city load of 500 concurrent office users and 5,000 public portal users; registration submission completes within 5 seconds end to end.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NFR-02</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Availability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99.5 percent availability during declared office hours for office functions and 99.0 percent around the clock for the public portal; planned maintenance outside office hours with 48-hour notice.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NFR-03</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Recoverability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Backups per tier per Directive Art. 13(4): nightly full plus continuous transaction logging; recovery point objective 15 minutes, recovery time objective 4 hours; annual restore drill evidenced.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NFR-04</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Security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OWASP ASVS Level 2 controls; TLS 1.2+ in transit; encryption at rest for personal and financial data; role-based access with least privilege; secrets management; annual penetration test before go-live.</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NFR-05</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Privacy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Personal data processing limited to legal purposes under PDPP 1321/2024; consent and purpose registry; anonymization gate before any publication; data subject request workflow with statutory response times.</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NFR-06</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Locale and calendar</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Full Amharic and English interfaces; dual Ethiopian and Gregorian calendar display with unambiguous storage (UTC instants plus EC dates for legal records); Ethiopian numeric formatting for currency.</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NFR-07</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Auditability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One hundred percent of state-changing actions and sensitive reads logged immutably; logs retained at least 7 years; audit export per case and per user on demand.</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NFR-08</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Scalability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Architecture sized for national rollout: at least 10 regions, 100 sub-cities, and 1,000 woreda offices without architectural change; horizontal scaling of stateless services.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NFR-09</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Usability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 registrar completes a standard contract registration in 15 minutes or less after two days of training; task-success rate above 90 percent in UAT scenarios; context help cites the governing legal article on each screen.</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NFR-10</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Maintainability and portability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Modular services per the M1-M13 boundaries; configuration over code for regional variation; automated CI/CD with regression suite; runs on mainstream Linux servers and mainstream browsers.</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NFR-11</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Traceability</w:t>
            </w:r>
          </w:p>
        </w:tc>
        <w:tc>
          <w:tcPr>
            <w:tcW w:type="pct" w:w="7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Every requirement, design element, code module, and test case carries its trace links to this SRS and to the legal source; the trace matrix is regenerated at every gate.</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NFR-12</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Data quality and integrity</w:t>
            </w:r>
          </w:p>
        </w:tc>
        <w:tc>
          <w:tcPr>
            <w:tcW w:type="pct" w:w="7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Sequential register numbering enforced database-side; contract records immutable after certification with corrective entries via the Article 12 correction workflow only.</w:t>
            </w:r>
          </w:p>
        </w:tc>
      </w:tr>
    </w:tbl>
    <w:p>
      <w:pPr>
        <w:pStyle w:val="Heading1"/>
        <w:spacing w:after="160" w:before="360" w:line="312"/>
      </w:pPr>
      <w:bookmarkStart w:id="100032" w:name="_Toc100032"/>
      <w:r>
        <w:rPr>
          <w:rFonts w:ascii="Times New Roman" w:eastAsia="SimHei"/>
          <w:b/>
          <w:bCs/>
          <w:color w:val="1A2330"/>
          <w:sz w:val="32"/>
          <w:szCs w:val="32"/>
        </w:rPr>
        <w:t xml:space="preserve">6. Use Case Registry</w:t>
      </w:r>
      <w:bookmarkEnd w:id="100032"/>
    </w:p>
    <w:p>
      <w:pPr>
        <w:spacing w:after="120" w:line="312"/>
        <w:jc w:val="left"/>
      </w:pPr>
      <w:r>
        <w:rPr>
          <w:rFonts w:ascii="Times New Roman" w:eastAsia="SimSun"/>
          <w:color w:val="000000"/>
          <w:sz w:val="24"/>
          <w:szCs w:val="24"/>
        </w:rPr>
        <w:t xml:space="preserve">The use case model agreed during the analysis phase comprises 21 use cases across six actor groups. The registry below restates each use case with its owning module and legal anchor, forming the functional backbone for sprint planning in Phase 4 and for scenario-based UAT in Phase 5. Use case UC-L0 (landlord registration) was elaborated step by step with the owner and is treated as the reference pattern for all registration-style workflows.</w:t>
      </w:r>
    </w:p>
    <w:p>
      <w:pPr>
        <w:keepNext/>
        <w:spacing w:after="80" w:before="160" w:line="312"/>
      </w:pPr>
      <w:r>
        <w:rPr>
          <w:rFonts w:ascii="Times New Roman" w:eastAsia="SimSun"/>
          <w:b/>
          <w:bCs/>
          <w:color w:val="1A2330"/>
          <w:sz w:val="21"/>
          <w:szCs w:val="21"/>
        </w:rPr>
        <w:t xml:space="preserve">Table 21: Use case registry (21 use cases)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3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Use Case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Primary Actor</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Anchor</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UC-L0</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registration and profile creation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MA cl. 1; Dir. Art. 5</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UC-L1</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 property and declare legal status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 MA cl. 3-4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UC-L2</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Prepare, sign, and register rental contract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 Tenant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4-6; Dir. Arts. 6-9</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UC-L3</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Declare permitted rent increase / amend contract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 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8; MA cl. 5; Dir. Art. 10</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UC-T1</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landlord and contract registration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UC-T2</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Pay rent electronically and view ledger</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12-14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UC-T3</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File complaint (overcharge, illegal eviction)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Dir. Arts. 17-18</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UC-R1</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documents and register contract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7-9</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UC-R2</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Conduct team inspection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20</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UC-R3</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Decide complaint case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20; Dir. Art. 19</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UC-C1</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Hear appeal and issue final decision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Committee</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UC-M1</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Publish national data and annual statistics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UC-P1</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View published rents and statistics</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18(3)</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UC-P2</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Verify contract authenticity / register number</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4, 14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UC-P3</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Report suspected violation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18</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UC-P4</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Download official model agreement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5; Dir. Art. 4</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UC-R4</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Administer penalties and enforcement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22; Proc. Art. 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UC-R5</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Migrate legacy contracts (30+3 day campaign)</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Officer + Landlord</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7; Dir. Art. 8(2)</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UC-T4</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Appeal decision to Committee</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 Landlord</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M10</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24</w:t>
            </w:r>
          </w:p>
        </w:tc>
      </w:tr>
      <w:tr>
        <w:trPr>
          <w:cantSplit/>
        </w:trPr>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UC-M2</w:t>
            </w:r>
          </w:p>
        </w:tc>
        <w:tc>
          <w:tcPr>
            <w:tcW w:type="pct" w:w="3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Configure regional parameters and calendars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 Bureau</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29; Dir. Art. 22</w:t>
            </w:r>
          </w:p>
        </w:tc>
      </w:tr>
      <w:tr>
        <w:trPr>
          <w:cantSplit/>
        </w:trPr>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UC-R6</w:t>
            </w:r>
          </w:p>
        </w:tc>
        <w:tc>
          <w:tcPr>
            <w:tcW w:type="pct" w:w="3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Consolidate and forward tier data</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 Bureau</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Arts. 13, 15, 16</w:t>
            </w:r>
          </w:p>
        </w:tc>
      </w:tr>
    </w:tbl>
    <w:p>
      <w:pPr>
        <w:pStyle w:val="Heading1"/>
        <w:spacing w:after="160" w:before="360" w:line="312"/>
      </w:pPr>
      <w:bookmarkStart w:id="100033" w:name="_Toc100033"/>
      <w:r>
        <w:rPr>
          <w:rFonts w:ascii="Times New Roman" w:eastAsia="SimHei"/>
          <w:b/>
          <w:bCs/>
          <w:color w:val="1A2330"/>
          <w:sz w:val="32"/>
          <w:szCs w:val="32"/>
        </w:rPr>
        <w:t xml:space="preserve">7. Legal Traceability Matrix</w:t>
      </w:r>
      <w:bookmarkEnd w:id="100033"/>
    </w:p>
    <w:p>
      <w:pPr>
        <w:spacing w:after="120" w:line="312"/>
        <w:jc w:val="left"/>
      </w:pPr>
      <w:r>
        <w:rPr>
          <w:rFonts w:ascii="Times New Roman" w:eastAsia="SimSun"/>
          <w:color w:val="000000"/>
          <w:sz w:val="24"/>
          <w:szCs w:val="24"/>
        </w:rPr>
        <w:t xml:space="preserve">This chapter is the compliance backbone of the SRS. It demonstrates, provision by provision, that no binding rule of the three legal documents is left without a system capability. The matrix is maintained as a living artifact: at every subsequent gate it is regenerated from the design and test repositories so that the owner can verify end-to-end coverage (requirement, design, code, test). The tables below cover the load-bearing provisions; the complete clause-level matrix for the model agreement follows in Table 12.</w:t>
      </w:r>
    </w:p>
    <w:p>
      <w:pPr>
        <w:pStyle w:val="Heading2"/>
        <w:spacing w:after="120" w:before="240" w:line="312"/>
      </w:pPr>
      <w:bookmarkStart w:id="100034" w:name="_Toc100034"/>
      <w:r>
        <w:rPr>
          <w:rFonts w:ascii="Times New Roman" w:eastAsia="SimHei"/>
          <w:b/>
          <w:bCs/>
          <w:color w:val="1A2330"/>
          <w:sz w:val="28"/>
          <w:szCs w:val="28"/>
        </w:rPr>
        <w:t xml:space="preserve">7.1 Proclamation Coverage</w:t>
      </w:r>
      <w:bookmarkEnd w:id="100034"/>
    </w:p>
    <w:p>
      <w:pPr>
        <w:keepNext/>
        <w:spacing w:after="80" w:before="160" w:line="312"/>
      </w:pPr>
      <w:r>
        <w:rPr>
          <w:rFonts w:ascii="Times New Roman" w:eastAsia="SimSun"/>
          <w:b/>
          <w:bCs/>
          <w:color w:val="1A2330"/>
          <w:sz w:val="21"/>
          <w:szCs w:val="21"/>
        </w:rPr>
        <w:t xml:space="preserve">Table 22: Proclamation provisions to system capabilities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Proc. Article</w:t>
            </w:r>
          </w:p>
        </w:tc>
        <w:tc>
          <w:tcPr>
            <w:tcW w:type="pct" w:w="4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Content (summary)</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Module(s)</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FRs</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2(2-4)</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status classification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FR-M3-02</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3(3)</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Scope exclusions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 1.2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4</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Written, certified, registered contracts; 30-day window; fine up to 3 months rent</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FR-M4-02/04, FR-M11-01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5</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Model agreement publication</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 FR-M13-04</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6</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Minimum 2-year term; written renewal</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FR-M4-01/07</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7</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 migration 30+3 days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FR-M4-05</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8</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Ceilings; annual increase June 1/30; phantom rent &gt;6 months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9</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Free first-time pricing of new houses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FR-M5-05</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10</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Exemption clocks; +25% vacancy tax; incentives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M6</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FR-M6-01..05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12</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cap 2 months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FR-M7-01</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13</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 / e-payment only</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M8</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FR-M7-02, FR-M8-05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14</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Admissible evidence = registered contract + e-payment records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M7, 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FR-M7-03, FR-M11-06</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Arts. 15-17</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Termination regime incl. no-notice grounds a-g</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FR-M4-07</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18</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Ministry duties; national data publication</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FR-M12-04</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19</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duties; IT system mandate 19(5)</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FR-M1-01, platform itself</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Arts. 20-26</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Complaints, deadlines, Committee, court, enforcement gate</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 M10, 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FR-M9-05, FR-M10-01..05, FR-M11-02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29</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implementation directives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FR-M13-04</w:t>
            </w:r>
          </w:p>
        </w:tc>
      </w:tr>
    </w:tbl>
    <w:p>
      <w:pPr>
        <w:pStyle w:val="Heading2"/>
        <w:spacing w:after="120" w:before="240" w:line="312"/>
      </w:pPr>
      <w:bookmarkStart w:id="100035" w:name="_Toc100035"/>
      <w:r>
        <w:rPr>
          <w:rFonts w:ascii="Times New Roman" w:eastAsia="SimHei"/>
          <w:b/>
          <w:bCs/>
          <w:color w:val="1A2330"/>
          <w:sz w:val="28"/>
          <w:szCs w:val="28"/>
        </w:rPr>
        <w:t xml:space="preserve">7.2 Directive Coverage</w:t>
      </w:r>
      <w:bookmarkEnd w:id="100035"/>
    </w:p>
    <w:p>
      <w:pPr>
        <w:keepNext/>
        <w:spacing w:after="80" w:before="160" w:line="312"/>
      </w:pPr>
      <w:r>
        <w:rPr>
          <w:rFonts w:ascii="Times New Roman" w:eastAsia="SimSun"/>
          <w:b/>
          <w:bCs/>
          <w:color w:val="1A2330"/>
          <w:sz w:val="21"/>
          <w:szCs w:val="21"/>
        </w:rPr>
        <w:t xml:space="preserve">Table 23: Directive provisions to system capabilities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Dir. Article</w:t>
            </w:r>
          </w:p>
        </w:tc>
        <w:tc>
          <w:tcPr>
            <w:tcW w:type="pct" w:w="4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Legal Content (summary)</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Module(s)</w:t>
            </w:r>
          </w:p>
        </w:tc>
        <w:tc>
          <w:tcPr>
            <w:tcW w:type="pct" w:w="2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FRs</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4</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content; model annexed; Bureau may improve</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5</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Documents at registration (IDs, POA, ownership proofs)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FR-M2-02/03, FR-M3-03</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6</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Public call; in-person at woreda; computer-typed form</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 FR-M13-05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7</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Nine-point document verification checklist</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8</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Registrar certification acts; legacy annotation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FR-M4-03/05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9</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Stamping; database entry; certified copies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FR-M4-08, FR-M13-07</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10</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Amendments within 30 days; increase validation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M4, M5</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FR-M4-06, FR-M5-03</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11</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Annual increase study; June 1 / June 30</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M5</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12</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Registration corrections; court-decision changes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M2, M13</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FR-M2-05</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13</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Hard+soft records; scanning; tier replication; backups; uniform registers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M12, M13</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FR-M12-01, FR-M13-02/03</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Arts. 14-16</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sub-city, woreda duties; IT mandates 14(4), 16(6)</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 M12</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FR-M1-04, FR-M12-01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17</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Eight complaint grounds</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FR-M9-02</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18</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Multi-channel complaint submission</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FR-M9-01</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19</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Admissibility checklist; ledger; decision notice</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M9</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FR-M9-03..05</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20</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Team control with credentials</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FR-M8-01/02</w:t>
            </w:r>
          </w:p>
        </w:tc>
      </w:tr>
      <w:tr>
        <w:trPr>
          <w:cantSplit/>
        </w:trPr>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21</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Prohibited acts list</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M8, M11</w:t>
            </w:r>
          </w:p>
        </w:tc>
        <w:tc>
          <w:tcPr>
            <w:tcW w:type="pct" w:w="2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FR-M8-04</w:t>
            </w:r>
          </w:p>
        </w:tc>
      </w:tr>
      <w:tr>
        <w:trPr>
          <w:cantSplit/>
        </w:trPr>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Art. 22</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Administrative penalties ladder; tax escalation; court referral</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M11</w:t>
            </w:r>
          </w:p>
        </w:tc>
        <w:tc>
          <w:tcPr>
            <w:tcW w:type="pct" w:w="2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FR-M11-01..05</w:t>
            </w:r>
          </w:p>
        </w:tc>
      </w:tr>
    </w:tbl>
    <w:p>
      <w:pPr>
        <w:pStyle w:val="Heading2"/>
        <w:spacing w:after="120" w:before="240" w:line="312"/>
      </w:pPr>
      <w:bookmarkStart w:id="100036" w:name="_Toc100036"/>
      <w:r>
        <w:rPr>
          <w:rFonts w:ascii="Times New Roman" w:eastAsia="SimHei"/>
          <w:b/>
          <w:bCs/>
          <w:color w:val="1A2330"/>
          <w:sz w:val="28"/>
          <w:szCs w:val="28"/>
        </w:rPr>
        <w:t xml:space="preserve">7.3 Model Agreement Field Mapping</w:t>
      </w:r>
      <w:bookmarkEnd w:id="100036"/>
    </w:p>
    <w:p>
      <w:pPr>
        <w:keepNext/>
        <w:spacing w:after="80" w:before="160" w:line="312"/>
      </w:pPr>
      <w:r>
        <w:rPr>
          <w:rFonts w:ascii="Times New Roman" w:eastAsia="SimSun"/>
          <w:b/>
          <w:bCs/>
          <w:color w:val="1A2330"/>
          <w:sz w:val="21"/>
          <w:szCs w:val="21"/>
        </w:rPr>
        <w:t xml:space="preserve">Table 24: Model Agreement clauses to digital form fields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MA Clause</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Digital Form Element</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Validation / Automation</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1 (lessor)</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Landlord identity block</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 registered party profile; cannot diverge</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2 (lessee)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identity block</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 registered party profile</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3 (property)</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Property address and ownership block</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From registered property; woreda routing</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4(1)</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House status selector</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Three-value enum; drives exemption clock</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4(2)</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Rent (words and figures) and term</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Term at least 2 years; rent vs ceiling check</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4(3)</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Renewal clause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Renewal workflow requires written renewal</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4(4)</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Service charge payer</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Enum tenant/landlord/shared; Art. 27 reference</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5(1-2)</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Increase clauses</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Locked to announced annual rate; notice tasks</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6(1)</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and monthly due day</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Advance capped at 2 months; schedule generation</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6(2-5)</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Tenant obligations</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Static legal text; e-payment clause locked</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7</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Gap-filler reference to Proclamation</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Static text</w:t>
            </w:r>
          </w:p>
        </w:tc>
      </w:tr>
      <w:tr>
        <w:trPr>
          <w:cantSplit/>
        </w:trPr>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cl. 8</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Certification effect clause</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Contract effective only after regulator certification</w:t>
            </w:r>
          </w:p>
        </w:tc>
      </w:tr>
      <w:tr>
        <w:trPr>
          <w:cantSplit/>
        </w:trPr>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Signatures + 3 witnesses</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Signature and witness blocks</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Witness IDs captured; legacy contracts require 4</w:t>
            </w:r>
          </w:p>
        </w:tc>
      </w:tr>
    </w:tbl>
    <w:p>
      <w:pPr>
        <w:pStyle w:val="Heading1"/>
        <w:spacing w:after="160" w:before="360" w:line="312"/>
      </w:pPr>
      <w:bookmarkStart w:id="100037" w:name="_Toc100037"/>
      <w:r>
        <w:rPr>
          <w:rFonts w:ascii="Times New Roman" w:eastAsia="SimHei"/>
          <w:b/>
          <w:bCs/>
          <w:color w:val="1A2330"/>
          <w:sz w:val="32"/>
          <w:szCs w:val="32"/>
        </w:rPr>
        <w:t xml:space="preserve">8. Data Requirements</w:t>
      </w:r>
      <w:bookmarkEnd w:id="100037"/>
    </w:p>
    <w:p>
      <w:pPr>
        <w:spacing w:after="120" w:line="312"/>
        <w:jc w:val="left"/>
      </w:pPr>
      <w:r>
        <w:rPr>
          <w:rFonts w:ascii="Times New Roman" w:eastAsia="SimSun"/>
          <w:color w:val="000000"/>
          <w:sz w:val="24"/>
          <w:szCs w:val="24"/>
        </w:rPr>
        <w:t xml:space="preserve">The persistent data model centers on nine master entities: Party, Agent Mandate, Property, Contract, Contract Amendment, Payment, Case (complaint, inspection, appeal), Penalty, and Exemption. Supporting entities cover the organization hierarchy, staff accounts and roles, documents and scans, register number sequences, notifications, configuration versions per jurisdiction, and the immutable audit log. Every legal record stores both its Ethiopian Calendar legal date and its UTC instant. Retention follows the legal value of records: contracts, registers, decisions, and penalty files are retained permanently in the archive tier; operational logs follow the NFR-07 retention; personal data is retained no longer than the legal purpose requires, per the privacy regulation. All register counters are allocated centrally so that numbering remains gapless and uniform across woredas even during offline operation with deferred synchronization.</w:t>
      </w:r>
    </w:p>
    <w:p>
      <w:pPr>
        <w:spacing w:after="120" w:line="312"/>
        <w:jc w:val="left"/>
      </w:pPr>
      <w:r>
        <w:rPr>
          <w:rFonts w:ascii="Times New Roman" w:eastAsia="SimSun"/>
          <w:color w:val="000000"/>
          <w:sz w:val="24"/>
          <w:szCs w:val="24"/>
        </w:rPr>
        <w:t xml:space="preserve">Data migration deserves special emphasis: the legacy contract campaign (Proclamation Article 7) requires bulk intake of pre-existing paper contracts during the pilot, so the model includes a staging area for migrated contracts with source-document scans, the four-witness records, and the legacy annotation flag, keeping migrated records distinguishable from born-digital ones without any difference in legal effect.</w:t>
      </w:r>
    </w:p>
    <w:p>
      <w:pPr>
        <w:pStyle w:val="Heading1"/>
        <w:spacing w:after="160" w:before="360" w:line="312"/>
      </w:pPr>
      <w:bookmarkStart w:id="100038" w:name="_Toc100038"/>
      <w:r>
        <w:rPr>
          <w:rFonts w:ascii="Times New Roman" w:eastAsia="SimHei"/>
          <w:b/>
          <w:bCs/>
          <w:color w:val="1A2330"/>
          <w:sz w:val="32"/>
          <w:szCs w:val="32"/>
        </w:rPr>
        <w:t xml:space="preserve">9. Verification and Acceptance Approach</w:t>
      </w:r>
      <w:bookmarkEnd w:id="100038"/>
    </w:p>
    <w:p>
      <w:pPr>
        <w:spacing w:after="120" w:line="312"/>
        <w:jc w:val="left"/>
      </w:pPr>
      <w:r>
        <w:rPr>
          <w:rFonts w:ascii="Times New Roman" w:eastAsia="SimSun"/>
          <w:color w:val="000000"/>
          <w:sz w:val="24"/>
          <w:szCs w:val="24"/>
        </w:rPr>
        <w:t xml:space="preserve">Verification follows the V-model commitment of the implementation plan: every requirement in Chapter 3 maps to at least one acceptance criterion in its module test pack, and every legal constraint in Chapter 2.5 maps to a compliance test case in the legal test pack. Three test layers are planned. Unit and integration verification during construction sprints checks requirement-level behavior. System testing executes the full business scenarios from the use case registry, including the deadline engine behavior across June 1, June 30, the 30-day registration window, the 15-working-day appeal window, and the 30-working-day decision window. Acceptance testing is scenario-based UAT executed by nominated Bureau and woreda business focal persons, using the same forms and checklists they use today, so that legal fidelity is confirmed by the people who operate the law.</w:t>
      </w:r>
    </w:p>
    <w:p>
      <w:pPr>
        <w:spacing w:after="120" w:line="312"/>
        <w:jc w:val="left"/>
      </w:pPr>
      <w:r>
        <w:rPr>
          <w:rFonts w:ascii="Times New Roman" w:eastAsia="SimSun"/>
          <w:color w:val="000000"/>
          <w:sz w:val="24"/>
          <w:szCs w:val="24"/>
        </w:rPr>
        <w:t xml:space="preserve">The Gate G1 exit criteria are: (a) all Must-priority requirements approved by the owner; (b) every [G1-CONFIRM] item resolved; (c) the traceability matrix showing 100 percent coverage of the binding provisions listed in Chapter 7; and (d) no open severity-one ambiguities. Meeting these criteria freezes the requirements baseline for Phase 2 architecture.</w:t>
      </w:r>
    </w:p>
    <w:p>
      <w:pPr>
        <w:pStyle w:val="Heading1"/>
        <w:spacing w:after="160" w:before="360" w:line="312"/>
      </w:pPr>
      <w:bookmarkStart w:id="100039" w:name="_Toc100039"/>
      <w:r>
        <w:rPr>
          <w:rFonts w:ascii="Times New Roman" w:eastAsia="SimHei"/>
          <w:b/>
          <w:bCs/>
          <w:color w:val="1A2330"/>
          <w:sz w:val="32"/>
          <w:szCs w:val="32"/>
        </w:rPr>
        <w:t xml:space="preserve">10. Open Items and Regional Configuration Parameters</w:t>
      </w:r>
      <w:bookmarkEnd w:id="100039"/>
    </w:p>
    <w:p>
      <w:pPr>
        <w:spacing w:after="120" w:line="312"/>
        <w:jc w:val="left"/>
      </w:pPr>
      <w:r>
        <w:rPr>
          <w:rFonts w:ascii="Times New Roman" w:eastAsia="SimSun"/>
          <w:color w:val="000000"/>
          <w:sz w:val="24"/>
          <w:szCs w:val="24"/>
        </w:rPr>
        <w:t xml:space="preserve">The following items are intentionally declared open rather than silently assumed. Each has an owner and a resolution deadline at or before Gate G2 so that design work is never blocked while still preventing unconfirmed figures from being hard-coded.</w:t>
      </w:r>
    </w:p>
    <w:p>
      <w:pPr>
        <w:keepNext/>
        <w:spacing w:after="80" w:before="160" w:line="312"/>
      </w:pPr>
      <w:r>
        <w:rPr>
          <w:rFonts w:ascii="Times New Roman" w:eastAsia="SimSun"/>
          <w:b/>
          <w:bCs/>
          <w:color w:val="1A2330"/>
          <w:sz w:val="21"/>
          <w:szCs w:val="21"/>
        </w:rPr>
        <w:t xml:space="preserve">Table 25: Open items register</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Open Item</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Impacted FRs</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Resolution Path</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O1</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Directive Art. 22 fine ladder exact figures (scanned two-column layout partly ambiguous)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FR-M11-01</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against official Amharic text at legal review; encode as configurable parameters</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O2</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Regional directive variants for cities outside Addis Ababa</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Collect per-city directives before regional rollout (Phase 6)</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O3</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Banking / e-payment partner APIs and file formats</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FR-M7-02</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Tender and integration spike during Phase 2; file-based fallback defined</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O4</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SMS gateway provider and template approvals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FR-M13-06</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Procurement during Phase 3; templates approved by Bureau communications</w:t>
            </w:r>
          </w:p>
        </w:tc>
      </w:tr>
      <w:tr>
        <w:trPr>
          <w:cantSplit/>
        </w:trPr>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O5</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Archival retention periods harmonization (7-year default vs any city archive rule)</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NFR-07, FR-M13-02</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Confirm with Bureau records office at Gate G2</w:t>
            </w:r>
          </w:p>
        </w:tc>
      </w:tr>
      <w:tr>
        <w:trPr>
          <w:cantSplit/>
        </w:trPr>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O6</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Sub-city level rent ceiling granularity (city-wide vs sub-city rates)</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FR-M5-01</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study team decision before first June 1 cycle</w:t>
            </w:r>
          </w:p>
        </w:tc>
      </w:tr>
    </w:tbl>
    <w:p>
      <w:pPr>
        <w:pStyle w:val="Heading1"/>
        <w:spacing w:after="160" w:before="360" w:line="312"/>
      </w:pPr>
      <w:bookmarkStart w:id="100040" w:name="_Toc100040"/>
      <w:r>
        <w:rPr>
          <w:rFonts w:ascii="Times New Roman" w:eastAsia="SimHei"/>
          <w:b/>
          <w:bCs/>
          <w:color w:val="1A2330"/>
          <w:sz w:val="32"/>
          <w:szCs w:val="32"/>
        </w:rPr>
        <w:t xml:space="preserve">11. Approval and Change Control</w:t>
      </w:r>
      <w:bookmarkEnd w:id="100040"/>
    </w:p>
    <w:p>
      <w:pPr>
        <w:spacing w:after="120" w:line="312"/>
        <w:jc w:val="left"/>
      </w:pPr>
      <w:r>
        <w:rPr>
          <w:rFonts w:ascii="Times New Roman" w:eastAsia="SimSun"/>
          <w:color w:val="000000"/>
          <w:sz w:val="24"/>
          <w:szCs w:val="24"/>
        </w:rPr>
        <w:t xml:space="preserve">This SRS becomes the frozen Phase 1 baseline when the owner signs the Gate G1 approval below. After freezing, any change follows the change control procedure of the implementation plan: a change request describing the driver (legal amendment, operational correction, or enhancement), an impact analysis across the traceability matrix, and explicit owner approval before the baseline is updated and re-versioned. Minor editorial corrections that do not alter behavior may be applied by the project librarian with traceable version notes.</w:t>
      </w:r>
    </w:p>
    <w:p>
      <w:pPr>
        <w:keepNext/>
        <w:spacing w:after="80" w:before="160" w:line="312"/>
      </w:pPr>
      <w:r>
        <w:rPr>
          <w:rFonts w:ascii="Times New Roman" w:eastAsia="SimSun"/>
          <w:b/>
          <w:bCs/>
          <w:color w:val="1A2330"/>
          <w:sz w:val="21"/>
          <w:szCs w:val="21"/>
        </w:rPr>
        <w:t xml:space="preserve">Table 26: Gate G1 approval record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Role</w:t>
            </w:r>
          </w:p>
        </w:tc>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Name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Signature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Owner / Product Owner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Regulatory Body Business Focal</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Project Manager</w:t>
            </w:r>
          </w:p>
        </w:tc>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Lead Business Analyst</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
            </w:r>
          </w:p>
        </w:tc>
      </w:tr>
    </w:tbl>
    <w:p>
      <w:pPr>
        <w:keepNext/>
        <w:spacing w:after="80" w:before="160" w:line="312"/>
      </w:pPr>
      <w:r>
        <w:rPr>
          <w:rFonts w:ascii="Times New Roman" w:eastAsia="SimSun"/>
          <w:b/>
          <w:bCs/>
          <w:color w:val="1A2330"/>
          <w:sz w:val="21"/>
          <w:szCs w:val="21"/>
        </w:rPr>
        <w:t xml:space="preserve">Table 27: Document version history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Version</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Date</w:t>
            </w:r>
          </w:p>
        </w:tc>
        <w:tc>
          <w:tcPr>
            <w:tcW w:type="pct" w:w="2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Author</w:t>
            </w:r>
          </w:p>
        </w:tc>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Change Summary</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0.9</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2026-09-08</w:t>
            </w:r>
          </w:p>
        </w:tc>
        <w:tc>
          <w:tcPr>
            <w:tcW w:type="pct" w:w="2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Business Analysis Team</w:t>
            </w:r>
          </w:p>
        </w:tc>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Draft consolidated from legal analysis, FR workshop, and use case model</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2026-09-08</w:t>
            </w:r>
          </w:p>
        </w:tc>
        <w:tc>
          <w:tcPr>
            <w:tcW w:type="pct" w:w="2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Business Analysis Team</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Issued for Gate G1 owner review and approval</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SRS v1.0</dc:title>
  <dc:creator>Rent Control and Administration System Project</dc:creator>
  <cp:lastModifiedBy>Un-named</cp:lastModifiedBy>
  <cp:revision>1</cp:revision>
  <dcterms:created xsi:type="dcterms:W3CDTF">2026-09-08T07:42:29.117Z</dcterms:created>
  <dcterms:modified xsi:type="dcterms:W3CDTF">2026-09-08T07:42:29.117Z</dcterms:modified>
</cp:coreProperties>
</file>

<file path=docProps/custom.xml><?xml version="1.0" encoding="utf-8"?>
<Properties xmlns="http://schemas.openxmlformats.org/officeDocument/2006/custom-properties" xmlns:vt="http://schemas.openxmlformats.org/officeDocument/2006/docPropsVTypes"/>
</file>