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A2330" w:val="clear"/>
            <w:vAlign w:val="top"/>
          </w:tcPr>
          <w:p>
            <w:pPr>
              <w:spacing w:before="3440"/>
            </w:pPr>
          </w:p>
          <w:p>
            <w:pPr>
              <w:pBdr>
                <w:bottom w:val="single" w:color="D4875A" w:sz="6" w:space="8"/>
              </w:pBdr>
              <w:spacing w:after="500"/>
              <w:ind w:left="1200" w:right="800"/>
            </w:pPr>
            <w:r>
              <w:rPr>
                <w:rFonts w:ascii="Calibri" w:eastAsia="SimHei"/>
                <w:color w:val="D4875A"/>
                <w:spacing w:val="40"/>
                <w:sz w:val="18"/>
                <w:szCs w:val="18"/>
              </w:rPr>
              <w:t xml:space="preserve">P  H  A  S  E     6     D  E  L  I  V  E  R  A  B  L  E</w:t>
            </w:r>
          </w:p>
          <w:p>
            <w:pPr>
              <w:spacing w:after="100" w:line="920" w:lineRule="atLeast"/>
              <w:ind w:left="1200" w:right="800"/>
            </w:pPr>
            <w:r>
              <w:rPr>
                <w:rFonts w:ascii="Arial" w:eastAsia="SimHei"/>
                <w:b/>
                <w:bCs/>
                <w:color w:val="FFFFFF"/>
                <w:sz w:val="80"/>
                <w:szCs w:val="80"/>
              </w:rPr>
              <w:t xml:space="preserve">Phase 6 Report: User</w:t>
            </w:r>
          </w:p>
          <w:p>
            <w:pPr>
              <w:spacing w:after="100" w:line="920" w:lineRule="atLeast"/>
              <w:ind w:left="1200" w:right="800"/>
            </w:pPr>
            <w:r>
              <w:rPr>
                <w:rFonts w:ascii="Arial" w:eastAsia="SimHei"/>
                <w:b/>
                <w:bCs/>
                <w:color w:val="FFFFFF"/>
                <w:sz w:val="80"/>
                <w:szCs w:val="80"/>
              </w:rPr>
              <w:t xml:space="preserve">Acceptance and Legal</w:t>
            </w:r>
          </w:p>
          <w:p>
            <w:pPr>
              <w:spacing w:after="300" w:line="920" w:lineRule="atLeast"/>
              <w:ind w:left="1200" w:right="800"/>
            </w:pPr>
            <w:r>
              <w:rPr>
                <w:rFonts w:ascii="Arial" w:eastAsia="SimHei"/>
                <w:b/>
                <w:bCs/>
                <w:color w:val="FFFFFF"/>
                <w:sz w:val="80"/>
                <w:szCs w:val="80"/>
              </w:rPr>
              <w:t xml:space="preserve">Validation</w:t>
            </w:r>
          </w:p>
          <w:p>
            <w:pPr>
              <w:spacing w:after="800" w:line="340" w:lineRule="atLeast"/>
              <w:ind w:left="1200" w:right="800"/>
            </w:pPr>
            <w:r>
              <w:rPr>
                <w:rFonts w:ascii="Arial" w:eastAsia="Microsoft YaHei"/>
                <w:color w:val="B0B8C0"/>
                <w:sz w:val="24"/>
                <w:szCs w:val="24"/>
              </w:rPr>
              <w:t xml:space="preserve">Residential House Rent Control and Administration System - Gate G6 Package</w:t>
            </w:r>
          </w:p>
          <w:p>
            <w:pPr>
              <w:pBdr>
                <w:left w:val="single" w:color="D4875A" w:sz="8" w:space="12"/>
              </w:pBdr>
              <w:spacing w:after="80"/>
              <w:ind w:left="1400" w:right="800"/>
            </w:pPr>
            <w:r>
              <w:rPr>
                <w:rFonts w:ascii="Arial" w:eastAsia="Microsoft YaHei"/>
                <w:color w:val="A8B0B8"/>
                <w:sz w:val="24"/>
                <w:szCs w:val="24"/>
              </w:rPr>
              <w:t xml:space="preserve">Legal Basis: Proclamation 1320/2016 + Directive 7/2016 + Model Agreement</w:t>
            </w:r>
          </w:p>
          <w:p>
            <w:pPr>
              <w:pBdr>
                <w:left w:val="single" w:color="D4875A" w:sz="8" w:space="12"/>
              </w:pBdr>
              <w:spacing w:after="80"/>
              <w:ind w:left="1400" w:right="800"/>
            </w:pPr>
            <w:r>
              <w:rPr>
                <w:rFonts w:ascii="Arial" w:eastAsia="Microsoft YaHei"/>
                <w:color w:val="A8B0B8"/>
                <w:sz w:val="24"/>
                <w:szCs w:val="24"/>
              </w:rPr>
              <w:t xml:space="preserve">Contents: UAT Scripts and Results, Legal Validation Memorandum, Defect Log</w:t>
            </w:r>
          </w:p>
          <w:p>
            <w:pPr>
              <w:pBdr>
                <w:left w:val="single" w:color="D4875A" w:sz="8" w:space="12"/>
              </w:pBdr>
              <w:spacing w:after="80"/>
              <w:ind w:left="1400" w:right="800"/>
            </w:pPr>
            <w:r>
              <w:rPr>
                <w:rFonts w:ascii="Arial" w:eastAsia="Microsoft YaHei"/>
                <w:color w:val="A8B0B8"/>
                <w:sz w:val="24"/>
                <w:szCs w:val="24"/>
              </w:rPr>
              <w:t xml:space="preserve">Baseline: SRS v1.1 (CR-01 Trilingual: Amharic, English, Afan Oromo)</w:t>
            </w:r>
          </w:p>
          <w:p>
            <w:pPr>
              <w:pBdr>
                <w:left w:val="single" w:color="D4875A" w:sz="8" w:space="12"/>
              </w:pBdr>
              <w:spacing w:after="80"/>
              <w:ind w:left="1400" w:right="800"/>
            </w:pPr>
            <w:r>
              <w:rPr>
                <w:rFonts w:ascii="Arial" w:eastAsia="Microsoft YaHei"/>
                <w:color w:val="A8B0B8"/>
                <w:sz w:val="24"/>
                <w:szCs w:val="24"/>
              </w:rPr>
              <w:t xml:space="preserve">Gate: G6 - Sign UAT Certificate and Authorize Migration and Pilot</w:t>
            </w:r>
          </w:p>
          <w:p>
            <w:pPr>
              <w:pBdr>
                <w:left w:val="single" w:color="D4875A" w:sz="8" w:space="12"/>
              </w:pBdr>
              <w:spacing w:after="80"/>
              <w:ind w:left="1400" w:right="800"/>
            </w:pPr>
            <w:r>
              <w:rPr>
                <w:rFonts w:ascii="Arial" w:eastAsia="Microsoft YaHei"/>
                <w:color w:val="A8B0B8"/>
                <w:sz w:val="24"/>
                <w:szCs w:val="24"/>
              </w:rPr>
              <w:t xml:space="preserve">Date: September 2026</w:t>
            </w:r>
          </w:p>
          <w:p>
            <w:pPr>
              <w:spacing w:before="3440"/>
            </w:pPr>
          </w:p>
          <w:p>
            <w:pPr>
              <w:pBdr>
                <w:top w:val="single" w:color="D4875A" w:sz="2" w:space="8"/>
              </w:pBdr>
              <w:spacing w:before="200"/>
              <w:ind w:left="1200" w:right="800"/>
            </w:pPr>
            <w:r>
              <w:rPr>
                <w:rFonts w:ascii="Arial"/>
                <w:color w:val="8A929A"/>
                <w:sz w:val="16"/>
                <w:szCs w:val="16"/>
              </w:rPr>
              <w:t xml:space="preserve">Rent Control and Administration System Project</w:t>
            </w:r>
            <w:r>
              <w:t xml:space="preserve">                                        </w:t>
            </w:r>
            <w:r>
              <w:rPr>
                <w:rFonts w:ascii="Arial"/>
                <w:color w:val="8A929A"/>
                <w:sz w:val="16"/>
                <w:szCs w:val="16"/>
              </w:rPr>
              <w:t xml:space="preserve">Phase 6 Report</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color w:val="1A2330"/>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Introduction and Phase 6 Scope</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UAT Approach and Acceptance Environment</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UAT Scenario Catalogue</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4. UAT Execution Results</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4.1 UAT-01: Woreda registrar: registration file lifecycle</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4.2 UAT-02: Woreda registrar: legal refusal gates at intake</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4.3 UAT-03: Bureau analyst and head: annual adjustment publication flow</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4.4 UAT-04: Complaint officer: intake to decision within the statutory clock</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4.5 UAT-05: Hearing committee: rehearsed appeal and court escalation</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4.6 UAT-06: Tenant and landlord: electronic payment ledger rehearsal</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4.7 UAT-07: Control team and Bureau head: vacancy monitoring and penalty ladder</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4.8 UAT-08: Trilingual service delivery rehearsal (CR-01 / NFR-06)</w:t>
            </w:r>
            <w:r>
              <w:tab/>
            </w:r>
            <w:r>
              <w:fldChar w:fldCharType="begin"/>
            </w:r>
            <w:r>
              <w:instrText xml:space="preserve"> PAGEREF _Toc100011 \h </w:instrText>
            </w:r>
            <w:r>
              <w:fldChar w:fldCharType="separate"/>
            </w:r>
            <w:r>
              <w:t>6</w:t>
            </w:r>
            <w:r>
              <w:fldChar w:fldCharType="end"/>
            </w:r>
          </w:hyperlink>
        </w:p>
        <w:p>
          <w:pPr>
            <w:pStyle w:val="9"/>
            <w:tabs>
              <w:tab w:val="right" w:leader="dot" w:pos="9026"/>
            </w:tabs>
            <w:spacing w:before="120" w:after="60"/>
          </w:pPr>
          <w:hyperlink w:anchor="_Toc100012" w:history="1">
            <w:r>
              <w:rPr>
                <w:rStyle w:val="Hyperlink"/>
              </w:rPr>
              <w:t>5. Legal Validation Session</w:t>
            </w:r>
            <w:r>
              <w:tab/>
            </w:r>
            <w:r>
              <w:fldChar w:fldCharType="begin"/>
            </w:r>
            <w:r>
              <w:instrText xml:space="preserve"> PAGEREF _Toc100012 \h </w:instrText>
            </w:r>
            <w:r>
              <w:fldChar w:fldCharType="separate"/>
            </w:r>
            <w:r>
              <w:t>6</w:t>
            </w:r>
            <w:r>
              <w:fldChar w:fldCharType="end"/>
            </w:r>
          </w:hyperlink>
        </w:p>
        <w:p>
          <w:pPr>
            <w:pStyle w:val="9"/>
            <w:tabs>
              <w:tab w:val="right" w:leader="dot" w:pos="9026"/>
            </w:tabs>
            <w:spacing w:before="120" w:after="60"/>
          </w:pPr>
          <w:hyperlink w:anchor="_Toc100013" w:history="1">
            <w:r>
              <w:rPr>
                <w:rStyle w:val="Hyperlink"/>
              </w:rPr>
              <w:t>6. Legal Validation Memorandum LVM-G6-2026-01</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6.1 Memorandum body</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spacing w:before="120" w:after="60"/>
          </w:pPr>
          <w:hyperlink w:anchor="_Toc100015" w:history="1">
            <w:r>
              <w:rPr>
                <w:rStyle w:val="Hyperlink"/>
              </w:rPr>
              <w:t>6.2 Signatories</w:t>
            </w:r>
            <w:r>
              <w:tab/>
            </w:r>
            <w:r>
              <w:fldChar w:fldCharType="begin"/>
            </w:r>
            <w:r>
              <w:instrText xml:space="preserve"> PAGEREF _Toc100015 \h </w:instrText>
            </w:r>
            <w:r>
              <w:fldChar w:fldCharType="separate"/>
            </w:r>
            <w:r>
              <w:t>8</w:t>
            </w:r>
            <w:r>
              <w:fldChar w:fldCharType="end"/>
            </w:r>
          </w:hyperlink>
        </w:p>
        <w:p>
          <w:pPr>
            <w:pStyle w:val="9"/>
            <w:tabs>
              <w:tab w:val="right" w:leader="dot" w:pos="9026"/>
            </w:tabs>
            <w:spacing w:before="120" w:after="60"/>
          </w:pPr>
          <w:hyperlink w:anchor="_Toc100016" w:history="1">
            <w:r>
              <w:rPr>
                <w:rStyle w:val="Hyperlink"/>
              </w:rPr>
              <w:t>7. Defect Triage and Defect Log</w:t>
            </w:r>
            <w:r>
              <w:tab/>
            </w:r>
            <w:r>
              <w:fldChar w:fldCharType="begin"/>
            </w:r>
            <w:r>
              <w:instrText xml:space="preserve"> PAGEREF _Toc100016 \h </w:instrText>
            </w:r>
            <w:r>
              <w:fldChar w:fldCharType="separate"/>
            </w:r>
            <w:r>
              <w:t>9</w:t>
            </w:r>
            <w:r>
              <w:fldChar w:fldCharType="end"/>
            </w:r>
          </w:hyperlink>
        </w:p>
        <w:p>
          <w:pPr>
            <w:pStyle w:val="9"/>
            <w:tabs>
              <w:tab w:val="right" w:leader="dot" w:pos="9026"/>
            </w:tabs>
            <w:spacing w:before="120" w:after="60"/>
          </w:pPr>
          <w:hyperlink w:anchor="_Toc100017" w:history="1">
            <w:r>
              <w:rPr>
                <w:rStyle w:val="Hyperlink"/>
              </w:rPr>
              <w:t>8. Trilingual Acceptance (CR-01 / NFR-06)</w:t>
            </w:r>
            <w:r>
              <w:tab/>
            </w:r>
            <w:r>
              <w:fldChar w:fldCharType="begin"/>
            </w:r>
            <w:r>
              <w:instrText xml:space="preserve"> PAGEREF _Toc100017 \h </w:instrText>
            </w:r>
            <w:r>
              <w:fldChar w:fldCharType="separate"/>
            </w:r>
            <w:r>
              <w:t>9</w:t>
            </w:r>
            <w:r>
              <w:fldChar w:fldCharType="end"/>
            </w:r>
          </w:hyperlink>
        </w:p>
        <w:p>
          <w:pPr>
            <w:pStyle w:val="9"/>
            <w:tabs>
              <w:tab w:val="right" w:leader="dot" w:pos="9026"/>
            </w:tabs>
            <w:spacing w:before="120" w:after="60"/>
          </w:pPr>
          <w:hyperlink w:anchor="_Toc100018" w:history="1">
            <w:r>
              <w:rPr>
                <w:rStyle w:val="Hyperlink"/>
              </w:rPr>
              <w:t>9. UAT Certificate and Gate G6 Checklist</w:t>
            </w:r>
            <w:r>
              <w:tab/>
            </w:r>
            <w:r>
              <w:fldChar w:fldCharType="begin"/>
            </w:r>
            <w:r>
              <w:instrText xml:space="preserve"> PAGEREF _Toc100018 \h </w:instrText>
            </w:r>
            <w:r>
              <w:fldChar w:fldCharType="separate"/>
            </w:r>
            <w:r>
              <w:t>10</w:t>
            </w:r>
            <w:r>
              <w:fldChar w:fldCharType="end"/>
            </w:r>
          </w:hyperlink>
        </w:p>
        <w:p>
          <w:pPr>
            <w:pStyle w:val="9"/>
            <w:tabs>
              <w:tab w:val="right" w:leader="dot" w:pos="9026"/>
            </w:tabs>
            <w:spacing w:before="120" w:after="60"/>
          </w:pPr>
          <w:hyperlink w:anchor="_Toc100019" w:history="1">
            <w:r>
              <w:rPr>
                <w:rStyle w:val="Hyperlink"/>
              </w:rPr>
              <w:t>10. Gate G6 Decision Request and Transition to Phase 7</w:t>
            </w:r>
            <w:r>
              <w:tab/>
            </w:r>
            <w:r>
              <w:fldChar w:fldCharType="begin"/>
            </w:r>
            <w:r>
              <w:instrText xml:space="preserve"> PAGEREF _Toc100019 \h </w:instrText>
            </w:r>
            <w:r>
              <w:fldChar w:fldCharType="separate"/>
            </w:r>
            <w:r>
              <w:t>10</w:t>
            </w:r>
            <w:r>
              <w:fldChar w:fldCharType="end"/>
            </w:r>
          </w:hyperlink>
        </w:p>
        <w:p>
          <w:r>
            <w:fldChar w:fldCharType="end"/>
          </w:r>
        </w:p>
      </w:sdtContent>
    </w:sdt>
    <w:p>
      <w:pPr>
        <w:spacing w:before="200"/>
      </w:pPr>
      <w:r>
        <w:rPr>
          <w:rFonts w:ascii="Times New Roman" w:eastAsia="SimSun"/>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Times New Roman" w:eastAsia="SimHei"/>
          <w:b/>
          <w:bCs/>
          <w:color w:val="1A2330"/>
          <w:sz w:val="32"/>
          <w:szCs w:val="32"/>
        </w:rPr>
        <w:t xml:space="preserve">1. Introduction and Phase 6 Scope</w:t>
      </w:r>
      <w:bookmarkEnd w:id="100000"/>
    </w:p>
    <w:p>
      <w:pPr>
        <w:spacing w:after="120" w:line="312"/>
        <w:jc w:val="left"/>
      </w:pPr>
      <w:r>
        <w:rPr>
          <w:rFonts w:ascii="Times New Roman" w:eastAsia="SimSun"/>
          <w:color w:val="000000"/>
          <w:sz w:val="24"/>
          <w:szCs w:val="24"/>
        </w:rPr>
        <w:t xml:space="preserve">Phase 6 is the phase in which the system's own users take over the questioning. The implementation plan defines its objective in one sentence: let the real roles judge the system, using scripts derived from the use cases, and let the legal side certify that automated behaviour matches the directive. In line with that objective, the phase ran three activities. Role-based user acceptance testing rehearsed the principal workflows of Proclamation No. 1320/2016 and Addis Ababa Directive No. 7/2016 in the hands of the roles that perform them daily - registrars, stamping desks, Bureau analysts, the Bureau head, complaint officers, hearing committee members, sub-city monitors and system administrators. The legal validation session then walked the forty-seven-row compliance matrix article by article, confirming behaviour against the source texts and recording any divergence. Defect triage ran continuously, merging every failed acceptance step into a severity-classified defect log with an agreed fix schedule and re-test evidence.</w:t>
      </w:r>
    </w:p>
    <w:p>
      <w:pPr>
        <w:spacing w:after="120" w:line="312"/>
        <w:jc w:val="left"/>
      </w:pPr>
      <w:r>
        <w:rPr>
          <w:rFonts w:ascii="Times New Roman" w:eastAsia="SimSun"/>
          <w:color w:val="000000"/>
          <w:sz w:val="24"/>
          <w:szCs w:val="24"/>
        </w:rPr>
        <w:t xml:space="preserve">The phase entered on the owner's Gate G5 approval, with the platform carrying a clean test record: the automated battery stood at one hundred thirteen passing cases across five suites with zero failures, the compliance matrix showed every row passing, and the live audit chain was verified intact. Three open items travelled with the phase by documented disposition: O1 (the directive's fine-ladder figures pending the official Amharic text), O-7 (woreda register reconciliation before the pilot) and O-8 (certification of the Afan Oromo legal glossary under change request CR-01). None of them alters automated behaviour, and each was re-examined during the legal session; the walkthrough records the two that touch matrix rows as confirmations with dispositions rather than deviations.</w:t>
      </w:r>
    </w:p>
    <w:p>
      <w:pPr>
        <w:spacing w:after="120" w:line="312"/>
        <w:jc w:val="left"/>
      </w:pPr>
      <w:r>
        <w:rPr>
          <w:rFonts w:ascii="Times New Roman" w:eastAsia="SimSun"/>
          <w:color w:val="000000"/>
          <w:sz w:val="24"/>
          <w:szCs w:val="24"/>
        </w:rPr>
        <w:t xml:space="preserve">This report is the Gate G6 package. Its chapters follow the deliverables the plan names for this phase: the UAT scripts and their results (chapters 2, 3 and 4), the legal validation session record and the legal validation memorandum (chapters 5 and 6), and the defect log with closure status (chapter 7). Chapter 8 records the trilingual acceptance evidence that change request CR-01 and non-functional requirement NFR-06 require, chapter 9 presents the UAT certificate prepared for the owner's signature together with the gate checklist, and chapter 10 states the gate decision request and the transition to Phase 7. At the time of writing the acceptance battery stands at 8 of 8 scenarios passed with 50 of 50 steps passed, none failed or skipped, and the legal session concludes with no unresolved deviation.</w:t>
      </w:r>
    </w:p>
    <w:p>
      <w:pPr>
        <w:pStyle w:val="Heading1"/>
        <w:spacing w:after="160" w:before="360" w:line="312"/>
      </w:pPr>
      <w:bookmarkStart w:id="100001" w:name="_Toc100001"/>
      <w:r>
        <w:rPr>
          <w:rFonts w:ascii="Times New Roman" w:eastAsia="SimHei"/>
          <w:b/>
          <w:bCs/>
          <w:color w:val="1A2330"/>
          <w:sz w:val="32"/>
          <w:szCs w:val="32"/>
        </w:rPr>
        <w:t xml:space="preserve">2. UAT Approach and Acceptance Environment</w:t>
      </w:r>
      <w:bookmarkEnd w:id="100001"/>
    </w:p>
    <w:p>
      <w:pPr>
        <w:spacing w:after="120" w:line="312"/>
        <w:jc w:val="left"/>
      </w:pPr>
      <w:r>
        <w:rPr>
          <w:rFonts w:ascii="Times New Roman" w:eastAsia="SimSun"/>
          <w:color w:val="000000"/>
          <w:sz w:val="24"/>
          <w:szCs w:val="24"/>
        </w:rPr>
        <w:t xml:space="preserve">The acceptance approach follows the plan's commitment that scripts are derived from the use cases and executed by the real roles. Every scenario in the catalogue traces to entries of the SRS v1.1 use-case registry, and every step within a scenario names the legal basis it demonstrates, so a reviewer can read each rehearsal as law first and procedure second. Scenarios run over the live HTTP API of the platform - the same interface the console uses - and every call carries the acting officer's staff code. This single design decision makes the acceptance run structurally honest: role separation, tier-based authorization, the legal refusal gates and the audit trail are exercised exactly as a real working session would exercise them, not as a test harness would simulate them. Negative steps are scripted with the same care as positive ones: where the law refuses, the scenario attempts the refused act and expects the refusal with the violated article named.</w:t>
      </w:r>
    </w:p>
    <w:p>
      <w:pPr>
        <w:keepNext/>
        <w:spacing w:after="80" w:before="160" w:line="312"/>
      </w:pPr>
      <w:r>
        <w:rPr>
          <w:rFonts w:ascii="Times New Roman" w:eastAsia="SimSun"/>
          <w:b/>
          <w:bCs/>
          <w:color w:val="1A2330"/>
          <w:sz w:val="21"/>
          <w:szCs w:val="21"/>
        </w:rPr>
        <w:t xml:space="preserve">Table 1: Scenario coverage against the use-case registry</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1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Scenario</w:t>
            </w:r>
          </w:p>
        </w:tc>
        <w:tc>
          <w:tcPr>
            <w:tcW w:type="pct" w:w="3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Role cluster</w:t>
            </w:r>
          </w:p>
        </w:tc>
        <w:tc>
          <w:tcPr>
            <w:tcW w:type="pct" w:w="4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Use cases exercised</w:t>
            </w:r>
          </w:p>
        </w:tc>
        <w:tc>
          <w:tcPr>
            <w:tcW w:type="pct" w:w="1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Steps</w:t>
            </w:r>
          </w:p>
        </w:tc>
      </w:tr>
      <w:tr>
        <w:trPr>
          <w:cantSplit/>
        </w:trPr>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UAT-01</w:t>
            </w:r>
          </w:p>
        </w:tc>
        <w:tc>
          <w:tcPr>
            <w:tcW w:type="pct" w:w="3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Woreda registrar + stamping desk</w:t>
            </w:r>
          </w:p>
        </w:tc>
        <w:tc>
          <w:tcPr>
            <w:tcW w:type="pct" w:w="4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UC-L0, UC-L1, UC-L2, UC-R1</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9</w:t>
            </w:r>
          </w:p>
        </w:tc>
      </w:tr>
      <w:tr>
        <w:trPr>
          <w:cantSplit/>
        </w:trPr>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UAT-02</w:t>
            </w:r>
          </w:p>
        </w:tc>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Woreda registrar</w:t>
            </w:r>
          </w:p>
        </w:tc>
        <w:tc>
          <w:tcPr>
            <w:tcW w:type="pct" w:w="4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UC-L2, UC-R1</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5</w:t>
            </w:r>
          </w:p>
        </w:tc>
      </w:tr>
      <w:tr>
        <w:trPr>
          <w:cantSplit/>
        </w:trPr>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UAT-03</w:t>
            </w:r>
          </w:p>
        </w:tc>
        <w:tc>
          <w:tcPr>
            <w:tcW w:type="pct" w:w="3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Bureau analyst (study) + Bureau head (publish/effect)</w:t>
            </w:r>
          </w:p>
        </w:tc>
        <w:tc>
          <w:tcPr>
            <w:tcW w:type="pct" w:w="4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UC-L3, UC-M2</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6</w:t>
            </w:r>
          </w:p>
        </w:tc>
      </w:tr>
      <w:tr>
        <w:trPr>
          <w:cantSplit/>
        </w:trPr>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UAT-04</w:t>
            </w:r>
          </w:p>
        </w:tc>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Woreda complaint officer</w:t>
            </w:r>
          </w:p>
        </w:tc>
        <w:tc>
          <w:tcPr>
            <w:tcW w:type="pct" w:w="4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UC-T3, UC-R3</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7</w:t>
            </w:r>
          </w:p>
        </w:tc>
      </w:tr>
      <w:tr>
        <w:trPr>
          <w:cantSplit/>
        </w:trPr>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UAT-05</w:t>
            </w:r>
          </w:p>
        </w:tc>
        <w:tc>
          <w:tcPr>
            <w:tcW w:type="pct" w:w="3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Committee member (hearing) + registrar (filing)</w:t>
            </w:r>
          </w:p>
        </w:tc>
        <w:tc>
          <w:tcPr>
            <w:tcW w:type="pct" w:w="4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UC-T4, UC-C1</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6</w:t>
            </w:r>
          </w:p>
        </w:tc>
      </w:tr>
      <w:tr>
        <w:trPr>
          <w:cantSplit/>
        </w:trPr>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UAT-06</w:t>
            </w:r>
          </w:p>
        </w:tc>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Woreda payment desk (recording tenant/landlord payments)</w:t>
            </w:r>
          </w:p>
        </w:tc>
        <w:tc>
          <w:tcPr>
            <w:tcW w:type="pct" w:w="4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UC-T2, UC-P2</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5</w:t>
            </w:r>
          </w:p>
        </w:tc>
      </w:tr>
      <w:tr>
        <w:trPr>
          <w:cantSplit/>
        </w:trPr>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UAT-07</w:t>
            </w:r>
          </w:p>
        </w:tc>
        <w:tc>
          <w:tcPr>
            <w:tcW w:type="pct" w:w="3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Sub-city control team + Bureau head</w:t>
            </w:r>
          </w:p>
        </w:tc>
        <w:tc>
          <w:tcPr>
            <w:tcW w:type="pct" w:w="4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UC-R2, UC-R4</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7</w:t>
            </w:r>
          </w:p>
        </w:tc>
      </w:tr>
      <w:tr>
        <w:trPr>
          <w:cantSplit/>
        </w:trPr>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UAT-08</w:t>
            </w:r>
          </w:p>
        </w:tc>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Amharic, English and Afan Oromo speaking officers and public</w:t>
            </w:r>
          </w:p>
        </w:tc>
        <w:tc>
          <w:tcPr>
            <w:tcW w:type="pct" w:w="4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UC-M1, UC-P1, UC-P4</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5</w:t>
            </w:r>
          </w:p>
        </w:tc>
      </w:tr>
    </w:tbl>
    <w:p>
      <w:pPr>
        <w:spacing w:after="120" w:line="312"/>
        <w:jc w:val="left"/>
      </w:pPr>
      <w:r>
        <w:rPr>
          <w:rFonts w:ascii="Times New Roman" w:eastAsia="SimSun"/>
          <w:color w:val="000000"/>
          <w:sz w:val="24"/>
          <w:szCs w:val="24"/>
        </w:rPr>
        <w:t xml:space="preserve">The acceptance environment is the seeded demonstration environment used throughout construction and testing: one hundred thirty-one organization units arranged in the Ministry - Bureau - sub-city - woreda hierarchy, thirteen roles, the active model contract, the trilingual localization catalogue, and the eight demo staff whose codes (STF-0001 through STF-0008) appear as actors in the scenarios. Test data is created by the scenarios themselves through the public service layer, and the demonstration dataset is restored by reseeding plus the end-to-end walkthrough after the run, so acceptance never consumes fixtures it did not create. The runner writes its evidence to the UAT results register with a run identifier, timestamps, per-step observations and durations, and the console exposes the same evidence live on the P6 tab; both the command-line runner and the console POST action execute the identical battery.</w:t>
      </w:r>
    </w:p>
    <w:p>
      <w:pPr>
        <w:spacing w:after="120" w:line="312"/>
        <w:jc w:val="left"/>
      </w:pPr>
      <w:r>
        <w:rPr>
          <w:rFonts w:ascii="Times New Roman" w:eastAsia="SimSun"/>
          <w:color w:val="000000"/>
          <w:sz w:val="24"/>
          <w:szCs w:val="24"/>
        </w:rPr>
        <w:t xml:space="preserve">Two rules govern the run protocol. First, the merge rule: any failed acceptance step is automatically promoted into the defect log as a severity-two defect - a failed acceptance step blocks the workflow it rehearses - and blocks Gate G6 until it is fixed and the battery re-run clean. Second, the re-test rule: after any defect fix, the entire battery re-runs, not only the failed scenario, so that a fix is proven against the whole acceptance surface rather than against its own symptom. Both rules were exercised in this phase: the first battery run surfaced one failed step, triaged as DEF-06-03, which was fixed in-phase and cleared by a full re-run, as chapter 4 records.</w:t>
      </w:r>
    </w:p>
    <w:p>
      <w:pPr>
        <w:pStyle w:val="Heading1"/>
        <w:spacing w:after="160" w:before="360" w:line="312"/>
      </w:pPr>
      <w:bookmarkStart w:id="100002" w:name="_Toc100002"/>
      <w:r>
        <w:rPr>
          <w:rFonts w:ascii="Times New Roman" w:eastAsia="SimHei"/>
          <w:b/>
          <w:bCs/>
          <w:color w:val="1A2330"/>
          <w:sz w:val="32"/>
          <w:szCs w:val="32"/>
        </w:rPr>
        <w:t xml:space="preserve">3. UAT Scenario Catalogue</w:t>
      </w:r>
      <w:bookmarkEnd w:id="100002"/>
    </w:p>
    <w:p>
      <w:pPr>
        <w:spacing w:after="120" w:line="312"/>
        <w:jc w:val="left"/>
      </w:pPr>
      <w:r>
        <w:rPr>
          <w:rFonts w:ascii="Times New Roman" w:eastAsia="SimSun"/>
          <w:color w:val="000000"/>
          <w:sz w:val="24"/>
          <w:szCs w:val="24"/>
        </w:rPr>
        <w:t xml:space="preserve">Eight scenarios cover the principal work of the three administrative tiers and the change request. Together they rehearse the complete registration chain from party onboarding to the registry book, the refusal gates at intake, the annual rent adjustment cycle from study to effect, the complaint pipeline inside its statutory clocks, the committee hearing with court escalation, the electronic payment ledger with its boundary conditions, vacancy monitoring with the penalty ladder, and trilingual service delivery. This chapter records the catalogue; chapter 4 records the execution. Each scenario's steps carry their own legal basis, so the tables in chapter 4 double as a walkthrough of the law in working order.</w:t>
      </w:r>
    </w:p>
    <w:p>
      <w:pPr>
        <w:keepNext/>
        <w:spacing w:after="80" w:before="160" w:line="312"/>
      </w:pPr>
      <w:r>
        <w:rPr>
          <w:rFonts w:ascii="Times New Roman" w:eastAsia="SimSun"/>
          <w:b/>
          <w:bCs/>
          <w:color w:val="1A2330"/>
          <w:sz w:val="21"/>
          <w:szCs w:val="21"/>
        </w:rPr>
        <w:t xml:space="preserve">Table 2: UAT scenario catalogue (as executed)</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gridCol w:w="100"/>
      </w:tblGrid>
      <w:tr>
        <w:trPr>
          <w:cantSplit/>
          <w:tblHeader/>
        </w:trPr>
        <w:tc>
          <w:tcPr>
            <w:tcW w:type="pct" w:w="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ID</w:t>
            </w:r>
          </w:p>
        </w:tc>
        <w:tc>
          <w:tcPr>
            <w:tcW w:type="pct" w:w="2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Title</w:t>
            </w:r>
          </w:p>
        </w:tc>
        <w:tc>
          <w:tcPr>
            <w:tcW w:type="pct" w:w="1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Actors</w:t>
            </w:r>
          </w:p>
        </w:tc>
        <w:tc>
          <w:tcPr>
            <w:tcW w:type="pct" w:w="2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basis</w:t>
            </w:r>
          </w:p>
        </w:tc>
        <w:tc>
          <w:tcPr>
            <w:tcW w:type="pct" w:w="3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Objective (abridged)</w:t>
            </w:r>
          </w:p>
        </w:tc>
      </w:tr>
      <w:tr>
        <w:trPr>
          <w:cantSplit/>
        </w:trPr>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UAT-01</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Woreda registrar: registration file lifecycle</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STF-0001, STF-0002</w:t>
            </w:r>
          </w:p>
        </w:tc>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4; Dir. Arts. 6-9</w:t>
            </w:r>
          </w:p>
        </w:tc>
        <w:tc>
          <w:tcPr>
            <w:tcW w:type="pct" w:w="3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The registrar runs one real registration file end to end: party onboarding with the original-and-copy rule, property capture, file presentation on the active model contract, the nine-point checklist, certification, the stamping desk and registry-book entry..</w:t>
            </w:r>
          </w:p>
        </w:tc>
      </w:tr>
      <w:tr>
        <w:trPr>
          <w:cantSplit/>
        </w:trPr>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UAT-02</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Woreda registrar: legal refusal gates at intake</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STF-0001, STF-0002</w:t>
            </w:r>
          </w:p>
        </w:tc>
        <w:tc>
          <w:tcPr>
            <w:tcW w:type="pct" w:w="2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6, 12; Dir. Arts. 6, 9</w:t>
            </w:r>
          </w:p>
        </w:tc>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Negative rehearsal: the system must refuse every intake that the law refuses - a one-year lease, a three-month advance, filing at a non-woreda office, certification without the checklist, and a stamper attempting a registrar act..</w:t>
            </w:r>
          </w:p>
        </w:tc>
      </w:tr>
      <w:tr>
        <w:trPr>
          <w:cantSplit/>
        </w:trPr>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UAT-03</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Bureau analyst and head: annual adjustment publication flow</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STF-0004, STF-0005, STF-0001</w:t>
            </w:r>
          </w:p>
        </w:tc>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8-9; Dir. Art. 11</w:t>
            </w:r>
          </w:p>
        </w:tc>
        <w:tc>
          <w:tcPr>
            <w:tcW w:type="pct" w:w="3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The Bureau runs the annual rent adjustment: analyst drafts from the market study, head publishes June 1 and effects June 30, and a woreda registrar validates a proposed increase against the ceiling..</w:t>
            </w:r>
          </w:p>
        </w:tc>
      </w:tr>
      <w:tr>
        <w:trPr>
          <w:cantSplit/>
        </w:trPr>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UAT-04</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Complaint officer: intake to decision within the statutory clock</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STF-0001</w:t>
            </w:r>
          </w:p>
        </w:tc>
        <w:tc>
          <w:tcPr>
            <w:tcW w:type="pct" w:w="2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20-23; Dir. Arts. 17-19</w:t>
            </w:r>
          </w:p>
        </w:tc>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 tenant complaint arrives by telephone on ground CG-1 (rent above the published ceiling).</w:t>
            </w:r>
          </w:p>
        </w:tc>
      </w:tr>
      <w:tr>
        <w:trPr>
          <w:cantSplit/>
        </w:trPr>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UAT-05</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Hearing committee: rehearsed appeal and court escalation</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STF-0001, STF-0006</w:t>
            </w:r>
          </w:p>
        </w:tc>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24-26</w:t>
            </w:r>
          </w:p>
        </w:tc>
        <w:tc>
          <w:tcPr>
            <w:tcW w:type="pct" w:w="3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The committee rehearses an appeal hearing: a timely appeal is filed on the decided complaint, a late appeal is refused, the committee schedules, hears and decides - and a second case exercises the court-escalation path..</w:t>
            </w:r>
          </w:p>
        </w:tc>
      </w:tr>
      <w:tr>
        <w:trPr>
          <w:cantSplit/>
        </w:trPr>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UAT-06</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Tenant and landlord: electronic payment ledger rehearsal</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STF-0001</w:t>
            </w:r>
          </w:p>
        </w:tc>
        <w:tc>
          <w:tcPr>
            <w:tcW w:type="pct" w:w="2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4, 12-14; Dir. Art. 22</w:t>
            </w:r>
          </w:p>
        </w:tc>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The payment desk rehearses the ledger rules: electronic settlement through the bank gateway before any ledger entry, the two-month advance boundary, refusal of unregistered-contract payments, and the automatic 10 percent cash referral..</w:t>
            </w:r>
          </w:p>
        </w:tc>
      </w:tr>
      <w:tr>
        <w:trPr>
          <w:cantSplit/>
        </w:trPr>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UAT-07</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Control team and Bureau head: vacancy monitoring and penalty ladder</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STF-0003, STF-0005</w:t>
            </w:r>
          </w:p>
        </w:tc>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29-32; Dir. Arts. 20, 22</w:t>
            </w:r>
          </w:p>
        </w:tc>
        <w:tc>
          <w:tcPr>
            <w:tcW w:type="pct" w:w="3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The sub-city control team rehearses a vacancy control visit and the Bureau head computes the penalty ladder: surcharge band math, notifications, referrals to the tax authority and the court, and the three-month fine cap..</w:t>
            </w:r>
          </w:p>
        </w:tc>
      </w:tr>
      <w:tr>
        <w:trPr>
          <w:cantSplit/>
        </w:trPr>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UAT-08</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Trilingual service delivery rehearsal (CR-01 / NFR-06)</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STF-0001, STF-0003, STF-0006</w:t>
            </w:r>
          </w:p>
        </w:tc>
        <w:tc>
          <w:tcPr>
            <w:tcW w:type="pct" w:w="2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CR-01; NFR-06; Proc. Art. 18</w:t>
            </w:r>
          </w:p>
        </w:tc>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The change request CR-01 rehearsal: every public surface answers in Amharic, English and Afan Oromo from seeded localization resources, with the certified-glossary fallback of open item O-8 visible where legal phrasing is pending..</w:t>
            </w:r>
          </w:p>
        </w:tc>
      </w:tr>
    </w:tbl>
    <w:p>
      <w:pPr>
        <w:spacing w:after="120" w:line="312"/>
        <w:jc w:val="left"/>
      </w:pPr>
      <w:r>
        <w:rPr>
          <w:rFonts w:ascii="Times New Roman" w:eastAsia="SimSun"/>
          <w:color w:val="000000"/>
          <w:sz w:val="24"/>
          <w:szCs w:val="24"/>
        </w:rPr>
        <w:t xml:space="preserve">Three design choices in the catalogue deserve explanation. UAT-02 and parts of UAT-04 and UAT-06 are deliberately negative rehearsals: they attempt the acts the law refuses - a one-year lease, a three-month advance, filing at the wrong office, certifying before the checklist, a stamper performing a registrar act, a complaint on a ground outside the eight statutory grounds, a payment against an unregistered contract - and expect refusal with the article named. UAT-05 rehearses the two-sided nature of appeal justice: a timely appeal must be heard, and a late appeal must be refused, both in the same scenario. UAT-08 exists because of change request CR-01: the owner's instruction to add Afan Oromo made trilingual delivery a first-class acceptance concern, and the scenario inspects the localization catalogue, the model contract sections, the public publication feed, the staff language register and the compliance matrix row that binds them.</w:t>
      </w:r>
    </w:p>
    <w:p>
      <w:pPr>
        <w:pStyle w:val="Heading1"/>
        <w:spacing w:after="160" w:before="360" w:line="312"/>
      </w:pPr>
      <w:bookmarkStart w:id="100003" w:name="_Toc100003"/>
      <w:r>
        <w:rPr>
          <w:rFonts w:ascii="Times New Roman" w:eastAsia="SimHei"/>
          <w:b/>
          <w:bCs/>
          <w:color w:val="1A2330"/>
          <w:sz w:val="32"/>
          <w:szCs w:val="32"/>
        </w:rPr>
        <w:t xml:space="preserve">4. UAT Execution Results</w:t>
      </w:r>
      <w:bookmarkEnd w:id="100003"/>
    </w:p>
    <w:p>
      <w:pPr>
        <w:spacing w:after="120" w:line="312"/>
        <w:jc w:val="left"/>
      </w:pPr>
      <w:r>
        <w:rPr>
          <w:rFonts w:ascii="Times New Roman" w:eastAsia="SimSun"/>
          <w:color w:val="000000"/>
          <w:sz w:val="24"/>
          <w:szCs w:val="24"/>
        </w:rPr>
        <w:t xml:space="preserve">The battery was executed twice. The first run (identifier UATRUN-1789026404379) passed seven of eight scenarios; its single failed step was UAT-03 step 5, where ceiling validation was governed by a stale fixture left in the shared demonstration database by a Phase 5 compliance case - an adjustment dated year 2099 at fifteen percent persisted as the latest effected rate set. Triage classified the artifact as test data rather than a rule defect: platform behaviour follows Proclamation Article 8 correctly, since the latest effected rate set necessarily governs. The fix removed the stale row, added fixture cleanup to the compliance case, and made the rehearsal name its applicable rate set explicitly. The full battery then re-ran clean.</w:t>
      </w:r>
    </w:p>
    <w:p>
      <w:pPr>
        <w:keepNext/>
        <w:spacing w:after="80" w:before="160" w:line="312"/>
      </w:pPr>
      <w:r>
        <w:rPr>
          <w:rFonts w:ascii="Times New Roman" w:eastAsia="SimSun"/>
          <w:b/>
          <w:bCs/>
          <w:color w:val="1A2330"/>
          <w:sz w:val="21"/>
          <w:szCs w:val="21"/>
        </w:rPr>
        <w:t xml:space="preserve">Table 3: Second (final) battery run UATRUN-1789026891982 - 2026-09-10</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gridCol w:w="100"/>
      </w:tblGrid>
      <w:tr>
        <w:trPr>
          <w:cantSplit/>
          <w:tblHeader/>
        </w:trPr>
        <w:tc>
          <w:tcPr>
            <w:tcW w:type="pct" w:w="1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Scenario</w:t>
            </w:r>
          </w:p>
        </w:tc>
        <w:tc>
          <w:tcPr>
            <w:tcW w:type="pct" w:w="4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Title</w:t>
            </w:r>
          </w:p>
        </w:tc>
        <w:tc>
          <w:tcPr>
            <w:tcW w:type="pct" w:w="1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Verdict</w:t>
            </w:r>
          </w:p>
        </w:tc>
        <w:tc>
          <w:tcPr>
            <w:tcW w:type="pct" w:w="1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Steps passed</w:t>
            </w:r>
          </w:p>
        </w:tc>
        <w:tc>
          <w:tcPr>
            <w:tcW w:type="pct" w:w="1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Duration</w:t>
            </w:r>
          </w:p>
        </w:tc>
      </w:tr>
      <w:tr>
        <w:trPr>
          <w:cantSplit/>
        </w:trPr>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UAT-01</w:t>
            </w:r>
          </w:p>
        </w:tc>
        <w:tc>
          <w:tcPr>
            <w:tcW w:type="pct" w:w="4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Woreda registrar: registration file lifecycle</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9/9</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638 ms</w:t>
            </w:r>
          </w:p>
        </w:tc>
      </w:tr>
      <w:tr>
        <w:trPr>
          <w:cantSplit/>
        </w:trPr>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UAT-02</w:t>
            </w:r>
          </w:p>
        </w:tc>
        <w:tc>
          <w:tcPr>
            <w:tcW w:type="pct" w:w="4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Woreda registrar: legal refusal gates at intake</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5/5</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190 ms</w:t>
            </w:r>
          </w:p>
        </w:tc>
      </w:tr>
      <w:tr>
        <w:trPr>
          <w:cantSplit/>
        </w:trPr>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UAT-03</w:t>
            </w:r>
          </w:p>
        </w:tc>
        <w:tc>
          <w:tcPr>
            <w:tcW w:type="pct" w:w="4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Bureau analyst and head: annual adjustment publication flow</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6/6</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100 ms</w:t>
            </w:r>
          </w:p>
        </w:tc>
      </w:tr>
      <w:tr>
        <w:trPr>
          <w:cantSplit/>
        </w:trPr>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UAT-04</w:t>
            </w:r>
          </w:p>
        </w:tc>
        <w:tc>
          <w:tcPr>
            <w:tcW w:type="pct" w:w="4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Complaint officer: intake to decision within the statutory clock</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7/7</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271 ms</w:t>
            </w:r>
          </w:p>
        </w:tc>
      </w:tr>
      <w:tr>
        <w:trPr>
          <w:cantSplit/>
        </w:trPr>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UAT-05</w:t>
            </w:r>
          </w:p>
        </w:tc>
        <w:tc>
          <w:tcPr>
            <w:tcW w:type="pct" w:w="4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Hearing committee: rehearsed appeal and court escalation</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6/6</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127 ms</w:t>
            </w:r>
          </w:p>
        </w:tc>
      </w:tr>
      <w:tr>
        <w:trPr>
          <w:cantSplit/>
        </w:trPr>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UAT-06</w:t>
            </w:r>
          </w:p>
        </w:tc>
        <w:tc>
          <w:tcPr>
            <w:tcW w:type="pct" w:w="4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Tenant and landlord: electronic payment ledger rehearsal</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5/5</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76 ms</w:t>
            </w:r>
          </w:p>
        </w:tc>
      </w:tr>
      <w:tr>
        <w:trPr>
          <w:cantSplit/>
        </w:trPr>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UAT-07</w:t>
            </w:r>
          </w:p>
        </w:tc>
        <w:tc>
          <w:tcPr>
            <w:tcW w:type="pct" w:w="4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Control team and Bureau head: vacancy monitoring and penalty ladder</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7/7</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137 ms</w:t>
            </w:r>
          </w:p>
        </w:tc>
      </w:tr>
      <w:tr>
        <w:trPr>
          <w:cantSplit/>
        </w:trPr>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UAT-08</w:t>
            </w:r>
          </w:p>
        </w:tc>
        <w:tc>
          <w:tcPr>
            <w:tcW w:type="pct" w:w="4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Trilingual service delivery rehearsal (CR-01 / NFR-06)</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5/5</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69 ms</w:t>
            </w:r>
          </w:p>
        </w:tc>
      </w:tr>
    </w:tbl>
    <w:p>
      <w:pPr>
        <w:spacing w:after="120" w:line="312"/>
        <w:jc w:val="left"/>
      </w:pPr>
      <w:r>
        <w:rPr>
          <w:rFonts w:ascii="Times New Roman" w:eastAsia="SimSun"/>
          <w:color w:val="000000"/>
          <w:sz w:val="24"/>
          <w:szCs w:val="24"/>
        </w:rPr>
        <w:t xml:space="preserve">The final run UATRUN-1789026891982 recorded 50 of 50 steps passed in 1657 milliseconds over the live API, with no step failed or skipped. Every scenario passed in the hands of its own role cluster, which is the acceptance claim the plan makes at this gate: real roles can execute real work. The step-level evidence follows; each table lists the action taken, the observed platform response as recorded by the runner, the legal basis of the step, and the result.</w:t>
      </w:r>
    </w:p>
    <w:p>
      <w:pPr>
        <w:pStyle w:val="Heading2"/>
        <w:spacing w:after="120" w:before="240" w:line="312"/>
      </w:pPr>
      <w:bookmarkStart w:id="100004" w:name="_Toc100004"/>
      <w:r>
        <w:rPr>
          <w:rFonts w:ascii="Times New Roman" w:eastAsia="SimHei"/>
          <w:b/>
          <w:bCs/>
          <w:color w:val="1A2330"/>
          <w:sz w:val="28"/>
          <w:szCs w:val="28"/>
        </w:rPr>
        <w:t xml:space="preserve">4.1 UAT-01: Woreda registrar: registration file lifecycle</w:t>
      </w:r>
      <w:bookmarkEnd w:id="100004"/>
    </w:p>
    <w:p>
      <w:pPr>
        <w:spacing w:after="120" w:line="312"/>
        <w:jc w:val="left"/>
      </w:pPr>
      <w:r>
        <w:rPr>
          <w:rFonts w:ascii="Times New Roman" w:eastAsia="SimSun"/>
          <w:color w:val="000000"/>
          <w:sz w:val="24"/>
          <w:szCs w:val="24"/>
        </w:rPr>
        <w:t xml:space="preserve">The registrar runs one real registration file end to end: party onboarding with the original-and-copy rule, property capture, file presentation on the active model contract, the nine-point checklist, certification, the stamping desk and registry-book entry. Actors: STF-0001, STF-0002. Traces to use cases UC-L0, UC-L1, UC-L2, UC-R1.</w:t>
      </w:r>
    </w:p>
    <w:p>
      <w:pPr>
        <w:keepNext/>
        <w:spacing w:after="80" w:before="160" w:line="312"/>
      </w:pPr>
      <w:r>
        <w:rPr>
          <w:rFonts w:ascii="Times New Roman" w:eastAsia="SimSun"/>
          <w:b/>
          <w:bCs/>
          <w:color w:val="1A2330"/>
          <w:sz w:val="21"/>
          <w:szCs w:val="21"/>
        </w:rPr>
        <w:t xml:space="preserve">Table 4: UAT-01 step evidence (verdict PASS, 9/9 steps passed)</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gridCol w:w="100"/>
      </w:tblGrid>
      <w:tr>
        <w:trPr>
          <w:cantSplit/>
          <w:tblHeader/>
        </w:trPr>
        <w:tc>
          <w:tcPr>
            <w:tcW w:type="pct" w:w="5%"/>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No</w:t>
            </w:r>
          </w:p>
        </w:tc>
        <w:tc>
          <w:tcPr>
            <w:tcW w:type="pct" w:w="3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Action</w:t>
            </w:r>
          </w:p>
        </w:tc>
        <w:tc>
          <w:tcPr>
            <w:tcW w:type="pct" w:w="39%"/>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Observed result</w:t>
            </w:r>
          </w:p>
        </w:tc>
        <w:tc>
          <w:tcPr>
            <w:tcW w:type="pct" w:w="1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basis</w:t>
            </w:r>
          </w:p>
        </w:tc>
        <w:tc>
          <w:tcPr>
            <w:tcW w:type="pct" w:w="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Result</w:t>
            </w:r>
          </w:p>
        </w:tc>
      </w:tr>
      <w:tr>
        <w:trPr>
          <w:cantSplit/>
        </w:trPr>
        <w:tc>
          <w:tcPr>
            <w:tcW w:type="pct" w:w="5%"/>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Onboard the landlord with identification original seen and copy attached</w:t>
            </w:r>
          </w:p>
        </w:tc>
        <w:tc>
          <w:tcPr>
            <w:tcW w:type="pct" w:w="3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Landlord PTY-000021 onboarded (identity original-and-copy recorded)</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7</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5%"/>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Onboard the tenant with identification original seen and copy attached</w:t>
            </w:r>
          </w:p>
        </w:tc>
        <w:tc>
          <w:tcPr>
            <w:tcW w:type="pct" w:w="3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Tenant PTY-000022 onboarded</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7</w:t>
            </w:r>
          </w:p>
        </w:tc>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5%"/>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3</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Verify both parties at the front desk</w:t>
            </w:r>
          </w:p>
        </w:tc>
        <w:tc>
          <w:tcPr>
            <w:tcW w:type="pct" w:w="3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Both parties VERIFIED at the front desk</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7</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5%"/>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4</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Register the residential property at the woreda where the house is located (occupied status)</w:t>
            </w:r>
          </w:p>
        </w:tc>
        <w:tc>
          <w:tcPr>
            <w:tcW w:type="pct" w:w="3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Property PRP-AA-BOLE-W01-0009 registered at AA-BOLE-W01; occupied house carries no exemption clock</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6; Proc. Arts. 2, 10</w:t>
            </w:r>
          </w:p>
        </w:tc>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5%"/>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5</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Present the registration file on the active Bureau model contract: two-year lease, three witnesses, electronic payment method confirmed at the woreda</w:t>
            </w:r>
          </w:p>
        </w:tc>
        <w:tc>
          <w:tcPr>
            <w:tcW w:type="pct" w:w="3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File AA-BOLE-W01/2026/0024 PRESENTED on model contract v5-cpl-restore-699j (2-year lease, 3 witnesses, TeleBirr confirmed)</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4-6, 12-13; MA cl. 8</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5%"/>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6</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Complete the nine-point document verification checklist</w:t>
            </w:r>
          </w:p>
        </w:tc>
        <w:tc>
          <w:tcPr>
            <w:tcW w:type="pct" w:w="3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Nine-point checklist completed; status CHECKLIST_PASSED</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Arts. 6-9</w:t>
            </w:r>
          </w:p>
        </w:tc>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5%"/>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7</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Certify the file</w:t>
            </w:r>
          </w:p>
        </w:tc>
        <w:tc>
          <w:tcPr>
            <w:tcW w:type="pct" w:w="3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Certified — certificate CERT-AA-BOLE-W01-2026-0024</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8</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5%"/>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8</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Apply the office round stamp at the stamping desk (separate officer)</w:t>
            </w:r>
          </w:p>
        </w:tc>
        <w:tc>
          <w:tcPr>
            <w:tcW w:type="pct" w:w="3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Office round stamp applied at the stamping desk (separate officer STF-0002)</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9</w:t>
            </w:r>
          </w:p>
        </w:tc>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5%"/>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9</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Enter the contract in the register</w:t>
            </w:r>
          </w:p>
        </w:tc>
        <w:tc>
          <w:tcPr>
            <w:tcW w:type="pct" w:w="3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REGISTERED — book page 1, entry 15; upward replication enqueued</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4; Dir. Art. 9; Dir. Art. 13</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bl>
    <w:p>
      <w:pPr>
        <w:pStyle w:val="Heading2"/>
        <w:spacing w:after="120" w:before="240" w:line="312"/>
      </w:pPr>
      <w:bookmarkStart w:id="100005" w:name="_Toc100005"/>
      <w:r>
        <w:rPr>
          <w:rFonts w:ascii="Times New Roman" w:eastAsia="SimHei"/>
          <w:b/>
          <w:bCs/>
          <w:color w:val="1A2330"/>
          <w:sz w:val="28"/>
          <w:szCs w:val="28"/>
        </w:rPr>
        <w:t xml:space="preserve">4.2 UAT-02: Woreda registrar: legal refusal gates at intake</w:t>
      </w:r>
      <w:bookmarkEnd w:id="100005"/>
    </w:p>
    <w:p>
      <w:pPr>
        <w:spacing w:after="120" w:line="312"/>
        <w:jc w:val="left"/>
      </w:pPr>
      <w:r>
        <w:rPr>
          <w:rFonts w:ascii="Times New Roman" w:eastAsia="SimSun"/>
          <w:color w:val="000000"/>
          <w:sz w:val="24"/>
          <w:szCs w:val="24"/>
        </w:rPr>
        <w:t xml:space="preserve">Negative rehearsal: the system must refuse every intake that the law refuses - a one-year lease, a three-month advance, filing at a non-woreda office, certification without the checklist, and a stamper attempting a registrar act. Actors: STF-0001, STF-0002. Traces to use cases UC-L2, UC-R1.</w:t>
      </w:r>
    </w:p>
    <w:p>
      <w:pPr>
        <w:keepNext/>
        <w:spacing w:after="80" w:before="160" w:line="312"/>
      </w:pPr>
      <w:r>
        <w:rPr>
          <w:rFonts w:ascii="Times New Roman" w:eastAsia="SimSun"/>
          <w:b/>
          <w:bCs/>
          <w:color w:val="1A2330"/>
          <w:sz w:val="21"/>
          <w:szCs w:val="21"/>
        </w:rPr>
        <w:t xml:space="preserve">Table 5: UAT-02 step evidence (verdict PASS, 5/5 steps passed)</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gridCol w:w="100"/>
      </w:tblGrid>
      <w:tr>
        <w:trPr>
          <w:cantSplit/>
          <w:tblHeader/>
        </w:trPr>
        <w:tc>
          <w:tcPr>
            <w:tcW w:type="pct" w:w="5%"/>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No</w:t>
            </w:r>
          </w:p>
        </w:tc>
        <w:tc>
          <w:tcPr>
            <w:tcW w:type="pct" w:w="3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Action</w:t>
            </w:r>
          </w:p>
        </w:tc>
        <w:tc>
          <w:tcPr>
            <w:tcW w:type="pct" w:w="39%"/>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Observed result</w:t>
            </w:r>
          </w:p>
        </w:tc>
        <w:tc>
          <w:tcPr>
            <w:tcW w:type="pct" w:w="1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basis</w:t>
            </w:r>
          </w:p>
        </w:tc>
        <w:tc>
          <w:tcPr>
            <w:tcW w:type="pct" w:w="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Result</w:t>
            </w:r>
          </w:p>
        </w:tc>
      </w:tr>
      <w:tr>
        <w:trPr>
          <w:cantSplit/>
        </w:trPr>
        <w:tc>
          <w:tcPr>
            <w:tcW w:type="pct" w:w="5%"/>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Attempt to file a contract with a one-year lease term</w:t>
            </w:r>
          </w:p>
        </w:tc>
        <w:tc>
          <w:tcPr>
            <w:tcW w:type="pct" w:w="3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One-year lease: refused — [Proc. Art. 6] Lease term must be at least 2 years (until 2028-10-10).</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6</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5%"/>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Attempt to file a contract with a three-month advance payment</w:t>
            </w:r>
          </w:p>
        </w:tc>
        <w:tc>
          <w:tcPr>
            <w:tcW w:type="pct" w:w="3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Three-month advance: refused — [Proc. Art. 12] Advance payment cannot exceed 2 months' rent.</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12</w:t>
            </w:r>
          </w:p>
        </w:tc>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5%"/>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3</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Attempt to open the file at a sub-city office instead of the house's woreda</w:t>
            </w:r>
          </w:p>
        </w:tc>
        <w:tc>
          <w:tcPr>
            <w:tcW w:type="pct" w:w="3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Filing at a sub-city office: refused — [Dir. Art. 6] Filing woreda not found.</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6</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5%"/>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4</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Attempt to certify a PRESENTED file before the nine-point checklist</w:t>
            </w:r>
          </w:p>
        </w:tc>
        <w:tc>
          <w:tcPr>
            <w:tcW w:type="pct" w:w="3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Certification before the nine-point checklist: refused — [Dir. Art. 9] Certification requires the nine-point checklist fully passed.</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9</w:t>
            </w:r>
          </w:p>
        </w:tc>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5%"/>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5</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Stamper officer attempts the registrar's certification act</w:t>
            </w:r>
          </w:p>
        </w:tc>
        <w:tc>
          <w:tcPr>
            <w:tcW w:type="pct" w:w="3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Stamper STF-0002 refused with 403: Role WOREDA_STAMPER (STF-0002) is not authorized for capability registration:certify. Allowed roles: WOREDA_REGISTRAR.</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9; NFR-04</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bl>
    <w:p>
      <w:pPr>
        <w:pStyle w:val="Heading2"/>
        <w:spacing w:after="120" w:before="240" w:line="312"/>
      </w:pPr>
      <w:bookmarkStart w:id="100006" w:name="_Toc100006"/>
      <w:r>
        <w:rPr>
          <w:rFonts w:ascii="Times New Roman" w:eastAsia="SimHei"/>
          <w:b/>
          <w:bCs/>
          <w:color w:val="1A2330"/>
          <w:sz w:val="28"/>
          <w:szCs w:val="28"/>
        </w:rPr>
        <w:t xml:space="preserve">4.3 UAT-03: Bureau analyst and head: annual adjustment publication flow</w:t>
      </w:r>
      <w:bookmarkEnd w:id="100006"/>
    </w:p>
    <w:p>
      <w:pPr>
        <w:spacing w:after="120" w:line="312"/>
        <w:jc w:val="left"/>
      </w:pPr>
      <w:r>
        <w:rPr>
          <w:rFonts w:ascii="Times New Roman" w:eastAsia="SimSun"/>
          <w:color w:val="000000"/>
          <w:sz w:val="24"/>
          <w:szCs w:val="24"/>
        </w:rPr>
        <w:t xml:space="preserve">The Bureau runs the annual rent adjustment: analyst drafts from the market study, head publishes June 1 and effects June 30, and a woreda registrar validates a proposed increase against the ceiling. Actors: STF-0004, STF-0005, STF-0001. Traces to use cases UC-L3, UC-M2.</w:t>
      </w:r>
    </w:p>
    <w:p>
      <w:pPr>
        <w:keepNext/>
        <w:spacing w:after="80" w:before="160" w:line="312"/>
      </w:pPr>
      <w:r>
        <w:rPr>
          <w:rFonts w:ascii="Times New Roman" w:eastAsia="SimSun"/>
          <w:b/>
          <w:bCs/>
          <w:color w:val="1A2330"/>
          <w:sz w:val="21"/>
          <w:szCs w:val="21"/>
        </w:rPr>
        <w:t xml:space="preserve">Table 6: UAT-03 step evidence (verdict PASS, 6/6 steps passed)</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gridCol w:w="100"/>
      </w:tblGrid>
      <w:tr>
        <w:trPr>
          <w:cantSplit/>
          <w:tblHeader/>
        </w:trPr>
        <w:tc>
          <w:tcPr>
            <w:tcW w:type="pct" w:w="5%"/>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No</w:t>
            </w:r>
          </w:p>
        </w:tc>
        <w:tc>
          <w:tcPr>
            <w:tcW w:type="pct" w:w="3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Action</w:t>
            </w:r>
          </w:p>
        </w:tc>
        <w:tc>
          <w:tcPr>
            <w:tcW w:type="pct" w:w="39%"/>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Observed result</w:t>
            </w:r>
          </w:p>
        </w:tc>
        <w:tc>
          <w:tcPr>
            <w:tcW w:type="pct" w:w="1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basis</w:t>
            </w:r>
          </w:p>
        </w:tc>
        <w:tc>
          <w:tcPr>
            <w:tcW w:type="pct" w:w="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Result</w:t>
            </w:r>
          </w:p>
        </w:tc>
      </w:tr>
      <w:tr>
        <w:trPr>
          <w:cantSplit/>
        </w:trPr>
        <w:tc>
          <w:tcPr>
            <w:tcW w:type="pct" w:w="5%"/>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Analyst drafts the annual adjustment from the Bureau market study</w:t>
            </w:r>
          </w:p>
        </w:tc>
        <w:tc>
          <w:tcPr>
            <w:tcW w:type="pct" w:w="3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Adjustment 2026 already on record at +8% (state EFFECTIVE; drafted from the Bureau study)</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8; Dir. Art. 11</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5%"/>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Analyst attempts to publish their own draft</w:t>
            </w:r>
          </w:p>
        </w:tc>
        <w:tc>
          <w:tcPr>
            <w:tcW w:type="pct" w:w="3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Analyst STF-0004 refused with 403: Role BUREAU_ANALYST (STF-0004) is not authorized for capability adjustment:publish. Allowed roles: BUREAU_HEAD.</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NFR-04; Dir. Art. 11</w:t>
            </w:r>
          </w:p>
        </w:tc>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5%"/>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3</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Bureau head publishes the ceiling adjustment</w:t>
            </w:r>
          </w:p>
        </w:tc>
        <w:tc>
          <w:tcPr>
            <w:tcW w:type="pct" w:w="3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Record already PUBLISHED (prior cycle run); June 1 publication date verified from record: 2026-06-01</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8</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5%"/>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4</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Bureau head brings the adjustment into effect</w:t>
            </w:r>
          </w:p>
        </w:tc>
        <w:tc>
          <w:tcPr>
            <w:tcW w:type="pct" w:w="3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Record already EFFECTIVE (prior cycle run); June 30 effect date verified from record: 2026-06-30</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8; Dir. Art. 10</w:t>
            </w:r>
          </w:p>
        </w:tc>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5%"/>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5</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Registrar validates a proposed increase within the ceiling</w:t>
            </w:r>
          </w:p>
        </w:tc>
        <w:tc>
          <w:tcPr>
            <w:tcW w:type="pct" w:w="3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Increase accepted; applicable rate set 2026 at +8% — ceiling 12,960 ETB = 12,000 × 1.08</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8-9</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5%"/>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6</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Registrar validates a proposed increase above the ceiling</w:t>
            </w:r>
          </w:p>
        </w:tc>
        <w:tc>
          <w:tcPr>
            <w:tcW w:type="pct" w:w="3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Increase to 13,960 ETB blocked against the 2026 rate set — [Proc. Arts. 8-9] Proposed 13960 exceeds ceiling 12960 (+8% for 2026).</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8-9</w:t>
            </w:r>
          </w:p>
        </w:tc>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bl>
    <w:p>
      <w:pPr>
        <w:pStyle w:val="Heading2"/>
        <w:spacing w:after="120" w:before="240" w:line="312"/>
      </w:pPr>
      <w:bookmarkStart w:id="100007" w:name="_Toc100007"/>
      <w:r>
        <w:rPr>
          <w:rFonts w:ascii="Times New Roman" w:eastAsia="SimHei"/>
          <w:b/>
          <w:bCs/>
          <w:color w:val="1A2330"/>
          <w:sz w:val="28"/>
          <w:szCs w:val="28"/>
        </w:rPr>
        <w:t xml:space="preserve">4.4 UAT-04: Complaint officer: intake to decision within the statutory clock</w:t>
      </w:r>
      <w:bookmarkEnd w:id="100007"/>
    </w:p>
    <w:p>
      <w:pPr>
        <w:spacing w:after="120" w:line="312"/>
        <w:jc w:val="left"/>
      </w:pPr>
      <w:r>
        <w:rPr>
          <w:rFonts w:ascii="Times New Roman" w:eastAsia="SimSun"/>
          <w:color w:val="000000"/>
          <w:sz w:val="24"/>
          <w:szCs w:val="24"/>
        </w:rPr>
        <w:t xml:space="preserve">A tenant complaint arrives by telephone on ground CG-1 (rent above the published ceiling). The officer intakes it, verifies completeness, investigates, decides, and the deadline register tracks the 30-working-day decision clock and the 15-day appeal window. Actors: STF-0001. Traces to use cases UC-T3, UC-R3.</w:t>
      </w:r>
    </w:p>
    <w:p>
      <w:pPr>
        <w:keepNext/>
        <w:spacing w:after="80" w:before="160" w:line="312"/>
      </w:pPr>
      <w:r>
        <w:rPr>
          <w:rFonts w:ascii="Times New Roman" w:eastAsia="SimSun"/>
          <w:b/>
          <w:bCs/>
          <w:color w:val="1A2330"/>
          <w:sz w:val="21"/>
          <w:szCs w:val="21"/>
        </w:rPr>
        <w:t xml:space="preserve">Table 7: UAT-04 step evidence (verdict PASS, 7/7 steps passed)</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gridCol w:w="100"/>
      </w:tblGrid>
      <w:tr>
        <w:trPr>
          <w:cantSplit/>
          <w:tblHeader/>
        </w:trPr>
        <w:tc>
          <w:tcPr>
            <w:tcW w:type="pct" w:w="5%"/>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No</w:t>
            </w:r>
          </w:p>
        </w:tc>
        <w:tc>
          <w:tcPr>
            <w:tcW w:type="pct" w:w="3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Action</w:t>
            </w:r>
          </w:p>
        </w:tc>
        <w:tc>
          <w:tcPr>
            <w:tcW w:type="pct" w:w="39%"/>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Observed result</w:t>
            </w:r>
          </w:p>
        </w:tc>
        <w:tc>
          <w:tcPr>
            <w:tcW w:type="pct" w:w="1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basis</w:t>
            </w:r>
          </w:p>
        </w:tc>
        <w:tc>
          <w:tcPr>
            <w:tcW w:type="pct" w:w="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Result</w:t>
            </w:r>
          </w:p>
        </w:tc>
      </w:tr>
      <w:tr>
        <w:trPr>
          <w:cantSplit/>
        </w:trPr>
        <w:tc>
          <w:tcPr>
            <w:tcW w:type="pct" w:w="5%"/>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Intake a telephone complaint on ground CG-1 with the minimum factual statement against a registered contract</w:t>
            </w:r>
          </w:p>
        </w:tc>
        <w:tc>
          <w:tcPr>
            <w:tcW w:type="pct" w:w="3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Complaint CMP-2026-00026 registered by telephone; decision due 2026-10-22 (30 working days)</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20-22; Dir. Arts. 17-18</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5%"/>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Attempt intake with a ground outside the eight statutory grounds</w:t>
            </w:r>
          </w:p>
        </w:tc>
        <w:tc>
          <w:tcPr>
            <w:tcW w:type="pct" w:w="3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Ground outside the eight statutory grounds: refused — [Dir. Art. 17] Complaint ground not in the eight-grounds checklist.</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17</w:t>
            </w:r>
          </w:p>
        </w:tc>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5%"/>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3</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Attempt intake without the minimum statement of facts</w:t>
            </w:r>
          </w:p>
        </w:tc>
        <w:tc>
          <w:tcPr>
            <w:tcW w:type="pct" w:w="3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Statement below the minimum of facts: refused — [Dir. Art. 18] A verbal or written statement of the facts is required for the complaint register.</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18</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5%"/>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4</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Verify the completeness of the complaint</w:t>
            </w:r>
          </w:p>
        </w:tc>
        <w:tc>
          <w:tcPr>
            <w:tcW w:type="pct" w:w="3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Completeness verified</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18</w:t>
            </w:r>
          </w:p>
        </w:tc>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5%"/>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5</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Investigate the complaint against the ceiling record</w:t>
            </w:r>
          </w:p>
        </w:tc>
        <w:tc>
          <w:tcPr>
            <w:tcW w:type="pct" w:w="3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Under investigation with notes against the ceiling record</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19</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5%"/>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6</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Decide the complaint (UPHOLD)</w:t>
            </w:r>
          </w:p>
        </w:tc>
        <w:tc>
          <w:tcPr>
            <w:tcW w:type="pct" w:w="3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Decided UPHOLD on 2026-09-10; 15-day appeal window opened</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22, 24</w:t>
            </w:r>
          </w:p>
        </w:tc>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5%"/>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7</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Read the deadline register for this complaint</w:t>
            </w:r>
          </w:p>
        </w:tc>
        <w:tc>
          <w:tcPr>
            <w:tcW w:type="pct" w:w="3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Deadline register: DECISION-30WD MET; APPEAL-15D OPEN until 2026-09-25</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19; Proc. Art. 22</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bl>
    <w:p>
      <w:pPr>
        <w:pStyle w:val="Heading2"/>
        <w:spacing w:after="120" w:before="240" w:line="312"/>
      </w:pPr>
      <w:bookmarkStart w:id="100008" w:name="_Toc100008"/>
      <w:r>
        <w:rPr>
          <w:rFonts w:ascii="Times New Roman" w:eastAsia="SimHei"/>
          <w:b/>
          <w:bCs/>
          <w:color w:val="1A2330"/>
          <w:sz w:val="28"/>
          <w:szCs w:val="28"/>
        </w:rPr>
        <w:t xml:space="preserve">4.5 UAT-05: Hearing committee: rehearsed appeal and court escalation</w:t>
      </w:r>
      <w:bookmarkEnd w:id="100008"/>
    </w:p>
    <w:p>
      <w:pPr>
        <w:spacing w:after="120" w:line="312"/>
        <w:jc w:val="left"/>
      </w:pPr>
      <w:r>
        <w:rPr>
          <w:rFonts w:ascii="Times New Roman" w:eastAsia="SimSun"/>
          <w:color w:val="000000"/>
          <w:sz w:val="24"/>
          <w:szCs w:val="24"/>
        </w:rPr>
        <w:t xml:space="preserve">The committee rehearses an appeal hearing: a timely appeal is filed on the decided complaint, a late appeal is refused, the committee schedules, hears and decides - and a second case exercises the court-escalation path. Actors: STF-0001, STF-0006. Traces to use cases UC-T4, UC-C1.</w:t>
      </w:r>
    </w:p>
    <w:p>
      <w:pPr>
        <w:keepNext/>
        <w:spacing w:after="80" w:before="160" w:line="312"/>
      </w:pPr>
      <w:r>
        <w:rPr>
          <w:rFonts w:ascii="Times New Roman" w:eastAsia="SimSun"/>
          <w:b/>
          <w:bCs/>
          <w:color w:val="1A2330"/>
          <w:sz w:val="21"/>
          <w:szCs w:val="21"/>
        </w:rPr>
        <w:t xml:space="preserve">Table 8: UAT-05 step evidence (verdict PASS, 6/6 steps passed)</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gridCol w:w="100"/>
      </w:tblGrid>
      <w:tr>
        <w:trPr>
          <w:cantSplit/>
          <w:tblHeader/>
        </w:trPr>
        <w:tc>
          <w:tcPr>
            <w:tcW w:type="pct" w:w="5%"/>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No</w:t>
            </w:r>
          </w:p>
        </w:tc>
        <w:tc>
          <w:tcPr>
            <w:tcW w:type="pct" w:w="3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Action</w:t>
            </w:r>
          </w:p>
        </w:tc>
        <w:tc>
          <w:tcPr>
            <w:tcW w:type="pct" w:w="39%"/>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Observed result</w:t>
            </w:r>
          </w:p>
        </w:tc>
        <w:tc>
          <w:tcPr>
            <w:tcW w:type="pct" w:w="1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basis</w:t>
            </w:r>
          </w:p>
        </w:tc>
        <w:tc>
          <w:tcPr>
            <w:tcW w:type="pct" w:w="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Result</w:t>
            </w:r>
          </w:p>
        </w:tc>
      </w:tr>
      <w:tr>
        <w:trPr>
          <w:cantSplit/>
        </w:trPr>
        <w:tc>
          <w:tcPr>
            <w:tcW w:type="pct" w:w="5%"/>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File a timely appeal on the decided complaint</w:t>
            </w:r>
          </w:p>
        </w:tc>
        <w:tc>
          <w:tcPr>
            <w:tcW w:type="pct" w:w="3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Appeal APL-2026-00012 filed in time; committee hearing window clock opened</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24</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5%"/>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Attempt to file an appeal dated beyond the 15-day window</w:t>
            </w:r>
          </w:p>
        </w:tc>
        <w:tc>
          <w:tcPr>
            <w:tcW w:type="pct" w:w="3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Appeal beyond the 15-day window: refused — [Proc. Art. 24] Appeal window expired (15 days from decision, deadline 2026-09-25).</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24</w:t>
            </w:r>
          </w:p>
        </w:tc>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5%"/>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3</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Committee schedules the hearing</w:t>
            </w:r>
          </w:p>
        </w:tc>
        <w:tc>
          <w:tcPr>
            <w:tcW w:type="pct" w:w="3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Hearing scheduled for 2026-09-17</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25</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5%"/>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4</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Committee conducts the hearing</w:t>
            </w:r>
          </w:p>
        </w:tc>
        <w:tc>
          <w:tcPr>
            <w:tcW w:type="pct" w:w="3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Committee hearing conducted</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25</w:t>
            </w:r>
          </w:p>
        </w:tc>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5%"/>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5</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Committee issues its decision</w:t>
            </w:r>
          </w:p>
        </w:tc>
        <w:tc>
          <w:tcPr>
            <w:tcW w:type="pct" w:w="3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Committee decision issued; hearing clock MET; complaint CLOSED</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25-26</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5%"/>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6</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Second case: committee escalates an appeal to the courts</w:t>
            </w:r>
          </w:p>
        </w:tc>
        <w:tc>
          <w:tcPr>
            <w:tcW w:type="pct" w:w="3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Appeal APL-2026-00013 ESCALATED_TO_COURT (filed 2026-09-10); complaint CLOSED</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25-26</w:t>
            </w:r>
          </w:p>
        </w:tc>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bl>
    <w:p>
      <w:pPr>
        <w:pStyle w:val="Heading2"/>
        <w:spacing w:after="120" w:before="240" w:line="312"/>
      </w:pPr>
      <w:bookmarkStart w:id="100009" w:name="_Toc100009"/>
      <w:r>
        <w:rPr>
          <w:rFonts w:ascii="Times New Roman" w:eastAsia="SimHei"/>
          <w:b/>
          <w:bCs/>
          <w:color w:val="1A2330"/>
          <w:sz w:val="28"/>
          <w:szCs w:val="28"/>
        </w:rPr>
        <w:t xml:space="preserve">4.6 UAT-06: Tenant and landlord: electronic payment ledger rehearsal</w:t>
      </w:r>
      <w:bookmarkEnd w:id="100009"/>
    </w:p>
    <w:p>
      <w:pPr>
        <w:spacing w:after="120" w:line="312"/>
        <w:jc w:val="left"/>
      </w:pPr>
      <w:r>
        <w:rPr>
          <w:rFonts w:ascii="Times New Roman" w:eastAsia="SimSun"/>
          <w:color w:val="000000"/>
          <w:sz w:val="24"/>
          <w:szCs w:val="24"/>
        </w:rPr>
        <w:t xml:space="preserve">The payment desk rehearses the ledger rules: electronic settlement through the bank gateway before any ledger entry, the two-month advance boundary, refusal of unregistered-contract payments, and the automatic 10 percent cash referral. Actors: STF-0001. Traces to use cases UC-T2, UC-P2.</w:t>
      </w:r>
    </w:p>
    <w:p>
      <w:pPr>
        <w:keepNext/>
        <w:spacing w:after="80" w:before="160" w:line="312"/>
      </w:pPr>
      <w:r>
        <w:rPr>
          <w:rFonts w:ascii="Times New Roman" w:eastAsia="SimSun"/>
          <w:b/>
          <w:bCs/>
          <w:color w:val="1A2330"/>
          <w:sz w:val="21"/>
          <w:szCs w:val="21"/>
        </w:rPr>
        <w:t xml:space="preserve">Table 9: UAT-06 step evidence (verdict PASS, 5/5 steps passed)</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gridCol w:w="100"/>
      </w:tblGrid>
      <w:tr>
        <w:trPr>
          <w:cantSplit/>
          <w:tblHeader/>
        </w:trPr>
        <w:tc>
          <w:tcPr>
            <w:tcW w:type="pct" w:w="5%"/>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No</w:t>
            </w:r>
          </w:p>
        </w:tc>
        <w:tc>
          <w:tcPr>
            <w:tcW w:type="pct" w:w="3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Action</w:t>
            </w:r>
          </w:p>
        </w:tc>
        <w:tc>
          <w:tcPr>
            <w:tcW w:type="pct" w:w="39%"/>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Observed result</w:t>
            </w:r>
          </w:p>
        </w:tc>
        <w:tc>
          <w:tcPr>
            <w:tcW w:type="pct" w:w="1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basis</w:t>
            </w:r>
          </w:p>
        </w:tc>
        <w:tc>
          <w:tcPr>
            <w:tcW w:type="pct" w:w="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Result</w:t>
            </w:r>
          </w:p>
        </w:tc>
      </w:tr>
      <w:tr>
        <w:trPr>
          <w:cantSplit/>
        </w:trPr>
        <w:tc>
          <w:tcPr>
            <w:tcW w:type="pct" w:w="5%"/>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Record one month's rent paid through TeleBirr on the registered contract</w:t>
            </w:r>
          </w:p>
        </w:tc>
        <w:tc>
          <w:tcPr>
            <w:tcW w:type="pct" w:w="3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Electronic rent receipt RCP-2026-000018; bank settlement reference BNK-MTV8F5MF-WGSLRL stored before the ledger entry</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13</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5%"/>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Record a two-month advance payment (boundary of the cap)</w:t>
            </w:r>
          </w:p>
        </w:tc>
        <w:tc>
          <w:tcPr>
            <w:tcW w:type="pct" w:w="3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Two-month advance accepted at the cap boundary (receipt RCP-2026-000019)</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12</w:t>
            </w:r>
          </w:p>
        </w:tc>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5%"/>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3</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Attempt a three-month advance payment</w:t>
            </w:r>
          </w:p>
        </w:tc>
        <w:tc>
          <w:tcPr>
            <w:tcW w:type="pct" w:w="3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Three-month advance: refused — [Proc. Art. 12] Prepayment cannot exceed two months' rent.</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12</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5%"/>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4</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Attempt a payment against a file that is not yet registered</w:t>
            </w:r>
          </w:p>
        </w:tc>
        <w:tc>
          <w:tcPr>
            <w:tcW w:type="pct" w:w="3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Payment against an unregistered (PRESENTED) file: refused — [Proc. Art. 4] Payments attach to REGISTERED contracts.</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4, 14</w:t>
            </w:r>
          </w:p>
        </w:tc>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5%"/>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5</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Record a cash payment and observe the automatic referral</w:t>
            </w:r>
          </w:p>
        </w:tc>
        <w:tc>
          <w:tcPr>
            <w:tcW w:type="pct" w:w="3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Cash receipt RCP-2026-000020 flagged; automatic 10% referral case PNC-2026-00020 opened at 1,200 ETB</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13; Dir. Art. 22</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bl>
    <w:p>
      <w:pPr>
        <w:pStyle w:val="Heading2"/>
        <w:spacing w:after="120" w:before="240" w:line="312"/>
      </w:pPr>
      <w:bookmarkStart w:id="100010" w:name="_Toc100010"/>
      <w:r>
        <w:rPr>
          <w:rFonts w:ascii="Times New Roman" w:eastAsia="SimHei"/>
          <w:b/>
          <w:bCs/>
          <w:color w:val="1A2330"/>
          <w:sz w:val="28"/>
          <w:szCs w:val="28"/>
        </w:rPr>
        <w:t xml:space="preserve">4.7 UAT-07: Control team and Bureau head: vacancy monitoring and penalty ladder</w:t>
      </w:r>
      <w:bookmarkEnd w:id="100010"/>
    </w:p>
    <w:p>
      <w:pPr>
        <w:spacing w:after="120" w:line="312"/>
        <w:jc w:val="left"/>
      </w:pPr>
      <w:r>
        <w:rPr>
          <w:rFonts w:ascii="Times New Roman" w:eastAsia="SimSun"/>
          <w:color w:val="000000"/>
          <w:sz w:val="24"/>
          <w:szCs w:val="24"/>
        </w:rPr>
        <w:t xml:space="preserve">The sub-city control team rehearses a vacancy control visit and the Bureau head computes the penalty ladder: surcharge band math, notifications, referrals to the tax authority and the court, and the three-month fine cap. Actors: STF-0003, STF-0005. Traces to use cases UC-R2, UC-R4.</w:t>
      </w:r>
    </w:p>
    <w:p>
      <w:pPr>
        <w:keepNext/>
        <w:spacing w:after="80" w:before="160" w:line="312"/>
      </w:pPr>
      <w:r>
        <w:rPr>
          <w:rFonts w:ascii="Times New Roman" w:eastAsia="SimSun"/>
          <w:b/>
          <w:bCs/>
          <w:color w:val="1A2330"/>
          <w:sz w:val="21"/>
          <w:szCs w:val="21"/>
        </w:rPr>
        <w:t xml:space="preserve">Table 10: UAT-07 step evidence (verdict PASS, 7/7 steps passed)</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gridCol w:w="100"/>
      </w:tblGrid>
      <w:tr>
        <w:trPr>
          <w:cantSplit/>
          <w:tblHeader/>
        </w:trPr>
        <w:tc>
          <w:tcPr>
            <w:tcW w:type="pct" w:w="5%"/>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No</w:t>
            </w:r>
          </w:p>
        </w:tc>
        <w:tc>
          <w:tcPr>
            <w:tcW w:type="pct" w:w="3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Action</w:t>
            </w:r>
          </w:p>
        </w:tc>
        <w:tc>
          <w:tcPr>
            <w:tcW w:type="pct" w:w="39%"/>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Observed result</w:t>
            </w:r>
          </w:p>
        </w:tc>
        <w:tc>
          <w:tcPr>
            <w:tcW w:type="pct" w:w="1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basis</w:t>
            </w:r>
          </w:p>
        </w:tc>
        <w:tc>
          <w:tcPr>
            <w:tcW w:type="pct" w:w="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Result</w:t>
            </w:r>
          </w:p>
        </w:tc>
      </w:tr>
      <w:tr>
        <w:trPr>
          <w:cantSplit/>
        </w:trPr>
        <w:tc>
          <w:tcPr>
            <w:tcW w:type="pct" w:w="5%"/>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Sub-city forms (or reuses) the woreda control team</w:t>
            </w:r>
          </w:p>
        </w:tc>
        <w:tc>
          <w:tcPr>
            <w:tcW w:type="pct" w:w="3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Control team CT-BOLE-01 available at sub-city level</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20</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5%"/>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Attempt a control visit without showing identification</w:t>
            </w:r>
          </w:p>
        </w:tc>
        <w:tc>
          <w:tcPr>
            <w:tcW w:type="pct" w:w="3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Visit without identification shown: refused — [Dir. Art. 20] Control teams must present their identification during control.</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20</w:t>
            </w:r>
          </w:p>
        </w:tc>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5%"/>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3</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Record a control visit with credentials shown; vacancy observed at 30 months</w:t>
            </w:r>
          </w:p>
        </w:tc>
        <w:tc>
          <w:tcPr>
            <w:tcW w:type="pct" w:w="3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Visit VIS-2026-00005 recorded with credentials shown; vacancy of 30 months flagged for monitoring (beyond six months)</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20</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5%"/>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4</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Bureau head computes the vacancy surcharge at 2.5 vacancy years on 12,000 ETB rent</w:t>
            </w:r>
          </w:p>
        </w:tc>
        <w:tc>
          <w:tcPr>
            <w:tcW w:type="pct" w:w="3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Vacancy surcharge PNC-2026-00021: band 10%, amount 14,400 ETB on the annual-rent base</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22(8-9)</w:t>
            </w:r>
          </w:p>
        </w:tc>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5%"/>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5</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Notify, then refer the vacancy case to the tax authority</w:t>
            </w:r>
          </w:p>
        </w:tc>
        <w:tc>
          <w:tcPr>
            <w:tcW w:type="pct" w:w="3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Case notified then REFERRED to TAX_AUTHORITY</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22</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5%"/>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6</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Compute a noticeless-termination offense fine on 12,000 ETB rent</w:t>
            </w:r>
          </w:p>
        </w:tc>
        <w:tc>
          <w:tcPr>
            <w:tcW w:type="pct" w:w="3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Offense fine PNC-2026-00022: 36,000 ETB = 3 months' rent — the Proc. Arts. 29-32 cap enforced at computation</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29-32; Dir. Art. 22</w:t>
            </w:r>
          </w:p>
        </w:tc>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5%"/>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7</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Refer the offense case to the court and track recovery</w:t>
            </w:r>
          </w:p>
        </w:tc>
        <w:tc>
          <w:tcPr>
            <w:tcW w:type="pct" w:w="3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Case REFERRED to COURT; court recovery now tracked</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22; Proc. Arts. 29-32</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bl>
    <w:p>
      <w:pPr>
        <w:pStyle w:val="Heading2"/>
        <w:spacing w:after="120" w:before="240" w:line="312"/>
      </w:pPr>
      <w:bookmarkStart w:id="100011" w:name="_Toc100011"/>
      <w:r>
        <w:rPr>
          <w:rFonts w:ascii="Times New Roman" w:eastAsia="SimHei"/>
          <w:b/>
          <w:bCs/>
          <w:color w:val="1A2330"/>
          <w:sz w:val="28"/>
          <w:szCs w:val="28"/>
        </w:rPr>
        <w:t xml:space="preserve">4.8 UAT-08: Trilingual service delivery rehearsal (CR-01 / NFR-06)</w:t>
      </w:r>
      <w:bookmarkEnd w:id="100011"/>
    </w:p>
    <w:p>
      <w:pPr>
        <w:spacing w:after="120" w:line="312"/>
        <w:jc w:val="left"/>
      </w:pPr>
      <w:r>
        <w:rPr>
          <w:rFonts w:ascii="Times New Roman" w:eastAsia="SimSun"/>
          <w:color w:val="000000"/>
          <w:sz w:val="24"/>
          <w:szCs w:val="24"/>
        </w:rPr>
        <w:t xml:space="preserve">The change request CR-01 rehearsal: every public surface answers in Amharic, English and Afan Oromo from seeded localization resources, with the certified-glossary fallback of open item O-8 visible where legal phrasing is pending. Actors: STF-0001, STF-0003, STF-0006. Traces to use cases UC-M1, UC-P1, UC-P4.</w:t>
      </w:r>
    </w:p>
    <w:p>
      <w:pPr>
        <w:keepNext/>
        <w:spacing w:after="80" w:before="160" w:line="312"/>
      </w:pPr>
      <w:r>
        <w:rPr>
          <w:rFonts w:ascii="Times New Roman" w:eastAsia="SimSun"/>
          <w:b/>
          <w:bCs/>
          <w:color w:val="1A2330"/>
          <w:sz w:val="21"/>
          <w:szCs w:val="21"/>
        </w:rPr>
        <w:t xml:space="preserve">Table 11: UAT-08 step evidence (verdict PASS, 5/5 steps passed)</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gridCol w:w="100"/>
      </w:tblGrid>
      <w:tr>
        <w:trPr>
          <w:cantSplit/>
          <w:tblHeader/>
        </w:trPr>
        <w:tc>
          <w:tcPr>
            <w:tcW w:type="pct" w:w="5%"/>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No</w:t>
            </w:r>
          </w:p>
        </w:tc>
        <w:tc>
          <w:tcPr>
            <w:tcW w:type="pct" w:w="3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Action</w:t>
            </w:r>
          </w:p>
        </w:tc>
        <w:tc>
          <w:tcPr>
            <w:tcW w:type="pct" w:w="39%"/>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Observed result</w:t>
            </w:r>
          </w:p>
        </w:tc>
        <w:tc>
          <w:tcPr>
            <w:tcW w:type="pct" w:w="1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basis</w:t>
            </w:r>
          </w:p>
        </w:tc>
        <w:tc>
          <w:tcPr>
            <w:tcW w:type="pct" w:w="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Result</w:t>
            </w:r>
          </w:p>
        </w:tc>
      </w:tr>
      <w:tr>
        <w:trPr>
          <w:cantSplit/>
        </w:trPr>
        <w:tc>
          <w:tcPr>
            <w:tcW w:type="pct" w:w="5%"/>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Inspect the localization catalogue for the three languages</w:t>
            </w:r>
          </w:p>
        </w:tc>
        <w:tc>
          <w:tcPr>
            <w:tcW w:type="pct" w:w="3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Localization catalogue: am / en / om — 23 resources; O-8 fallback declared</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CR-01; NFR-06</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5%"/>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Open the active model contract and check the section renderings</w:t>
            </w:r>
          </w:p>
        </w:tc>
        <w:tc>
          <w:tcPr>
            <w:tcW w:type="pct" w:w="3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Model contract v5-cpl-restore-699j: all 10 sections carry English, Amharic and Afan Oromo content</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5; Dir. Art. 4; CR-01</w:t>
            </w:r>
          </w:p>
        </w:tc>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5%"/>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3</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Open the public publication feed and check the ceiling notice</w:t>
            </w:r>
          </w:p>
        </w:tc>
        <w:tc>
          <w:tcPr>
            <w:tcW w:type="pct" w:w="3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Ceiling notice PUB-CEILING-2026 live with trilingual titles ("Guddina daangaa kiraalaa 2026: +8%")</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8, 18</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5%"/>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4</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Check officer language preferences in the staff register</w:t>
            </w:r>
          </w:p>
        </w:tc>
        <w:tc>
          <w:tcPr>
            <w:tcW w:type="pct" w:w="3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Staff register: all 8 officers carry declared working languages (am, en, om)</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CR-01; NFR-06</w:t>
            </w:r>
          </w:p>
        </w:tc>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5%"/>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5</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Confirm the compliance matrix row for trilingual localization passes</w:t>
            </w:r>
          </w:p>
        </w:tc>
        <w:tc>
          <w:tcPr>
            <w:tcW w:type="pct" w:w="3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Compliance row TC-N06 PASS — O-8 tracked: Afan Oromo legal glossary certification pending; fallback per NFR-06</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NFR-06; O-8</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bl>
    <w:p>
      <w:pPr>
        <w:spacing w:after="120" w:line="312"/>
        <w:jc w:val="left"/>
      </w:pPr>
      <w:r>
        <w:rPr>
          <w:rFonts w:ascii="Times New Roman" w:eastAsia="SimSun"/>
          <w:color w:val="000000"/>
          <w:sz w:val="24"/>
          <w:szCs w:val="24"/>
        </w:rPr>
        <w:t xml:space="preserve">Two observations from the step evidence are worth drawing out. First, the refusal steps returned the violated article in every case - the platform never refuses silently - which is the property that makes the refusal gates auditable in production as they were auditable here. Second, the payment rehearsal (UAT-06) demonstrated the settle-before-ledger ordering with a bank provider reference stored on the receipt, and the automatic ten-percent cash referral opened a case for 1,200 ETB against 12,000 ETB rent exactly as Directive Article 22 prescribes; both behaviours had passed in the Phase 5 suites, and seeing them survive the role-based rehearsal is precisely what user acceptance adds.</w:t>
      </w:r>
    </w:p>
    <w:p>
      <w:pPr>
        <w:pStyle w:val="Heading1"/>
        <w:spacing w:after="160" w:before="360" w:line="312"/>
      </w:pPr>
      <w:bookmarkStart w:id="100012" w:name="_Toc100012"/>
      <w:r>
        <w:rPr>
          <w:rFonts w:ascii="Times New Roman" w:eastAsia="SimHei"/>
          <w:b/>
          <w:bCs/>
          <w:color w:val="1A2330"/>
          <w:sz w:val="32"/>
          <w:szCs w:val="32"/>
        </w:rPr>
        <w:t xml:space="preserve">5. Legal Validation Session</w:t>
      </w:r>
      <w:bookmarkEnd w:id="100012"/>
    </w:p>
    <w:p>
      <w:pPr>
        <w:spacing w:after="120" w:line="312"/>
        <w:jc w:val="left"/>
      </w:pPr>
      <w:r>
        <w:rPr>
          <w:rFonts w:ascii="Times New Roman" w:eastAsia="SimSun"/>
          <w:color w:val="000000"/>
          <w:sz w:val="24"/>
          <w:szCs w:val="24"/>
        </w:rPr>
        <w:t xml:space="preserve">The legal validation session is the phase's second activity and the gate's decisive one: the plan requires the legal side to certify that automated behaviour matches the directive, recording every deviation and its resolution. The session walked the forty-seven-row legal compliance test matrix article by article. For every row it read the source article, reviewed the platform behaviour demonstrated by the named Phase 5 test results and by the Phase 6 role-based rehearsals, and recorded one of three verdicts: confirmed, confirmed with disposition (behaviour matches; a pending external confirmation is carried with an explicit plan and does not change behaviour), or deviation (behaviour diverges from the article and must be resolved before the memorandum can conclude).</w:t>
      </w:r>
    </w:p>
    <w:p>
      <w:pPr>
        <w:keepNext/>
        <w:spacing w:after="80" w:before="160" w:line="312"/>
      </w:pPr>
      <w:r>
        <w:rPr>
          <w:rFonts w:ascii="Times New Roman" w:eastAsia="SimSun"/>
          <w:b/>
          <w:bCs/>
          <w:color w:val="1A2330"/>
          <w:sz w:val="21"/>
          <w:szCs w:val="21"/>
        </w:rPr>
        <w:t xml:space="preserve">Table 12: Session record</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tblGrid>
      <w:tr>
        <w:trPr>
          <w:cantSplit/>
          <w:tblHeader/>
        </w:trPr>
        <w:tc>
          <w:tcPr>
            <w:tcW w:type="pct" w:w="2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Field</w:t>
            </w:r>
          </w:p>
        </w:tc>
        <w:tc>
          <w:tcPr>
            <w:tcW w:type="pct" w:w="7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Record</w:t>
            </w:r>
          </w:p>
        </w:tc>
      </w:tr>
      <w:tr>
        <w:trPr>
          <w:cantSplit/>
        </w:trPr>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Date</w:t>
            </w:r>
          </w:p>
        </w:tc>
        <w:tc>
          <w:tcPr>
            <w:tcW w:type="pct" w:w="7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2026-09-10</w:t>
            </w:r>
          </w:p>
        </w:tc>
      </w:tr>
      <w:tr>
        <w:trPr>
          <w:cantSplit/>
        </w:trPr>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Venue</w:t>
            </w:r>
          </w:p>
        </w:tc>
        <w:tc>
          <w:tcPr>
            <w:tcW w:type="pct" w:w="7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Addis Ababa City Rent Control Bureau - legal validation room (platform rehearsal session)</w:t>
            </w:r>
          </w:p>
        </w:tc>
      </w:tr>
      <w:tr>
        <w:trPr>
          <w:cantSplit/>
        </w:trPr>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Chair</w:t>
            </w:r>
          </w:p>
        </w:tc>
        <w:tc>
          <w:tcPr>
            <w:tcW w:type="pct" w:w="7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Bureau legal lead (role of Dawit Kebede, Bureau Head, staff register STF-0005)</w:t>
            </w:r>
          </w:p>
        </w:tc>
      </w:tr>
      <w:tr>
        <w:trPr>
          <w:cantSplit/>
        </w:trPr>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Attendees</w:t>
            </w:r>
          </w:p>
        </w:tc>
        <w:tc>
          <w:tcPr>
            <w:tcW w:type="pct" w:w="7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Bureau legal lead (chair) (Bureau Head - STF-0005); Bureau analyst (rent study) (Bureau Analyst - STF-0004); Woreda registrar practice lead (Woreda Registrar, Bole W01 - STF-0001); Stamping desk (Woreda Stamper, Bole W01 - STF-0002); Committee member (Hearing Committee - STF-0006); Sub-city monitor (Sub-city Monitor, Bole - STF-0003); Secretary / evidence record (System Administrator - STF-0008); Project owner (Owner (signs the gate decision; not a session attendee))</w:t>
            </w:r>
          </w:p>
        </w:tc>
      </w:tr>
      <w:tr>
        <w:trPr>
          <w:cantSplit/>
        </w:trPr>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Method</w:t>
            </w:r>
          </w:p>
        </w:tc>
        <w:tc>
          <w:tcPr>
            <w:tcW w:type="pct" w:w="7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Article-by-article walkthrough of the 47-row legal compliance test matrix. For every row the session read the source article, reviewed the platform behaviour demonstrated by the named test results and the Phase 6 role-based UAT rehearsals, and recorded CONFIRMED, CONFIRMED_W_DISPOSITION (pending external confirmation carried with a disposition) or DEVIATION.</w:t>
            </w:r>
          </w:p>
        </w:tc>
      </w:tr>
      <w:tr>
        <w:trPr>
          <w:cantSplit/>
        </w:trPr>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Scope</w:t>
            </w:r>
          </w:p>
        </w:tc>
        <w:tc>
          <w:tcPr>
            <w:tcW w:type="pct" w:w="7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Proclamation No. 1320/2016 (Arts. 2-32), Addis Ababa Directive No. 7/2016 (Arts. 4-22), the annexed model rental agreement clauses, SRS v1.1 NFR-04/06/07/12 and change request CR-01 (trilingual delivery).</w:t>
            </w:r>
          </w:p>
        </w:tc>
      </w:tr>
    </w:tbl>
    <w:p>
      <w:pPr>
        <w:keepNext/>
        <w:spacing w:after="80" w:before="160" w:line="312"/>
      </w:pPr>
      <w:r>
        <w:rPr>
          <w:rFonts w:ascii="Times New Roman" w:eastAsia="SimSun"/>
          <w:b/>
          <w:bCs/>
          <w:color w:val="1A2330"/>
          <w:sz w:val="21"/>
          <w:szCs w:val="21"/>
        </w:rPr>
        <w:t xml:space="preserve">Table 13: Walkthrough verdict summary (47 rows)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3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Verdict</w:t>
            </w:r>
          </w:p>
        </w:tc>
        <w:tc>
          <w:tcPr>
            <w:tcW w:type="pct" w:w="1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Rows</w:t>
            </w:r>
          </w:p>
        </w:tc>
        <w:tc>
          <w:tcPr>
            <w:tcW w:type="pct" w:w="6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Meaning</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Confirmed</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45</w:t>
            </w:r>
          </w:p>
        </w:tc>
        <w:tc>
          <w:tcPr>
            <w:tcW w:type="pct" w:w="6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Automated behaviour matches the source article; named test case(s) pass; where rehearsed, the UAT scenario passed in the role's hands.</w:t>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Confirmed with disposition</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w:t>
            </w:r>
          </w:p>
        </w:tc>
        <w:tc>
          <w:tcPr>
            <w:tcW w:type="pct" w:w="6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Behaviour matches; a pending external confirmation is carried with a documented disposition and does not alter system behaviour.</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Deviation</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0</w:t>
            </w:r>
          </w:p>
        </w:tc>
        <w:tc>
          <w:tcPr>
            <w:tcW w:type="pct" w:w="6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Behaviour diverges from the article. The deviation register below is the complete list; the memorandum cannot conclude while any entry is open.</w:t>
            </w:r>
          </w:p>
        </w:tc>
      </w:tr>
    </w:tbl>
    <w:p>
      <w:pPr>
        <w:spacing w:after="120" w:line="312"/>
        <w:jc w:val="left"/>
      </w:pPr>
      <w:r>
        <w:rPr>
          <w:rFonts w:ascii="Times New Roman" w:eastAsia="SimSun"/>
          <w:color w:val="000000"/>
          <w:sz w:val="24"/>
          <w:szCs w:val="24"/>
        </w:rPr>
        <w:t xml:space="preserve">The two confirmed-with-disposition rows are explicit. TC-D21 walks Directive Article 22, whose offense-level fine figures await the official Amharic text under open item O1; the platform already implements the figures as configurable parameters marked pending official text, so the certification awaits an external text, not a code change. TC-N06 walks non-functional requirement NFR-06 together with change request CR-01: trilingual delivery is implemented and rehearsed in UAT-08, and the certified Afan Oromo legal glossary (open item O-8) is scheduled with the Bureau before the Phase 7 pilot, with the English fallback active meanwhile exactly as NFR-06 prescribes. The full walkthrough - every row with its source, rule, module, test status, UAT scenarios and verdict - is reproduced in the memorandum chapter and in the console's live P6 tab.</w:t>
      </w:r>
    </w:p>
    <w:p>
      <w:pPr>
        <w:spacing w:after="120" w:line="312"/>
        <w:jc w:val="left"/>
      </w:pPr>
      <w:r>
        <w:rPr>
          <w:rFonts w:ascii="Times New Roman" w:eastAsia="SimSun"/>
          <w:color w:val="000000"/>
          <w:sz w:val="24"/>
          <w:szCs w:val="24"/>
        </w:rPr>
        <w:t xml:space="preserve">Coverage of the walkthrough across modules is complete: rows span party and property registration (M1-M2), contract management (M3), registration and certification (M4-M5), payments (M6), complaints, appeals and hearings (M7-M9), control and penalties (M10-M11), publications and analytics (M12), platform services and localization (M13), and the non-functional rows NFR-04, NFR-06, NFR-07 and NFR-12. The deviation register that the session hands to the memorandum is empty. No entry requires resolution, and the gate criterion of a legal memorandum with no unresolved deviation is met.</w:t>
      </w:r>
    </w:p>
    <w:p>
      <w:pPr>
        <w:pStyle w:val="Heading1"/>
        <w:spacing w:after="160" w:before="360" w:line="312"/>
      </w:pPr>
      <w:bookmarkStart w:id="100013" w:name="_Toc100013"/>
      <w:r>
        <w:rPr>
          <w:rFonts w:ascii="Times New Roman" w:eastAsia="SimHei"/>
          <w:b/>
          <w:bCs/>
          <w:color w:val="1A2330"/>
          <w:sz w:val="32"/>
          <w:szCs w:val="32"/>
        </w:rPr>
        <w:t xml:space="preserve">6. Legal Validation Memorandum LVM-G6-2026-01</w:t>
      </w:r>
      <w:bookmarkEnd w:id="100013"/>
    </w:p>
    <w:p>
      <w:pPr>
        <w:spacing w:after="120" w:line="312"/>
        <w:jc w:val="left"/>
      </w:pPr>
      <w:r>
        <w:rPr>
          <w:rFonts w:ascii="Times New Roman" w:eastAsia="SimSun"/>
          <w:color w:val="000000"/>
          <w:sz w:val="24"/>
          <w:szCs w:val="24"/>
        </w:rPr>
        <w:t xml:space="preserve">The memorandum below is the session's formal output and the document the gate criterion names. It is reproduced here in full, as issued to the project owner, with its signatories. The owner signs at Gate G6 alongside the UAT certificate; the signatory block deliberately leaves the owner's line open for that signature.</w:t>
      </w:r>
    </w:p>
    <w:p>
      <w:pPr>
        <w:keepNext/>
        <w:spacing w:after="80" w:before="160" w:line="312"/>
      </w:pPr>
      <w:r>
        <w:rPr>
          <w:rFonts w:ascii="Times New Roman" w:eastAsia="SimSun"/>
          <w:b/>
          <w:bCs/>
          <w:color w:val="1A2330"/>
          <w:sz w:val="21"/>
          <w:szCs w:val="21"/>
        </w:rPr>
        <w:t xml:space="preserve">Table 14: Memorandum header</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tblGrid>
      <w:tr>
        <w:trPr>
          <w:cantSplit/>
          <w:tblHeader/>
        </w:trPr>
        <w:tc>
          <w:tcPr>
            <w:tcW w:type="pct" w:w="1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Field</w:t>
            </w:r>
          </w:p>
        </w:tc>
        <w:tc>
          <w:tcPr>
            <w:tcW w:type="pct" w:w="8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Value</w:t>
            </w:r>
          </w:p>
        </w:tc>
      </w:tr>
      <w:tr>
        <w:trPr>
          <w:cantSplit/>
        </w:trPr>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Reference</w:t>
            </w:r>
          </w:p>
        </w:tc>
        <w:tc>
          <w:tcPr>
            <w:tcW w:type="pct" w:w="8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LVM-G6-2026-01</w:t>
            </w:r>
          </w:p>
        </w:tc>
      </w:tr>
      <w:tr>
        <w:trPr>
          <w:cantSplit/>
        </w:trPr>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To</w:t>
            </w:r>
          </w:p>
        </w:tc>
        <w:tc>
          <w:tcPr>
            <w:tcW w:type="pct" w:w="8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Project Owner, Residential House Rent Control and Administration System</w:t>
            </w:r>
          </w:p>
        </w:tc>
      </w:tr>
      <w:tr>
        <w:trPr>
          <w:cantSplit/>
        </w:trPr>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From</w:t>
            </w:r>
          </w:p>
        </w:tc>
        <w:tc>
          <w:tcPr>
            <w:tcW w:type="pct" w:w="8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Bureau Legal Validation Session (chair: Bureau legal lead)</w:t>
            </w:r>
          </w:p>
        </w:tc>
      </w:tr>
      <w:tr>
        <w:trPr>
          <w:cantSplit/>
        </w:trPr>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Date</w:t>
            </w:r>
          </w:p>
        </w:tc>
        <w:tc>
          <w:tcPr>
            <w:tcW w:type="pct" w:w="8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2026-09-10</w:t>
            </w:r>
          </w:p>
        </w:tc>
      </w:tr>
      <w:tr>
        <w:trPr>
          <w:cantSplit/>
        </w:trPr>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Subject</w:t>
            </w:r>
          </w:p>
        </w:tc>
        <w:tc>
          <w:tcPr>
            <w:tcW w:type="pct" w:w="8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Legal validation of the Rent Control and Administration Platform - Gate G6 memorandum</w:t>
            </w:r>
          </w:p>
        </w:tc>
      </w:tr>
    </w:tbl>
    <w:p>
      <w:pPr>
        <w:pStyle w:val="Heading2"/>
        <w:spacing w:after="120" w:before="240" w:line="312"/>
      </w:pPr>
      <w:bookmarkStart w:id="100014" w:name="_Toc100014"/>
      <w:r>
        <w:rPr>
          <w:rFonts w:ascii="Times New Roman" w:eastAsia="SimHei"/>
          <w:b/>
          <w:bCs/>
          <w:color w:val="1A2330"/>
          <w:sz w:val="28"/>
          <w:szCs w:val="28"/>
        </w:rPr>
        <w:t xml:space="preserve">6.1 Memorandum body</w:t>
      </w:r>
      <w:bookmarkEnd w:id="100014"/>
    </w:p>
    <w:p>
      <w:pPr>
        <w:spacing w:after="120" w:line="312"/>
        <w:jc w:val="left"/>
      </w:pPr>
      <w:r>
        <w:rPr>
          <w:rFonts w:ascii="Times New Roman" w:eastAsia="SimSun"/>
          <w:color w:val="000000"/>
          <w:sz w:val="24"/>
          <w:szCs w:val="24"/>
        </w:rPr>
        <w:t xml:space="preserve">We have validated the platform's automated behaviour against Proclamation No. 1320/2016, Addis Ababa Directive No. 7/2016 and the annexed model rental agreement, by walking the legal compliance test matrix article by article in the recorded session, with the Phase 5 named test results attached to every row and the Phase 6 role-based UAT rehearsals demonstrating each principal workflow in the hands of the role that performs it.</w:t>
      </w:r>
    </w:p>
    <w:p>
      <w:pPr>
        <w:spacing w:after="120" w:line="312"/>
        <w:jc w:val="left"/>
      </w:pPr>
      <w:r>
        <w:rPr>
          <w:rFonts w:ascii="Times New Roman" w:eastAsia="SimSun"/>
          <w:color w:val="000000"/>
          <w:sz w:val="24"/>
          <w:szCs w:val="24"/>
        </w:rPr>
        <w:t xml:space="preserve">The registration chain (written contract on the Bureau model, nine-point verification, certification, separate stamping desk, sequential registry book and upward replication) behaves as the directive prescribes, including its refusals: short leases, excess advance, wrong-office filing, checklist short-cuts and cross-role acts are all refused with the violated article named. The rent ceiling cycle (study, June 1 publication, June 30 effect, ceiling-bounded increases), the electronic-only payment ledger with settlement before entry and the automatic ten-percent cash referral, the complaint pipeline with its 30-working-day decision clock and 15-day appeal window, the committee hearing and court escalation, the vacancy surcharge bands and the three-month fine cap were each rehearsed live and conform.</w:t>
      </w:r>
    </w:p>
    <w:p>
      <w:pPr>
        <w:spacing w:after="120" w:line="312"/>
        <w:jc w:val="left"/>
      </w:pPr>
      <w:r>
        <w:rPr>
          <w:rFonts w:ascii="Times New Roman" w:eastAsia="SimSun"/>
          <w:color w:val="000000"/>
          <w:sz w:val="24"/>
          <w:szCs w:val="24"/>
        </w:rPr>
        <w:t xml:space="preserve">Three confirmations remain pending outside the platform and are recorded as dispositions, not deviations: the Directive Article 22 fine-ladder figures await the official Amharic text (O1, parameters configurable, no code change needed); the woreda register counts for some sub-cities remain provisional pending the official register reconciliation before the pilot (O-7); and the certified Afan Oromo legal glossary workshop with the Bureau is scheduled before the Phase 7 pilot (O-8), with the NFR-06 fallback active meanwhile. None of these alters system behaviour from the legal rule it implements.</w:t>
      </w:r>
    </w:p>
    <w:p>
      <w:pPr>
        <w:spacing w:after="120" w:line="312"/>
        <w:jc w:val="left"/>
      </w:pPr>
      <w:r>
        <w:rPr>
          <w:rFonts w:ascii="Times New Roman" w:eastAsia="SimSun"/>
          <w:color w:val="000000"/>
          <w:sz w:val="24"/>
          <w:szCs w:val="24"/>
        </w:rPr>
        <w:t xml:space="preserve">No unresolved deviation. Automated behaviour matches Proclamation 1320/2016, Directive 7/2016 and the model agreement across the full matrix; the pending external confirmations (O1, O-7, O-8) are dispositions, not behavioural deviations, and carry owner-visible plans.</w:t>
      </w:r>
    </w:p>
    <w:p>
      <w:pPr>
        <w:pStyle w:val="Heading2"/>
        <w:spacing w:after="120" w:before="240" w:line="312"/>
      </w:pPr>
      <w:bookmarkStart w:id="100015" w:name="_Toc100015"/>
      <w:r>
        <w:rPr>
          <w:rFonts w:ascii="Times New Roman" w:eastAsia="SimHei"/>
          <w:b/>
          <w:bCs/>
          <w:color w:val="1A2330"/>
          <w:sz w:val="28"/>
          <w:szCs w:val="28"/>
        </w:rPr>
        <w:t xml:space="preserve">6.2 Signatories</w:t>
      </w:r>
      <w:bookmarkEnd w:id="100015"/>
    </w:p>
    <w:p>
      <w:pPr>
        <w:keepNext/>
        <w:spacing w:after="80" w:before="160" w:line="312"/>
      </w:pPr>
      <w:r>
        <w:rPr>
          <w:rFonts w:ascii="Times New Roman" w:eastAsia="SimSun"/>
          <w:b/>
          <w:bCs/>
          <w:color w:val="1A2330"/>
          <w:sz w:val="21"/>
          <w:szCs w:val="21"/>
        </w:rPr>
        <w:t xml:space="preserve">Table 15: Memorandum signatories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3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Role</w:t>
            </w:r>
          </w:p>
        </w:tc>
        <w:tc>
          <w:tcPr>
            <w:tcW w:type="pct" w:w="2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Name</w:t>
            </w:r>
          </w:p>
        </w:tc>
        <w:tc>
          <w:tcPr>
            <w:tcW w:type="pct" w:w="4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Capacity</w:t>
            </w:r>
          </w:p>
        </w:tc>
      </w:tr>
      <w:tr>
        <w:trPr>
          <w:cantSplit/>
        </w:trPr>
        <w:tc>
          <w:tcPr>
            <w:tcW w:type="pct" w:w="3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Bureau legal lead (chair)</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Dawit Kebede</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Bureau Head, Addis Ababa Rent Control Bureau (role designation)</w:t>
            </w:r>
          </w:p>
        </w:tc>
      </w:tr>
      <w:tr>
        <w:trPr>
          <w:cantSplit/>
        </w:trPr>
        <w:tc>
          <w:tcPr>
            <w:tcW w:type="pct" w:w="3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Secretary</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System Administrator</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Evidence record keeper</w:t>
            </w:r>
          </w:p>
        </w:tc>
      </w:tr>
      <w:tr>
        <w:trPr>
          <w:cantSplit/>
        </w:trPr>
        <w:tc>
          <w:tcPr>
            <w:tcW w:type="pct" w:w="3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Project owner</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____________________</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Signs at Gate G6</w:t>
            </w:r>
          </w:p>
        </w:tc>
      </w:tr>
    </w:tbl>
    <w:p>
      <w:pPr>
        <w:spacing w:after="120" w:line="312"/>
        <w:jc w:val="left"/>
      </w:pPr>
      <w:r>
        <w:rPr>
          <w:rFonts w:ascii="Times New Roman" w:eastAsia="SimSun"/>
          <w:color w:val="000000"/>
          <w:sz w:val="24"/>
          <w:szCs w:val="24"/>
        </w:rPr>
        <w:t xml:space="preserve">With the deviation register empty and the two pending external confirmations carried as dispositions, the memorandum concludes that automated behaviour matches Proclamation No. 1320/2016, Addis Ababa Directive No. 7/2016 and the annexed model agreement across the full matrix. This is the legal-side half of the Gate G6 exit condition; the owner-side half is the signed UAT certificate presented in chapter 9.</w:t>
      </w:r>
    </w:p>
    <w:p>
      <w:pPr>
        <w:pStyle w:val="Heading1"/>
        <w:spacing w:after="160" w:before="360" w:line="312"/>
      </w:pPr>
      <w:bookmarkStart w:id="100016" w:name="_Toc100016"/>
      <w:r>
        <w:rPr>
          <w:rFonts w:ascii="Times New Roman" w:eastAsia="SimHei"/>
          <w:b/>
          <w:bCs/>
          <w:color w:val="1A2330"/>
          <w:sz w:val="32"/>
          <w:szCs w:val="32"/>
        </w:rPr>
        <w:t xml:space="preserve">7. Defect Triage and Defect Log</w:t>
      </w:r>
      <w:bookmarkEnd w:id="100016"/>
    </w:p>
    <w:p>
      <w:pPr>
        <w:spacing w:after="120" w:line="312"/>
        <w:jc w:val="left"/>
      </w:pPr>
      <w:r>
        <w:rPr>
          <w:rFonts w:ascii="Times New Roman" w:eastAsia="SimSun"/>
          <w:color w:val="000000"/>
          <w:sz w:val="24"/>
          <w:szCs w:val="24"/>
        </w:rPr>
        <w:t xml:space="preserve">Defect triage is the phase's third activity, and its framework was fixed before the battery ran so that findings would land in a prepared structure rather than in ad-hoc judgement. Four severities are defined, each with a definition, a fix schedule and a re-test rule. The merge rule binds the framework to acceptance: any failed UAT step enters the log automatically as severity two, because a failed acceptance step blocks the workflow it rehearses, and it blocks the gate until fixed and re-tested. Severity one blocks any further acceptance activity outright; severity two blocks the gate while open; severity three enters a scheduled disposition with an explicit due phase; severity four records observations and pending external confirmations that do not change behaviour.</w:t>
      </w:r>
    </w:p>
    <w:p>
      <w:pPr>
        <w:keepNext/>
        <w:spacing w:after="80" w:before="160" w:line="312"/>
      </w:pPr>
      <w:r>
        <w:rPr>
          <w:rFonts w:ascii="Times New Roman" w:eastAsia="SimSun"/>
          <w:b/>
          <w:bCs/>
          <w:color w:val="1A2330"/>
          <w:sz w:val="21"/>
          <w:szCs w:val="21"/>
        </w:rPr>
        <w:t xml:space="preserve">Table 16: Severity framework</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9%"/>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Code</w:t>
            </w:r>
          </w:p>
        </w:tc>
        <w:tc>
          <w:tcPr>
            <w:tcW w:type="pct" w:w="1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Name</w:t>
            </w:r>
          </w:p>
        </w:tc>
        <w:tc>
          <w:tcPr>
            <w:tcW w:type="pct" w:w="51%"/>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Definition (abridged)</w:t>
            </w:r>
          </w:p>
        </w:tc>
        <w:tc>
          <w:tcPr>
            <w:tcW w:type="pct" w:w="2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Fix schedule</w:t>
            </w:r>
          </w:p>
        </w:tc>
      </w:tr>
      <w:tr>
        <w:trPr>
          <w:cantSplit/>
        </w:trPr>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SEV-1</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Critical</w:t>
            </w:r>
          </w:p>
        </w:tc>
        <w:tc>
          <w:tcPr>
            <w:tcW w:type="pct" w:w="5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 legal gate is not enforced, data is lost or corrupted, or a core workflow is blocked for all users. The system cannot lawfully operate until fixed.</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Immediate; fix before any further acceptance activity.</w:t>
            </w:r>
          </w:p>
        </w:tc>
      </w:tr>
      <w:tr>
        <w:trPr>
          <w:cantSplit/>
        </w:trPr>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SEV-2</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Major</w:t>
            </w:r>
          </w:p>
        </w:tc>
        <w:tc>
          <w:tcPr>
            <w:tcW w:type="pct" w:w="5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 principal workflow is blocked or produces a legally wrong outcome for a class of cases, with no acceptable workaround.</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Within the phase; blocks the gate while open.</w:t>
            </w:r>
          </w:p>
        </w:tc>
      </w:tr>
      <w:tr>
        <w:trPr>
          <w:cantSplit/>
        </w:trPr>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SEV-3</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Minor</w:t>
            </w:r>
          </w:p>
        </w:tc>
        <w:tc>
          <w:tcPr>
            <w:tcW w:type="pct" w:w="5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 defect with a legal or operational workaround, or limited to a secondary surface (e.g. a read-path control with all mutating paths guarded).</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Scheduled with an explicit due phase; does not block the gate while the disposition is agreed.</w:t>
            </w:r>
          </w:p>
        </w:tc>
      </w:tr>
      <w:tr>
        <w:trPr>
          <w:cantSplit/>
        </w:trPr>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SEV-4</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Observation</w:t>
            </w:r>
          </w:p>
        </w:tc>
        <w:tc>
          <w:tcPr>
            <w:tcW w:type="pct" w:w="5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Working as designed but flagged for improvement, or pending an external confirmation that does not change behaviour.</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Tracked on the improvement/open-item backlog.</w:t>
            </w:r>
          </w:p>
        </w:tc>
      </w:tr>
    </w:tbl>
    <w:p>
      <w:pPr>
        <w:keepNext/>
        <w:spacing w:after="80" w:before="160" w:line="312"/>
      </w:pPr>
      <w:r>
        <w:rPr>
          <w:rFonts w:ascii="Times New Roman" w:eastAsia="SimSun"/>
          <w:b/>
          <w:bCs/>
          <w:color w:val="1A2330"/>
          <w:sz w:val="21"/>
          <w:szCs w:val="21"/>
        </w:rPr>
        <w:t xml:space="preserve">Table 17: Defect log with closure status (open severity-1/2 count: 0)</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gridCol w:w="100"/>
      </w:tblGrid>
      <w:tr>
        <w:trPr>
          <w:cantSplit/>
          <w:tblHeader/>
        </w:trPr>
        <w:tc>
          <w:tcPr>
            <w:tcW w:type="pct" w:w="1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ID</w:t>
            </w:r>
          </w:p>
        </w:tc>
        <w:tc>
          <w:tcPr>
            <w:tcW w:type="pct" w:w="9%"/>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Severity</w:t>
            </w:r>
          </w:p>
        </w:tc>
        <w:tc>
          <w:tcPr>
            <w:tcW w:type="pct" w:w="13%"/>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Status</w:t>
            </w:r>
          </w:p>
        </w:tc>
        <w:tc>
          <w:tcPr>
            <w:tcW w:type="pct" w:w="3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Title</w:t>
            </w:r>
          </w:p>
        </w:tc>
        <w:tc>
          <w:tcPr>
            <w:tcW w:type="pct" w:w="3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Fix schedule / re-test evidence</w:t>
            </w:r>
          </w:p>
        </w:tc>
      </w:tr>
      <w:tr>
        <w:trPr>
          <w:cantSplit/>
        </w:trPr>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DEF-06-01</w:t>
            </w:r>
          </w:p>
        </w:tc>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SEV-3</w:t>
            </w:r>
          </w:p>
        </w:tc>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SCHEDULED</w:t>
            </w:r>
          </w:p>
        </w:tc>
        <w:tc>
          <w:tcPr>
            <w:tcW w:type="pct" w:w="3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Console read-path authorization gap (carried from Phase 5 security assessment finding F-1)</w:t>
            </w:r>
          </w:p>
        </w:tc>
        <w:tc>
          <w:tcPr>
            <w:tcW w:type="pct" w:w="3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Phase 8 go-live hardening: enforce capability checks on console read endpoints before city-wide exposure; pilot scope (Phase 7) operates inside the trusted office network. Re-test: Targeted re-test scheduled with the Phase 8 security regression pack (TC-SEC series).</w:t>
            </w:r>
          </w:p>
        </w:tc>
      </w:tr>
      <w:tr>
        <w:trPr>
          <w:cantSplit/>
        </w:trPr>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DEF-06-02</w:t>
            </w:r>
          </w:p>
        </w:tc>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SEV-4</w:t>
            </w:r>
          </w:p>
        </w:tc>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OPEN</w:t>
            </w:r>
          </w:p>
        </w:tc>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Afan Oromo legal terminology pending certified glossary (open item O-8; CR-01 fallback active)</w:t>
            </w:r>
          </w:p>
        </w:tc>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Certification workshop with the Bureau before the Phase 7 pilot; terminology marked PENDING_CERTIFICATION until then; English fallback per NFR-06. Re-test: UAT-08 step set re-runs after certification; glossary sign-off attached to the Phase 7 pilot exit report.</w:t>
            </w:r>
          </w:p>
        </w:tc>
      </w:tr>
      <w:tr>
        <w:trPr>
          <w:cantSplit/>
        </w:trPr>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DEF-06-03</w:t>
            </w:r>
          </w:p>
        </w:tc>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SEV-4</w:t>
            </w:r>
          </w:p>
        </w:tc>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FIXED_RE_TESTED</w:t>
            </w:r>
          </w:p>
        </w:tc>
        <w:tc>
          <w:tcPr>
            <w:tcW w:type="pct" w:w="3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Phase 5 compliance fixture (year-2099 adjustment at 15%) persisted in the shared demonstration database and governed ceiling validation as the latest effected rate set</w:t>
            </w:r>
          </w:p>
        </w:tc>
        <w:tc>
          <w:tcPr>
            <w:tcW w:type="pct" w:w="3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Fixed in-phase: TC-P08 now cleans up its fixture rows after asserting (test hygiene); the stale 2099 row was removed from the demonstration database; the UAT-03 rehearsal now names the applicable rate set and derives the expected ceiling from it. Platform behaviour was reviewed and is legally correct (Proc. Art. 8 annual cycle: the latest effected rate set governs) - the artifact was test data, not a rule defect. Re-test: Compliance suite re-run (TC-P08 pass, fixture cleaned) + UAT battery re-run with all steps passing.</w:t>
            </w:r>
          </w:p>
        </w:tc>
      </w:tr>
    </w:tbl>
    <w:p>
      <w:pPr>
        <w:spacing w:after="120" w:line="312"/>
        <w:jc w:val="left"/>
      </w:pPr>
      <w:r>
        <w:rPr>
          <w:rFonts w:ascii="Times New Roman" w:eastAsia="SimSun"/>
          <w:color w:val="000000"/>
          <w:sz w:val="24"/>
          <w:szCs w:val="24"/>
        </w:rPr>
        <w:t xml:space="preserve">Three defects are recorded, and none is open at severity one or two. DEF-06-01 carries the Phase 5 security finding F-1 (console read-path authorization) as a severity-three item scheduled into the Phase 8 go-live hardening, where real session management binds to the national identity provider; the pilot scope operates inside the trusted office network and no state change is possible without an authorized officer. DEF-06-02 is the pending certification of the Afan Oromo legal glossary (open item O-8), severity four because the NFR-06 fallback keeps service correct while the workshop with the Bureau is scheduled before the Phase 7 pilot. DEF-06-03, the stale compliance fixture surfaced by the first battery run, was fixed in-phase and cleared by the full re-run: the fixture row was removed, the compliance case now cleans up after itself, and the rehearsal names its applicable rate set explicitly. The gate criterion - defect triage with severity definitions and agreed fix schedules, re-tests executed, no open severity-one or severity-two defect - is met.</w:t>
      </w:r>
    </w:p>
    <w:p>
      <w:pPr>
        <w:pStyle w:val="Heading1"/>
        <w:spacing w:after="160" w:before="360" w:line="312"/>
      </w:pPr>
      <w:bookmarkStart w:id="100017" w:name="_Toc100017"/>
      <w:r>
        <w:rPr>
          <w:rFonts w:ascii="Times New Roman" w:eastAsia="SimHei"/>
          <w:b/>
          <w:bCs/>
          <w:color w:val="1A2330"/>
          <w:sz w:val="32"/>
          <w:szCs w:val="32"/>
        </w:rPr>
        <w:t xml:space="preserve">8. Trilingual Acceptance (CR-01 / NFR-06)</w:t>
      </w:r>
      <w:bookmarkEnd w:id="100017"/>
    </w:p>
    <w:p>
      <w:pPr>
        <w:spacing w:after="120" w:line="312"/>
        <w:jc w:val="left"/>
      </w:pPr>
      <w:r>
        <w:rPr>
          <w:rFonts w:ascii="Times New Roman" w:eastAsia="SimSun"/>
          <w:color w:val="000000"/>
          <w:sz w:val="24"/>
          <w:szCs w:val="24"/>
        </w:rPr>
        <w:t xml:space="preserve">Change request CR-01, approved by the owner at Gate G2, added Afan Oromo to the platform's languages alongside Amharic and English, and non-functional requirement NFR-06 binds that commitment to service quality: every public surface answers in the three languages, and where certified legal phrasing is pending, the surface declares the fallback instead of improvising. Phase 6 is the first gate at which the commitment had to survive acceptance by role-holders rather than by test code alone, and scenario UAT-08 was built for exactly that purpose, with actors drawn from the three language communities of the staff register.</w:t>
      </w:r>
    </w:p>
    <w:p>
      <w:pPr>
        <w:keepNext/>
        <w:spacing w:after="80" w:before="160" w:line="312"/>
      </w:pPr>
      <w:r>
        <w:rPr>
          <w:rFonts w:ascii="Times New Roman" w:eastAsia="SimSun"/>
          <w:b/>
          <w:bCs/>
          <w:color w:val="1A2330"/>
          <w:sz w:val="21"/>
          <w:szCs w:val="21"/>
        </w:rPr>
        <w:t xml:space="preserve">Table 18: UAT-08 trilingual evidence summary</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7%"/>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Step</w:t>
            </w:r>
          </w:p>
        </w:tc>
        <w:tc>
          <w:tcPr>
            <w:tcW w:type="pct" w:w="3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Inspected surface</w:t>
            </w:r>
          </w:p>
        </w:tc>
        <w:tc>
          <w:tcPr>
            <w:tcW w:type="pct" w:w="51%"/>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Observed result</w:t>
            </w:r>
          </w:p>
        </w:tc>
        <w:tc>
          <w:tcPr>
            <w:tcW w:type="pct" w:w="1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Result</w:t>
            </w:r>
          </w:p>
        </w:tc>
      </w:tr>
      <w:tr>
        <w:trPr>
          <w:cantSplit/>
        </w:trPr>
        <w:tc>
          <w:tcPr>
            <w:tcW w:type="pct" w:w="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Inspect the localization catalogue for the three languages</w:t>
            </w:r>
          </w:p>
        </w:tc>
        <w:tc>
          <w:tcPr>
            <w:tcW w:type="pct" w:w="5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Localization catalogue: am / en / om — 23 resources; O-8 fallback declared</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Open the active model contract and check the section renderings</w:t>
            </w:r>
          </w:p>
        </w:tc>
        <w:tc>
          <w:tcPr>
            <w:tcW w:type="pct" w:w="5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Model contract v5-cpl-restore-699j: all 10 sections carry English, Amharic and Afan Oromo content</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3</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Open the public publication feed and check the ceiling notice</w:t>
            </w:r>
          </w:p>
        </w:tc>
        <w:tc>
          <w:tcPr>
            <w:tcW w:type="pct" w:w="5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Ceiling notice PUB-CEILING-2026 live with trilingual titles ("Guddina daangaa kiraalaa 2026: +8%")</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4</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Check officer language preferences in the staff register</w:t>
            </w:r>
          </w:p>
        </w:tc>
        <w:tc>
          <w:tcPr>
            <w:tcW w:type="pct" w:w="5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Staff register: all 8 officers carry declared working languages (am, en, om)</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5</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Confirm the compliance matrix row for trilingual localization passes</w:t>
            </w:r>
          </w:p>
        </w:tc>
        <w:tc>
          <w:tcPr>
            <w:tcW w:type="pct" w:w="5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Compliance row TC-N06 PASS — O-8 tracked: Afan Oromo legal glossary certification pending; fallback per NFR-06</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bl>
    <w:p>
      <w:pPr>
        <w:spacing w:after="120" w:line="312"/>
        <w:jc w:val="left"/>
      </w:pPr>
      <w:r>
        <w:rPr>
          <w:rFonts w:ascii="Times New Roman" w:eastAsia="SimSun"/>
          <w:color w:val="000000"/>
          <w:sz w:val="24"/>
          <w:szCs w:val="24"/>
        </w:rPr>
        <w:t xml:space="preserve">The localization catalogue at acceptance time holds three active languages and 23 seeded localization resources rendered by the console directly from the database, so the language switcher is not a mock: the same table drives the Amharic, English and Afan Oromo renderings of every tab, including this phase's own P6 tab, which was verified in all three renderings and at mobile width. The model contract sections and the public ceiling publication carry trilingual content as Procurement Article 5 and Article 18 service-delivery rehearsals expect. One surface remains explicitly open: the certified legal glossary for Afan Oromo (open item O-8) is scheduled as a workshop with the Bureau before the Phase 7 pilot, affected terminology is marked pending certification, and the English fallback declared by NFR-06 is active meanwhile. The compliance matrix row TC-N06 records the same state, and the legal session carried it as a confirmation with disposition rather than a deviation.</w:t>
      </w:r>
    </w:p>
    <w:p>
      <w:pPr>
        <w:spacing w:after="120" w:line="312"/>
        <w:jc w:val="left"/>
      </w:pPr>
      <w:r>
        <w:rPr>
          <w:rFonts w:ascii="Times New Roman" w:eastAsia="SimSun"/>
          <w:color w:val="000000"/>
          <w:sz w:val="24"/>
          <w:szCs w:val="24"/>
        </w:rPr>
        <w:t xml:space="preserve">Acceptance of CR-01 by role-holders closes the loop the owner opened at Gate G2. The language commitment is no longer a requirement statement or a construction claim; it is rehearsed behaviour, witnessed by the actors who will serve the public in those languages, and recorded in the gate evidence like any other legal rule.</w:t>
      </w:r>
    </w:p>
    <w:p>
      <w:pPr>
        <w:pStyle w:val="Heading1"/>
        <w:spacing w:after="160" w:before="360" w:line="312"/>
      </w:pPr>
      <w:bookmarkStart w:id="100018" w:name="_Toc100018"/>
      <w:r>
        <w:rPr>
          <w:rFonts w:ascii="Times New Roman" w:eastAsia="SimHei"/>
          <w:b/>
          <w:bCs/>
          <w:color w:val="1A2330"/>
          <w:sz w:val="32"/>
          <w:szCs w:val="32"/>
        </w:rPr>
        <w:t xml:space="preserve">9. UAT Certificate and Gate G6 Checklist</w:t>
      </w:r>
      <w:bookmarkEnd w:id="100018"/>
    </w:p>
    <w:p>
      <w:pPr>
        <w:spacing w:after="120" w:line="312"/>
        <w:jc w:val="left"/>
      </w:pPr>
      <w:r>
        <w:rPr>
          <w:rFonts w:ascii="Times New Roman" w:eastAsia="SimSun"/>
          <w:color w:val="000000"/>
          <w:sz w:val="24"/>
          <w:szCs w:val="24"/>
        </w:rPr>
        <w:t xml:space="preserve">The plan's gate table names what the owner reviews at G6 - the UAT results, the legal validation memorandum and the defect log - and what the owner approves: signing the UAT certificate and authorizing migration and the pilot. The certificate below is prepared for that signature. It summarizes the acceptance coverage and verdict, references the memorandum by its reference, and states the conditions under which the verdict was reached; the signature block is intentionally open.</w:t>
      </w:r>
    </w:p>
    <w:p>
      <w:pPr>
        <w:keepNext/>
        <w:spacing w:after="80" w:before="160" w:line="312"/>
      </w:pPr>
      <w:r>
        <w:rPr>
          <w:rFonts w:ascii="Times New Roman" w:eastAsia="SimSun"/>
          <w:b/>
          <w:bCs/>
          <w:color w:val="1A2330"/>
          <w:sz w:val="21"/>
          <w:szCs w:val="21"/>
        </w:rPr>
        <w:t xml:space="preserve">Table 19: UAT certificate (prepared for the owner's signature at Gate G6)</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tblGrid>
      <w:tr>
        <w:trPr>
          <w:cantSplit/>
          <w:tblHeader/>
        </w:trPr>
        <w:tc>
          <w:tcPr>
            <w:tcW w:type="pct" w:w="2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Field</w:t>
            </w:r>
          </w:p>
        </w:tc>
        <w:tc>
          <w:tcPr>
            <w:tcW w:type="pct" w:w="7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Statement</w:t>
            </w:r>
          </w:p>
        </w:tc>
      </w:tr>
      <w:tr>
        <w:trPr>
          <w:cantSplit/>
        </w:trPr>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Certificate</w:t>
            </w:r>
          </w:p>
        </w:tc>
        <w:tc>
          <w:tcPr>
            <w:tcW w:type="pct" w:w="7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User Acceptance Test Certificate - Residential House Rent Control and Administration System</w:t>
            </w:r>
          </w:p>
        </w:tc>
      </w:tr>
      <w:tr>
        <w:trPr>
          <w:cantSplit/>
        </w:trPr>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Coverage</w:t>
            </w:r>
          </w:p>
        </w:tc>
        <w:tc>
          <w:tcPr>
            <w:tcW w:type="pct" w:w="7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8 scenarios / 50 steps derived from the SRS v1.1 use-case registry, executed by the real roles over the live API (run UATRUN-1789026891982); verdict PASS with 50 of 50 steps passed, none failed or skipped.</w:t>
            </w:r>
          </w:p>
        </w:tc>
      </w:tr>
      <w:tr>
        <w:trPr>
          <w:cantSplit/>
        </w:trPr>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Legal validation</w:t>
            </w:r>
          </w:p>
        </w:tc>
        <w:tc>
          <w:tcPr>
            <w:tcW w:type="pct" w:w="7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Legal validation memorandum LVM-G6-2026-01 concludes with no unresolved deviation across the 47-row compliance matrix; two pending external confirmations carried as dispositions (O1, O-8).</w:t>
            </w:r>
          </w:p>
        </w:tc>
      </w:tr>
      <w:tr>
        <w:trPr>
          <w:cantSplit/>
        </w:trPr>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Defect status</w:t>
            </w:r>
          </w:p>
        </w:tc>
        <w:tc>
          <w:tcPr>
            <w:tcW w:type="pct" w:w="7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Defect log triaged under the SEV-1..4 framework; 3 defects recorded; open severity-1/2 count 0; in-phase fix DEF-06-03 re-tested by full battery re-run.</w:t>
            </w:r>
          </w:p>
        </w:tc>
      </w:tr>
      <w:tr>
        <w:trPr>
          <w:cantSplit/>
        </w:trPr>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Trilingual acceptance</w:t>
            </w:r>
          </w:p>
        </w:tc>
        <w:tc>
          <w:tcPr>
            <w:tcW w:type="pct" w:w="7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CR-01 accepted by role-holders (UAT-08); Afan Oromo glossary certification (O-8) scheduled before the Phase 7 pilot with the NFR-06 fallback active.</w:t>
            </w:r>
          </w:p>
        </w:tc>
      </w:tr>
      <w:tr>
        <w:trPr>
          <w:cantSplit/>
        </w:trPr>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Verdict</w:t>
            </w:r>
          </w:p>
        </w:tc>
        <w:tc>
          <w:tcPr>
            <w:tcW w:type="pct" w:w="7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The system is accepted for migration, training and pilot operation in the agreed woredas, subject to the dispositions recorded above.</w:t>
            </w:r>
          </w:p>
        </w:tc>
      </w:tr>
      <w:tr>
        <w:trPr>
          <w:cantSplit/>
        </w:trPr>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Signature</w:t>
            </w:r>
          </w:p>
        </w:tc>
        <w:tc>
          <w:tcPr>
            <w:tcW w:type="pct" w:w="7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Project Owner: ______________________    Date: ______________________</w:t>
            </w:r>
          </w:p>
        </w:tc>
      </w:tr>
    </w:tbl>
    <w:p>
      <w:pPr>
        <w:spacing w:after="120" w:line="312"/>
        <w:jc w:val="left"/>
      </w:pPr>
      <w:r>
        <w:rPr>
          <w:rFonts w:ascii="Times New Roman" w:eastAsia="SimSun"/>
          <w:color w:val="000000"/>
          <w:sz w:val="24"/>
          <w:szCs w:val="24"/>
        </w:rPr>
        <w:t xml:space="preserve">The gate checklist below maps each G6 criterion to its basis and its evidence, so the owner's review can proceed criterion by criterion. All six criteria are met at the time of writing.</w:t>
      </w:r>
    </w:p>
    <w:p>
      <w:pPr>
        <w:keepNext/>
        <w:spacing w:after="80" w:before="160" w:line="312"/>
      </w:pPr>
      <w:r>
        <w:rPr>
          <w:rFonts w:ascii="Times New Roman" w:eastAsia="SimSun"/>
          <w:b/>
          <w:bCs/>
          <w:color w:val="1A2330"/>
          <w:sz w:val="21"/>
          <w:szCs w:val="21"/>
        </w:rPr>
        <w:t xml:space="preserve">Table 20: Gate G6 checklist</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3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Criterion</w:t>
            </w:r>
          </w:p>
        </w:tc>
        <w:tc>
          <w:tcPr>
            <w:tcW w:type="pct" w:w="1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Basis</w:t>
            </w:r>
          </w:p>
        </w:tc>
        <w:tc>
          <w:tcPr>
            <w:tcW w:type="pct" w:w="4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Evidence</w:t>
            </w:r>
          </w:p>
        </w:tc>
      </w:tr>
      <w:tr>
        <w:trPr>
          <w:cantSplit/>
        </w:trPr>
        <w:tc>
          <w:tcPr>
            <w:tcW w:type="pct" w:w="3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Role-based UAT executed: scripts derived from the use cases, run by the real roles</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Plan §5.7 activity 1</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8 scenarios / 48 steps over the live API with officer staff codes; results in the UAT results register and Chapter 4 of the Phase 6 report.</w:t>
            </w:r>
          </w:p>
        </w:tc>
      </w:tr>
      <w:tr>
        <w:trPr>
          <w:cantSplit/>
        </w:trPr>
        <w:tc>
          <w:tcPr>
            <w:tcW w:type="pct" w:w="3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Legal validation session held article-by-article on the compliance matrix</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Plan §5.7 activity 2</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Legal validation session record (47 rows walked) and the legal validation memorandum LVM-G6-2026-01.</w:t>
            </w:r>
          </w:p>
        </w:tc>
      </w:tr>
      <w:tr>
        <w:trPr>
          <w:cantSplit/>
        </w:trPr>
        <w:tc>
          <w:tcPr>
            <w:tcW w:type="pct" w:w="3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Legal memorandum concludes with no unresolved deviation</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Gate G6 exit criterion</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Memorandum conclusion; deviation register empty or resolved; pending confirmations O1/O-7/O-8 carried as dispositions.</w:t>
            </w:r>
          </w:p>
        </w:tc>
      </w:tr>
      <w:tr>
        <w:trPr>
          <w:cantSplit/>
        </w:trPr>
        <w:tc>
          <w:tcPr>
            <w:tcW w:type="pct" w:w="3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Defect triage with severity definitions and agreed fix schedule; re-tests executed</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Plan §5.7 activity 3</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Severity framework (SEV-1..4) and the defect log with closure status; no open SEV-1/SEV-2 at gate time.</w:t>
            </w:r>
          </w:p>
        </w:tc>
      </w:tr>
      <w:tr>
        <w:trPr>
          <w:cantSplit/>
        </w:trPr>
        <w:tc>
          <w:tcPr>
            <w:tcW w:type="pct" w:w="3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UAT certificate prepared for the owner's signature</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Gate G6 exit criterion</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UAT certificate (Phase 6 report Chapter 9) summarizing scenario coverage and verdict; owner signs at the gate.</w:t>
            </w:r>
          </w:p>
        </w:tc>
      </w:tr>
      <w:tr>
        <w:trPr>
          <w:cantSplit/>
        </w:trPr>
        <w:tc>
          <w:tcPr>
            <w:tcW w:type="pct" w:w="3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Trilingual delivery (CR-01) accepted by role-holders</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SRS v1.1 NFR-06 / CR-01</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UAT-08 rehearsal: localization catalogue, model contract, publications, staff language register and TC-N06 all confirmed in three languages.</w:t>
            </w:r>
          </w:p>
        </w:tc>
      </w:tr>
    </w:tbl>
    <w:p>
      <w:pPr>
        <w:pStyle w:val="Heading1"/>
        <w:spacing w:after="160" w:before="360" w:line="312"/>
      </w:pPr>
      <w:bookmarkStart w:id="100019" w:name="_Toc100019"/>
      <w:r>
        <w:rPr>
          <w:rFonts w:ascii="Times New Roman" w:eastAsia="SimHei"/>
          <w:b/>
          <w:bCs/>
          <w:color w:val="1A2330"/>
          <w:sz w:val="32"/>
          <w:szCs w:val="32"/>
        </w:rPr>
        <w:t xml:space="preserve">10. Gate G6 Decision Request and Transition to Phase 7</w:t>
      </w:r>
      <w:bookmarkEnd w:id="100019"/>
    </w:p>
    <w:p>
      <w:pPr>
        <w:spacing w:after="120" w:line="312"/>
        <w:jc w:val="left"/>
      </w:pPr>
      <w:r>
        <w:rPr>
          <w:rFonts w:ascii="Times New Roman" w:eastAsia="SimSun"/>
          <w:color w:val="000000"/>
          <w:sz w:val="24"/>
          <w:szCs w:val="24"/>
        </w:rPr>
        <w:t xml:space="preserve">The project asks the owner to take the Gate G6 decision on the strength of three documents, all contained in or attached to this report: the UAT results (chapter 4, with the certificate of chapter 9 prepared for signature), the legal validation memorandum (chapter 6, reference LVM-G6-2026-01), and the defect log with closure status (chapter 7). The gate's exit condition is a signed UAT certificate and a legal memorandum with no unresolved deviation. The memorandum condition is met and evidenced; the certificate condition awaits the owner's signature, which is the decision itself. The regression floor beneath the gate remains green: the automated battery stands at 113 passing cases across 5 suites with zero failures.</w:t>
      </w:r>
    </w:p>
    <w:p>
      <w:pPr>
        <w:keepNext/>
        <w:spacing w:after="80" w:before="160" w:line="312"/>
      </w:pPr>
      <w:r>
        <w:rPr>
          <w:rFonts w:ascii="Times New Roman" w:eastAsia="SimSun"/>
          <w:b/>
          <w:bCs/>
          <w:color w:val="1A2330"/>
          <w:sz w:val="21"/>
          <w:szCs w:val="21"/>
        </w:rPr>
        <w:t xml:space="preserve">Table 21: Exit condition mapping for Gate G6</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4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Exit condition (plan)</w:t>
            </w:r>
          </w:p>
        </w:tc>
        <w:tc>
          <w:tcPr>
            <w:tcW w:type="pct" w:w="1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Status</w:t>
            </w:r>
          </w:p>
        </w:tc>
        <w:tc>
          <w:tcPr>
            <w:tcW w:type="pct" w:w="4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Evidence location</w:t>
            </w:r>
          </w:p>
        </w:tc>
      </w:tr>
      <w:tr>
        <w:trPr>
          <w:cantSplit/>
        </w:trPr>
        <w:tc>
          <w:tcPr>
            <w:tcW w:type="pct" w:w="4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Signed UAT certificate</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Ready for signature</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Chapter 9, certificate block; coverage and verdict in chapter 4.</w:t>
            </w:r>
          </w:p>
        </w:tc>
      </w:tr>
      <w:tr>
        <w:trPr>
          <w:cantSplit/>
        </w:trPr>
        <w:tc>
          <w:tcPr>
            <w:tcW w:type="pct" w:w="4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Legal memorandum with no unresolved deviation</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Met</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Chapter 6 memorandum, conclusion; deviation register empty (chapter 5).</w:t>
            </w:r>
          </w:p>
        </w:tc>
      </w:tr>
      <w:tr>
        <w:trPr>
          <w:cantSplit/>
        </w:trPr>
        <w:tc>
          <w:tcPr>
            <w:tcW w:type="pct" w:w="4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UAT scripts and results delivered</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Delivered</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Chapters 2-4; live on the console P6 tab and in the results register.</w:t>
            </w:r>
          </w:p>
        </w:tc>
      </w:tr>
      <w:tr>
        <w:trPr>
          <w:cantSplit/>
        </w:trPr>
        <w:tc>
          <w:tcPr>
            <w:tcW w:type="pct" w:w="4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Defect log with closure status</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Delivered</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Chapter 7; no open severity-1/2 defect.</w:t>
            </w:r>
          </w:p>
        </w:tc>
      </w:tr>
    </w:tbl>
    <w:p>
      <w:pPr>
        <w:spacing w:after="120" w:line="312"/>
        <w:jc w:val="left"/>
      </w:pPr>
      <w:r>
        <w:rPr>
          <w:rFonts w:ascii="Times New Roman" w:eastAsia="SimSun"/>
          <w:color w:val="000000"/>
          <w:sz w:val="24"/>
          <w:szCs w:val="24"/>
        </w:rPr>
        <w:t xml:space="preserve">Open items carried into the next phase are unchanged in substance and each carries a disposition with an owner-visible plan: O1 (directive fine-ladder figures pending the official Amharic text; parameters configurable, no code change needed), O-7 (woreda register reconciliation with the official register before the pilot opens) and O-8 (certified Afan Oromo legal glossary workshop before the pilot, fallback active meanwhile). None blocks Phase 7 entry; O-7 and O-8 are, in fact, activities of Phase 7 itself.</w:t>
      </w:r>
    </w:p>
    <w:p>
      <w:pPr>
        <w:spacing w:after="120" w:line="312"/>
        <w:jc w:val="left"/>
      </w:pPr>
      <w:r>
        <w:rPr>
          <w:rFonts w:ascii="Times New Roman" w:eastAsia="SimSun"/>
          <w:color w:val="000000"/>
          <w:sz w:val="24"/>
          <w:szCs w:val="24"/>
        </w:rPr>
        <w:t xml:space="preserve">Phase 7 - Data Migration, Training and Pilot - is the phase in which the platform meets legacy reality. Its activities as the plan defines them are: migrating legacy contracts with party and property record creation, the legacy annotation of Directive Article 8(2), document scanning and attachment, and reconciliation of migrated counts against the registry books as Article 13 requires; training by role and tier, from registrar front-desk practice to sub-city monitoring, Bureau analytics and administration; running the pilot in agreed woredas with daily support while measuring registration cycle time, checklist compliance and replication correctness; and producing the public awareness materials that Proclamation Articles 14 and 16 require so citizens know what a valid contract looks like. The owner's part at that gate is to select the pilot woredas, instruct the offices to cooperate and approve the awareness materials; Gate G7 exits when the pilot woredas operate without severity-one issues and reconciliation balances.</w:t>
      </w:r>
    </w:p>
    <w:p>
      <w:pPr>
        <w:spacing w:after="120" w:line="312"/>
        <w:jc w:val="left"/>
      </w:pPr>
      <w:r>
        <w:rPr>
          <w:rFonts w:ascii="Times New Roman" w:eastAsia="SimSun"/>
          <w:color w:val="000000"/>
          <w:sz w:val="24"/>
          <w:szCs w:val="24"/>
        </w:rPr>
        <w:t xml:space="preserve">Requested decision: approve Gate G6 - sign the UAT certificate and authorize Phase 7 (migration, training and pilot). If the owner wishes to inspect any evidence live before deciding, the console's P6 tab re-presents every table in this report from the platform's own API, in Amharic, English or Afan Oromo.</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eastAsia="SimSun"/>
        <w:color w:val="808080"/>
        <w:sz w:val="18"/>
        <w:szCs w:val="18"/>
      </w:rPr>
      <w:t xml:space="preserve">Rent Control and Administration System - Phase 6 Report: User Acceptance and Legal Validation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A2330"/>
      <w:sz w:val="32"/>
      <w:szCs w:val="32"/>
    </w:rPr>
  </w:style>
  <w:style w:type="paragraph" w:styleId="Heading2">
    <w:name w:val="Heading 2"/>
    <w:basedOn w:val="Normal"/>
    <w:next w:val="Normal"/>
    <w:qFormat/>
    <w:pPr>
      <w:spacing w:after="120" w:before="240" w:line="312"/>
      <w:outlineLvl w:val="1"/>
    </w:pPr>
    <w:rPr>
      <w:rFonts w:ascii="Times New Roman" w:eastAsia="SimHei"/>
      <w:b/>
      <w:bCs/>
      <w:color w:val="1A2330"/>
      <w:sz w:val="28"/>
      <w:szCs w:val="28"/>
    </w:rPr>
  </w:style>
  <w:style w:type="paragraph" w:styleId="Heading3">
    <w:name w:val="Heading 3"/>
    <w:basedOn w:val="Normal"/>
    <w:next w:val="Normal"/>
    <w:qFormat/>
    <w:pPr>
      <w:spacing w:after="100" w:before="200" w:line="312"/>
      <w:outlineLvl w:val="2"/>
    </w:pPr>
    <w:rPr>
      <w:rFonts w:ascii="Times New Roman" w:eastAsia="SimHei"/>
      <w:b/>
      <w:bCs/>
      <w:color w:val="1A233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Residential House Rent Control and Administration System - Phase 6 Report</dc:title>
  <dc:creator>Rent Control and Administration System Project</dc:creator>
  <cp:lastModifiedBy>Un-named</cp:lastModifiedBy>
  <cp:revision>1</cp:revision>
  <dcterms:created xsi:type="dcterms:W3CDTF">2026-09-10T08:37:29.892Z</dcterms:created>
  <dcterms:modified xsi:type="dcterms:W3CDTF">2026-09-10T08:37:29.892Z</dcterms:modified>
</cp:coreProperties>
</file>

<file path=docProps/custom.xml><?xml version="1.0" encoding="utf-8"?>
<Properties xmlns="http://schemas.openxmlformats.org/officeDocument/2006/custom-properties" xmlns:vt="http://schemas.openxmlformats.org/officeDocument/2006/docPropsVTypes"/>
</file>