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val="0"/>
          <w:i/>
          <w:color w:val="718096"/>
          <w:sz w:val="17"/>
        </w:rPr>
        <w:t>Addhyan  |  Master's Thesis Report  |  May 2026</w:t>
      </w:r>
    </w:p>
    <w:p>
      <w:pPr>
        <w:spacing w:before="1000"/>
      </w:pPr>
    </w:p>
    <w:p>
      <w:pPr>
        <w:spacing w:after="480"/>
        <w:jc w:val="center"/>
      </w:pPr>
      <w:r>
        <w:rPr>
          <w:rFonts w:ascii="Times New Roman" w:hAnsi="Times New Roman"/>
          <w:b/>
          <w:i w:val="0"/>
          <w:color w:val="1A365D"/>
          <w:sz w:val="40"/>
        </w:rPr>
        <w:t>SPATIOTEMPORAL ADVERSARIAL CONTRASTIVE NETWORK FOR SUBJECT-INVARIANT MICRO-EXPRESSION RECOGNITION</w:t>
      </w:r>
    </w:p>
    <w:p>
      <w:pPr>
        <w:spacing w:after="1600"/>
        <w:jc w:val="center"/>
      </w:pPr>
      <w:r>
        <w:rPr>
          <w:rFonts w:ascii="Times New Roman" w:hAnsi="Times New Roman"/>
          <w:b w:val="0"/>
          <w:i/>
          <w:color w:val="2D3748"/>
          <w:sz w:val="25"/>
        </w:rPr>
        <w:t>A Comprehensive Four-Stage Pipeline Combining Eulerian Motion Amplification, Hybrid 3D-CNN + Transformer Backbones, Cross-Batch Memory Supervised Contrastive Learning, and Domain Adaptation</w:t>
      </w:r>
    </w:p>
    <w:p>
      <w:pPr>
        <w:jc w:val="center"/>
      </w:pPr>
      <w:r>
        <w:rPr>
          <w:rFonts w:ascii="Times New Roman" w:hAnsi="Times New Roman"/>
          <w:b w:val="0"/>
          <w:i w:val="0"/>
          <w:color w:val="2D3748"/>
          <w:sz w:val="22"/>
        </w:rPr>
        <w:t>A Master's Thesis Report submitted in partial fulfillment of the requirements for the degree of</w:t>
        <w:br/>
        <w:t>Master of Science in Computer Science and Engineering</w:t>
        <w:br/>
        <w:br/>
        <w:t>Author: Addhyan</w:t>
        <w:br/>
        <w:t>Hardware Target: NVIDIA GeForce RTX 4060 Laptop GPU (8.6 GB VRAM)</w:t>
        <w:br/>
        <w:t>Framework: PyTorch (CUDA-accelerated)</w:t>
        <w:br/>
        <w:t>Random Seed Config: 42</w:t>
        <w:br/>
        <w:t>Date: May 26, 2026</w:t>
        <w:br/>
      </w:r>
    </w:p>
    <w:p>
      <w:r>
        <w:br w:type="page"/>
      </w:r>
    </w:p>
    <w:p>
      <w:pPr>
        <w:keepNext/>
        <w:spacing w:before="360" w:after="160"/>
      </w:pPr>
      <w:r>
        <w:rPr>
          <w:rFonts w:ascii="Times New Roman" w:hAnsi="Times New Roman"/>
          <w:b/>
          <w:i w:val="0"/>
          <w:color w:val="1A365D"/>
          <w:sz w:val="32"/>
        </w:rPr>
        <w:t>Abstract</w:t>
      </w:r>
    </w:p>
    <w:p>
      <w:pPr>
        <w:spacing w:after="120" w:line="276" w:lineRule="auto"/>
      </w:pPr>
      <w:r>
        <w:rPr>
          <w:rFonts w:ascii="Times New Roman" w:hAnsi="Times New Roman"/>
          <w:b w:val="0"/>
          <w:i w:val="0"/>
          <w:color w:val="2D3748"/>
          <w:sz w:val="21"/>
        </w:rPr>
        <w:t>Micro-Expression Recognition (MER) represents a challenging computer vision frontier due to the brief duration (typically under 500 milliseconds) and minute displacement of facial movements. Standard deep neural networks applied to small micro-expression datasets suffer from severe overfitting, driven by two key bottlenecks: Data Starvation and Subject Identity Bias. The former arises from the absolute scarcity of annotated training samples, while the latter stems from the tendency of deep networks to map structural face shapes (identities) rather than dynamic muscle movements. This thesis presents a highly optimized, unified four-stage pipeline designed to overcome these challenges. The pipeline incorporates Eulerian Video Magnification (EVM) for motion amplification; a parameter-efficient, weight-unshared shallow 3D-CNN backbone combined with a neuroscience-inspired, parameter-free 3D SimAM attention module; and a Sequence-Level Spatio-Temporal Transformer (SLSTT). To strip subject identity details from features, we implement a Gradient Reversal Layer (GRL) domain-adversarial identity head alongside a Supervised Contrastive Loss (SupCon) enhanced with Cross-Batch Memory (XBM) to anchor emotion clusters. Finally, a two-phase Macro-to-Micro transfer learning scheme is applied. Our model achieves a 26-fold Leave-One-Subject-Out (LOSO) cross-validation grand mean accuracy of 58.11% on micro-expressions, establishing a highly robust, identity-invariant feature representation that generalizes effectively to unseen subjects.</w:t>
      </w:r>
    </w:p>
    <w:p>
      <w:r>
        <w:br w:type="page"/>
      </w:r>
    </w:p>
    <w:p>
      <w:pPr>
        <w:keepNext/>
        <w:spacing w:before="360" w:after="160"/>
      </w:pPr>
      <w:r>
        <w:rPr>
          <w:rFonts w:ascii="Times New Roman" w:hAnsi="Times New Roman"/>
          <w:b/>
          <w:i w:val="0"/>
          <w:color w:val="1A365D"/>
          <w:sz w:val="32"/>
        </w:rPr>
        <w:t>Chapter 1: Introduction</w:t>
      </w:r>
    </w:p>
    <w:p>
      <w:pPr>
        <w:keepNext/>
        <w:spacing w:before="240" w:after="120"/>
      </w:pPr>
      <w:r>
        <w:rPr>
          <w:rFonts w:ascii="Times New Roman" w:hAnsi="Times New Roman"/>
          <w:b/>
          <w:i w:val="0"/>
          <w:color w:val="2B6CB0"/>
          <w:sz w:val="27"/>
        </w:rPr>
        <w:t>1.1 Background and Context</w:t>
      </w:r>
    </w:p>
    <w:p>
      <w:pPr>
        <w:spacing w:after="120" w:line="276" w:lineRule="auto"/>
      </w:pPr>
      <w:r>
        <w:rPr>
          <w:rFonts w:ascii="Times New Roman" w:hAnsi="Times New Roman"/>
          <w:b w:val="0"/>
          <w:i w:val="0"/>
          <w:color w:val="2D3748"/>
          <w:sz w:val="21"/>
        </w:rPr>
        <w:t>Micro-expressions are rapid, involuntary facial muscle contractions that occur when individuals attempt to suppress or conceal their true emotional state. Unlike voluntary macro-expressions (such as social smiles or deliberate frowns) which typically last between 0.5 to 4.0 seconds and involve substantial facial displacement, micro-expressions last less than 500 milliseconds (and frequently less than 250 milliseconds). Due to their subconscious and fleeting nature, micro-expressions represent a reliable window into genuine human affect. Consequently, automated Micro-Expression Recognition (MER) systems have emerged as a vital tool in clinical psychology, psychiatric diagnosis (e.g., detecting depressive disorders or suicidal ideation), border security, lie detection, neuromarketing, and affective human-computer interaction (HCI).</w:t>
      </w:r>
    </w:p>
    <w:p>
      <w:pPr>
        <w:keepNext/>
        <w:spacing w:before="240" w:after="120"/>
      </w:pPr>
      <w:r>
        <w:rPr>
          <w:rFonts w:ascii="Times New Roman" w:hAnsi="Times New Roman"/>
          <w:b/>
          <w:i w:val="0"/>
          <w:color w:val="2B6CB0"/>
          <w:sz w:val="27"/>
        </w:rPr>
        <w:t>1.2 The Twin Bottlenecks of Automated MER</w:t>
      </w:r>
    </w:p>
    <w:p>
      <w:pPr>
        <w:spacing w:after="120" w:line="276" w:lineRule="auto"/>
      </w:pPr>
      <w:r>
        <w:rPr>
          <w:rFonts w:ascii="Times New Roman" w:hAnsi="Times New Roman"/>
          <w:b w:val="0"/>
          <w:i w:val="0"/>
          <w:color w:val="2D3748"/>
          <w:sz w:val="21"/>
        </w:rPr>
        <w:t>Despite their high utility, automated MER remains an exceptionally difficult problem in computer vision. Specifically, deep learning architectures are severely bottlenecked by two twin challenges:</w:t>
      </w:r>
    </w:p>
    <w:p>
      <w:pPr>
        <w:spacing w:after="120" w:line="276" w:lineRule="auto"/>
      </w:pPr>
      <w:r>
        <w:rPr>
          <w:rFonts w:ascii="Times New Roman" w:hAnsi="Times New Roman"/>
          <w:b/>
          <w:i w:val="0"/>
          <w:color w:val="2D3748"/>
          <w:sz w:val="21"/>
        </w:rPr>
        <w:t xml:space="preserve">1. Data Starvation: </w:t>
      </w:r>
      <w:r>
        <w:rPr>
          <w:rFonts w:ascii="Times New Roman" w:hAnsi="Times New Roman"/>
          <w:b w:val="0"/>
          <w:i w:val="0"/>
          <w:color w:val="2D3748"/>
          <w:sz w:val="21"/>
        </w:rPr>
        <w:t>The annotation of micro-expressions requires certified practitioners trained under the Facial Action Coding System (FACS) to analyze high-speed video footage frame-by-frame. Because of this expensive coding process, benchmark databases are extremely small. For instance, the CASME II dataset contains only 255 annotated clips, representing just a few dozen individuals. Large-scale deep networks containing millions of parameters (e.g., standard ViTs, ResNet-3D) suffer catastrophic overfitting or feature collapse when trained from scratch on datasets of this size.</w:t>
      </w:r>
    </w:p>
    <w:p>
      <w:pPr>
        <w:spacing w:after="120" w:line="276" w:lineRule="auto"/>
      </w:pPr>
      <w:r>
        <w:rPr>
          <w:rFonts w:ascii="Times New Roman" w:hAnsi="Times New Roman"/>
          <w:b/>
          <w:i w:val="0"/>
          <w:color w:val="2D3748"/>
          <w:sz w:val="21"/>
        </w:rPr>
        <w:t xml:space="preserve">2. Subject Identity Bias: </w:t>
      </w:r>
      <w:r>
        <w:rPr>
          <w:rFonts w:ascii="Times New Roman" w:hAnsi="Times New Roman"/>
          <w:b w:val="0"/>
          <w:i w:val="0"/>
          <w:color w:val="2D3748"/>
          <w:sz w:val="21"/>
        </w:rPr>
        <w:t>Human faces contain rich static structural details, such as bone structure, eye shape, jawline geometry, and skin texture. Deep neural networks naturally exploit these high-contrast static features because they are easier to learn than sub-pixel dynamic displacements. During cross-validation, models easily lock onto individual subject identities. As a result, when evaluated on unseen subjects in a Leave-One-Subject-Out (LOSO) setup, the models generalize poorly, classifying emotions based on facial structure rather than facial motion.</w:t>
      </w:r>
    </w:p>
    <w:p>
      <w:pPr>
        <w:keepNext/>
        <w:spacing w:before="240" w:after="120"/>
      </w:pPr>
      <w:r>
        <w:rPr>
          <w:rFonts w:ascii="Times New Roman" w:hAnsi="Times New Roman"/>
          <w:b/>
          <w:i w:val="0"/>
          <w:color w:val="2B6CB0"/>
          <w:sz w:val="27"/>
        </w:rPr>
        <w:t>1.3 Objectives and Contributions</w:t>
      </w:r>
    </w:p>
    <w:p>
      <w:pPr>
        <w:spacing w:after="120" w:line="276" w:lineRule="auto"/>
      </w:pPr>
      <w:r>
        <w:rPr>
          <w:rFonts w:ascii="Times New Roman" w:hAnsi="Times New Roman"/>
          <w:b w:val="0"/>
          <w:i w:val="0"/>
          <w:color w:val="2D3748"/>
          <w:sz w:val="21"/>
        </w:rPr>
        <w:t>The primary goal of this research is to design and implement a parameter-efficient, subject-invariant spatiotemporal contrastive network that captures transient micro-movements while actively stripping out subject-specific static traits. The contributions are organized into a unified four-stage pipeline:</w:t>
      </w:r>
    </w:p>
    <w:p>
      <w:pPr>
        <w:pStyle w:val="ListBullet"/>
        <w:spacing w:after="120" w:line="276" w:lineRule="auto"/>
      </w:pPr>
      <w:r>
        <w:rPr>
          <w:rFonts w:ascii="Times New Roman" w:hAnsi="Times New Roman"/>
          <w:b w:val="0"/>
          <w:i w:val="0"/>
          <w:color w:val="2D3748"/>
          <w:sz w:val="21"/>
        </w:rPr>
        <w:t>Stage 1 (Preprocessing): Unifies heterogeneous databases, applies Eulerian Video Magnification (EVM), extracts motion-specific optical flow/strain tensor cubes, and standardizes video sequences temporally.</w:t>
      </w:r>
    </w:p>
    <w:p>
      <w:pPr>
        <w:pStyle w:val="ListBullet"/>
        <w:spacing w:after="120" w:line="276" w:lineRule="auto"/>
      </w:pPr>
      <w:r>
        <w:rPr>
          <w:rFonts w:ascii="Times New Roman" w:hAnsi="Times New Roman"/>
          <w:b w:val="0"/>
          <w:i w:val="0"/>
          <w:color w:val="2D3748"/>
          <w:sz w:val="21"/>
        </w:rPr>
        <w:t>Stage 2 (Architecture): Integrates weight-unshared shallow 3D-CNN streams with a parameter-free 3D SimAM attention module and a temporal Sequence-Level Spatio-Temporal Transformer (SLSTT) encoder.</w:t>
      </w:r>
    </w:p>
    <w:p>
      <w:pPr>
        <w:pStyle w:val="ListBullet"/>
        <w:spacing w:after="120" w:line="276" w:lineRule="auto"/>
      </w:pPr>
      <w:r>
        <w:rPr>
          <w:rFonts w:ascii="Times New Roman" w:hAnsi="Times New Roman"/>
          <w:b w:val="0"/>
          <w:i w:val="0"/>
          <w:color w:val="2D3748"/>
          <w:sz w:val="21"/>
        </w:rPr>
        <w:t>Stage 3 (Adversarial Contrastive Training): Jointly optimizes a class-weighted Focal Loss, a GRL-based adversarial subject classification head, and a Supervised Contrastive Loss (SupCon) with a Cross-Batch Memory (XBM) queue.</w:t>
      </w:r>
    </w:p>
    <w:p>
      <w:pPr>
        <w:pStyle w:val="ListBullet"/>
        <w:spacing w:after="120" w:line="276" w:lineRule="auto"/>
      </w:pPr>
      <w:r>
        <w:rPr>
          <w:rFonts w:ascii="Times New Roman" w:hAnsi="Times New Roman"/>
          <w:b w:val="0"/>
          <w:i w:val="0"/>
          <w:color w:val="2D3748"/>
          <w:sz w:val="21"/>
        </w:rPr>
        <w:t>Stage 4 (Transfer Learning): Implements a two-phase pre-training/fine-tuning routine transferring knowledge from macro-expressions to micro-expressions.</w:t>
      </w:r>
    </w:p>
    <w:p>
      <w:r>
        <w:br w:type="page"/>
      </w:r>
    </w:p>
    <w:p>
      <w:pPr>
        <w:keepNext/>
        <w:spacing w:before="360" w:after="160"/>
      </w:pPr>
      <w:r>
        <w:rPr>
          <w:rFonts w:ascii="Times New Roman" w:hAnsi="Times New Roman"/>
          <w:b/>
          <w:i w:val="0"/>
          <w:color w:val="1A365D"/>
          <w:sz w:val="32"/>
        </w:rPr>
        <w:t>Chapter 2: Stage 1 — Data Preprocessing &amp; Unification</w:t>
      </w:r>
    </w:p>
    <w:p>
      <w:pPr>
        <w:keepNext/>
        <w:spacing w:before="240" w:after="120"/>
      </w:pPr>
      <w:r>
        <w:rPr>
          <w:rFonts w:ascii="Times New Roman" w:hAnsi="Times New Roman"/>
          <w:b/>
          <w:i w:val="0"/>
          <w:color w:val="2B6CB0"/>
          <w:sz w:val="27"/>
        </w:rPr>
        <w:t>2.1 Dataset Merging and Metadata Unification</w:t>
      </w:r>
    </w:p>
    <w:p>
      <w:pPr>
        <w:spacing w:after="120" w:line="276" w:lineRule="auto"/>
      </w:pPr>
      <w:r>
        <w:rPr>
          <w:rFonts w:ascii="Times New Roman" w:hAnsi="Times New Roman"/>
          <w:b w:val="0"/>
          <w:i w:val="0"/>
          <w:color w:val="2D3748"/>
          <w:sz w:val="21"/>
        </w:rPr>
        <w:t>To establish a robust corpus, we unified two benchmark databases from the Chinese Academy of Sciences: CASME II and CAS(ME)². Unifying these datasets presents significant challenges because their recording parameters, formatting, and annotations are highly heterogeneous. Specifically, CASME II is recorded with a high-speed camera at 200 frames per second (FPS) and features pre-cropped faces. CAS(ME)² is recorded with a standard camera at 30 FPS, containing full uncropped frames and macro-expressions alongside micro-expressions.</w:t>
      </w:r>
    </w:p>
    <w:p>
      <w:pPr>
        <w:spacing w:after="120" w:line="276" w:lineRule="auto"/>
      </w:pPr>
      <w:r>
        <w:rPr>
          <w:rFonts w:ascii="Times New Roman" w:hAnsi="Times New Roman"/>
          <w:b w:val="0"/>
          <w:i w:val="0"/>
          <w:color w:val="2D3748"/>
          <w:sz w:val="21"/>
        </w:rPr>
        <w:t>We developed a robust python module, `MetadataUnifier`, to read the Excel indices, calculate sequence lengths, resolve absolute frame folder paths on disk, and map disparate emotions into a unified taxonomy. The comparative characteristics of the datasets are summarized in Table 2.1:</w:t>
      </w:r>
    </w:p>
    <w:tbl>
      <w:tblPr>
        <w:tblStyle w:val="TableGrid"/>
        <w:tblW w:type="auto" w:w="0"/>
        <w:tblLook w:firstColumn="1" w:firstRow="1" w:lastColumn="0" w:lastRow="0" w:noHBand="0" w:noVBand="1" w:val="04A0"/>
      </w:tblPr>
      <w:tblGrid>
        <w:gridCol w:w="3120"/>
        <w:gridCol w:w="3120"/>
        <w:gridCol w:w="3120"/>
      </w:tblGrid>
      <w:tr>
        <w:tc>
          <w:tcPr>
            <w:tcW w:type="dxa" w:w="3120"/>
            <w:shd w:fill="1A365D"/>
          </w:tcPr>
          <w:p>
            <w:pPr>
              <w:jc w:val="left"/>
            </w:pPr>
            <w:r>
              <w:rPr>
                <w:rFonts w:ascii="Times New Roman" w:hAnsi="Times New Roman"/>
                <w:b/>
                <w:i w:val="0"/>
                <w:color w:val="FFFFFF"/>
                <w:sz w:val="19"/>
              </w:rPr>
              <w:t>Property</w:t>
            </w:r>
          </w:p>
        </w:tc>
        <w:tc>
          <w:tcPr>
            <w:tcW w:type="dxa" w:w="3120"/>
            <w:shd w:fill="1A365D"/>
          </w:tcPr>
          <w:p>
            <w:pPr>
              <w:jc w:val="left"/>
            </w:pPr>
            <w:r>
              <w:rPr>
                <w:rFonts w:ascii="Times New Roman" w:hAnsi="Times New Roman"/>
                <w:b/>
                <w:i w:val="0"/>
                <w:color w:val="FFFFFF"/>
                <w:sz w:val="19"/>
              </w:rPr>
              <w:t>CASME II</w:t>
            </w:r>
          </w:p>
        </w:tc>
        <w:tc>
          <w:tcPr>
            <w:tcW w:type="dxa" w:w="3120"/>
            <w:shd w:fill="1A365D"/>
          </w:tcPr>
          <w:p>
            <w:pPr>
              <w:jc w:val="left"/>
            </w:pPr>
            <w:r>
              <w:rPr>
                <w:rFonts w:ascii="Times New Roman" w:hAnsi="Times New Roman"/>
                <w:b/>
                <w:i w:val="0"/>
                <w:color w:val="FFFFFF"/>
                <w:sz w:val="19"/>
              </w:rPr>
              <w:t>CAS(ME)²</w:t>
            </w:r>
          </w:p>
        </w:tc>
      </w:tr>
      <w:tr>
        <w:tc>
          <w:tcPr>
            <w:tcW w:type="dxa" w:w="3120"/>
            <w:shd w:fill="F7FAFC"/>
          </w:tcPr>
          <w:p>
            <w:r>
              <w:rPr>
                <w:rFonts w:ascii="Times New Roman" w:hAnsi="Times New Roman"/>
                <w:b/>
                <w:i w:val="0"/>
                <w:color w:val="2D3748"/>
                <w:sz w:val="18"/>
              </w:rPr>
              <w:t>Source Institution</w:t>
            </w:r>
          </w:p>
        </w:tc>
        <w:tc>
          <w:tcPr>
            <w:tcW w:type="dxa" w:w="3120"/>
            <w:shd w:fill="F7FAFC"/>
          </w:tcPr>
          <w:p>
            <w:r>
              <w:rPr>
                <w:rFonts w:ascii="Times New Roman" w:hAnsi="Times New Roman"/>
                <w:b w:val="0"/>
                <w:i w:val="0"/>
                <w:color w:val="2D3748"/>
                <w:sz w:val="18"/>
              </w:rPr>
              <w:t>Chinese Academy of Sciences</w:t>
            </w:r>
          </w:p>
        </w:tc>
        <w:tc>
          <w:tcPr>
            <w:tcW w:type="dxa" w:w="3120"/>
            <w:shd w:fill="F7FAFC"/>
          </w:tcPr>
          <w:p>
            <w:r>
              <w:rPr>
                <w:rFonts w:ascii="Times New Roman" w:hAnsi="Times New Roman"/>
                <w:b w:val="0"/>
                <w:i w:val="0"/>
                <w:color w:val="2D3748"/>
                <w:sz w:val="18"/>
              </w:rPr>
              <w:t>Chinese Academy of Sciences</w:t>
            </w:r>
          </w:p>
        </w:tc>
      </w:tr>
      <w:tr>
        <w:tc>
          <w:tcPr>
            <w:tcW w:type="dxa" w:w="3120"/>
            <w:shd w:fill="FFFFFF"/>
          </w:tcPr>
          <w:p>
            <w:r>
              <w:rPr>
                <w:rFonts w:ascii="Times New Roman" w:hAnsi="Times New Roman"/>
                <w:b/>
                <w:i w:val="0"/>
                <w:color w:val="2D3748"/>
                <w:sz w:val="18"/>
              </w:rPr>
              <w:t>Expression Types</w:t>
            </w:r>
          </w:p>
        </w:tc>
        <w:tc>
          <w:tcPr>
            <w:tcW w:type="dxa" w:w="3120"/>
            <w:shd w:fill="FFFFFF"/>
          </w:tcPr>
          <w:p>
            <w:r>
              <w:rPr>
                <w:rFonts w:ascii="Times New Roman" w:hAnsi="Times New Roman"/>
                <w:b w:val="0"/>
                <w:i w:val="0"/>
                <w:color w:val="2D3748"/>
                <w:sz w:val="18"/>
              </w:rPr>
              <w:t>Micro-expression only</w:t>
            </w:r>
          </w:p>
        </w:tc>
        <w:tc>
          <w:tcPr>
            <w:tcW w:type="dxa" w:w="3120"/>
            <w:shd w:fill="FFFFFF"/>
          </w:tcPr>
          <w:p>
            <w:r>
              <w:rPr>
                <w:rFonts w:ascii="Times New Roman" w:hAnsi="Times New Roman"/>
                <w:b w:val="0"/>
                <w:i w:val="0"/>
                <w:color w:val="2D3748"/>
                <w:sz w:val="18"/>
              </w:rPr>
              <w:t>Both Macro and Micro-expressions</w:t>
            </w:r>
          </w:p>
        </w:tc>
      </w:tr>
      <w:tr>
        <w:tc>
          <w:tcPr>
            <w:tcW w:type="dxa" w:w="3120"/>
            <w:shd w:fill="F7FAFC"/>
          </w:tcPr>
          <w:p>
            <w:r>
              <w:rPr>
                <w:rFonts w:ascii="Times New Roman" w:hAnsi="Times New Roman"/>
                <w:b/>
                <w:i w:val="0"/>
                <w:color w:val="2D3748"/>
                <w:sz w:val="18"/>
              </w:rPr>
              <w:t>Original Frame Format</w:t>
            </w:r>
          </w:p>
        </w:tc>
        <w:tc>
          <w:tcPr>
            <w:tcW w:type="dxa" w:w="3120"/>
            <w:shd w:fill="F7FAFC"/>
          </w:tcPr>
          <w:p>
            <w:r>
              <w:rPr>
                <w:rFonts w:ascii="Times New Roman" w:hAnsi="Times New Roman"/>
                <w:b w:val="0"/>
                <w:i w:val="0"/>
                <w:color w:val="2D3748"/>
                <w:sz w:val="18"/>
              </w:rPr>
              <w:t>Image sequences (JPEG/PNG)</w:t>
            </w:r>
          </w:p>
        </w:tc>
        <w:tc>
          <w:tcPr>
            <w:tcW w:type="dxa" w:w="3120"/>
            <w:shd w:fill="F7FAFC"/>
          </w:tcPr>
          <w:p>
            <w:r>
              <w:rPr>
                <w:rFonts w:ascii="Times New Roman" w:hAnsi="Times New Roman"/>
                <w:b w:val="0"/>
                <w:i w:val="0"/>
                <w:color w:val="2D3748"/>
                <w:sz w:val="18"/>
              </w:rPr>
              <w:t>Image sequences (JPEG/PNG)</w:t>
            </w:r>
          </w:p>
        </w:tc>
      </w:tr>
      <w:tr>
        <w:tc>
          <w:tcPr>
            <w:tcW w:type="dxa" w:w="3120"/>
            <w:shd w:fill="FFFFFF"/>
          </w:tcPr>
          <w:p>
            <w:r>
              <w:rPr>
                <w:rFonts w:ascii="Times New Roman" w:hAnsi="Times New Roman"/>
                <w:b/>
                <w:i w:val="0"/>
                <w:color w:val="2D3748"/>
                <w:sz w:val="18"/>
              </w:rPr>
              <w:t>Video Resolution</w:t>
            </w:r>
          </w:p>
        </w:tc>
        <w:tc>
          <w:tcPr>
            <w:tcW w:type="dxa" w:w="3120"/>
            <w:shd w:fill="FFFFFF"/>
          </w:tcPr>
          <w:p>
            <w:r>
              <w:rPr>
                <w:rFonts w:ascii="Times New Roman" w:hAnsi="Times New Roman"/>
                <w:b w:val="0"/>
                <w:i w:val="0"/>
                <w:color w:val="2D3748"/>
                <w:sz w:val="18"/>
              </w:rPr>
              <w:t>640 × 480 pixels</w:t>
            </w:r>
          </w:p>
        </w:tc>
        <w:tc>
          <w:tcPr>
            <w:tcW w:type="dxa" w:w="3120"/>
            <w:shd w:fill="FFFFFF"/>
          </w:tcPr>
          <w:p>
            <w:r>
              <w:rPr>
                <w:rFonts w:ascii="Times New Roman" w:hAnsi="Times New Roman"/>
                <w:b w:val="0"/>
                <w:i w:val="0"/>
                <w:color w:val="2D3748"/>
                <w:sz w:val="18"/>
              </w:rPr>
              <w:t>640 × 480 pixels (cropped faces)</w:t>
            </w:r>
          </w:p>
        </w:tc>
      </w:tr>
      <w:tr>
        <w:tc>
          <w:tcPr>
            <w:tcW w:type="dxa" w:w="3120"/>
            <w:shd w:fill="F7FAFC"/>
          </w:tcPr>
          <w:p>
            <w:r>
              <w:rPr>
                <w:rFonts w:ascii="Times New Roman" w:hAnsi="Times New Roman"/>
                <w:b/>
                <w:i w:val="0"/>
                <w:color w:val="2D3748"/>
                <w:sz w:val="18"/>
              </w:rPr>
              <w:t>Temporal Frame Rate</w:t>
            </w:r>
          </w:p>
        </w:tc>
        <w:tc>
          <w:tcPr>
            <w:tcW w:type="dxa" w:w="3120"/>
            <w:shd w:fill="F7FAFC"/>
          </w:tcPr>
          <w:p>
            <w:r>
              <w:rPr>
                <w:rFonts w:ascii="Times New Roman" w:hAnsi="Times New Roman"/>
                <w:b w:val="0"/>
                <w:i w:val="0"/>
                <w:color w:val="2D3748"/>
                <w:sz w:val="18"/>
              </w:rPr>
              <w:t>200 FPS (high-speed camera)</w:t>
            </w:r>
          </w:p>
        </w:tc>
        <w:tc>
          <w:tcPr>
            <w:tcW w:type="dxa" w:w="3120"/>
            <w:shd w:fill="F7FAFC"/>
          </w:tcPr>
          <w:p>
            <w:r>
              <w:rPr>
                <w:rFonts w:ascii="Times New Roman" w:hAnsi="Times New Roman"/>
                <w:b w:val="0"/>
                <w:i w:val="0"/>
                <w:color w:val="2D3748"/>
                <w:sz w:val="18"/>
              </w:rPr>
              <w:t>30 FPS (standard camera)</w:t>
            </w:r>
          </w:p>
        </w:tc>
      </w:tr>
      <w:tr>
        <w:tc>
          <w:tcPr>
            <w:tcW w:type="dxa" w:w="3120"/>
            <w:shd w:fill="FFFFFF"/>
          </w:tcPr>
          <w:p>
            <w:r>
              <w:rPr>
                <w:rFonts w:ascii="Times New Roman" w:hAnsi="Times New Roman"/>
                <w:b/>
                <w:i w:val="0"/>
                <w:color w:val="2D3748"/>
                <w:sz w:val="18"/>
              </w:rPr>
              <w:t>Metadata File Format</w:t>
            </w:r>
          </w:p>
        </w:tc>
        <w:tc>
          <w:tcPr>
            <w:tcW w:type="dxa" w:w="3120"/>
            <w:shd w:fill="FFFFFF"/>
          </w:tcPr>
          <w:p>
            <w:r>
              <w:rPr>
                <w:rFonts w:ascii="Times New Roman" w:hAnsi="Times New Roman"/>
                <w:b w:val="0"/>
                <w:i w:val="0"/>
                <w:color w:val="2D3748"/>
                <w:sz w:val="18"/>
              </w:rPr>
              <w:t>Excel (.xlsx) with header row</w:t>
            </w:r>
          </w:p>
        </w:tc>
        <w:tc>
          <w:tcPr>
            <w:tcW w:type="dxa" w:w="3120"/>
            <w:shd w:fill="FFFFFF"/>
          </w:tcPr>
          <w:p>
            <w:r>
              <w:rPr>
                <w:rFonts w:ascii="Times New Roman" w:hAnsi="Times New Roman"/>
                <w:b w:val="0"/>
                <w:i w:val="0"/>
                <w:color w:val="2D3748"/>
                <w:sz w:val="18"/>
              </w:rPr>
              <w:t>Excel (.xlsx) without header row</w:t>
            </w:r>
          </w:p>
        </w:tc>
      </w:tr>
      <w:tr>
        <w:tc>
          <w:tcPr>
            <w:tcW w:type="dxa" w:w="3120"/>
            <w:shd w:fill="F7FAFC"/>
          </w:tcPr>
          <w:p>
            <w:r>
              <w:rPr>
                <w:rFonts w:ascii="Times New Roman" w:hAnsi="Times New Roman"/>
                <w:b/>
                <w:i w:val="0"/>
                <w:color w:val="2D3748"/>
                <w:sz w:val="18"/>
              </w:rPr>
              <w:t>Facial Alignment</w:t>
            </w:r>
          </w:p>
        </w:tc>
        <w:tc>
          <w:tcPr>
            <w:tcW w:type="dxa" w:w="3120"/>
            <w:shd w:fill="F7FAFC"/>
          </w:tcPr>
          <w:p>
            <w:r>
              <w:rPr>
                <w:rFonts w:ascii="Times New Roman" w:hAnsi="Times New Roman"/>
                <w:b w:val="0"/>
                <w:i w:val="0"/>
                <w:color w:val="2D3748"/>
                <w:sz w:val="18"/>
              </w:rPr>
              <w:t>Cropped, aligned, normalized</w:t>
            </w:r>
          </w:p>
        </w:tc>
        <w:tc>
          <w:tcPr>
            <w:tcW w:type="dxa" w:w="3120"/>
            <w:shd w:fill="F7FAFC"/>
          </w:tcPr>
          <w:p>
            <w:r>
              <w:rPr>
                <w:rFonts w:ascii="Times New Roman" w:hAnsi="Times New Roman"/>
                <w:b w:val="0"/>
                <w:i w:val="0"/>
                <w:color w:val="2D3748"/>
                <w:sz w:val="18"/>
              </w:rPr>
              <w:t>Uncropped full video (requires face cropping)</w:t>
            </w:r>
          </w:p>
        </w:tc>
      </w:tr>
    </w:tbl>
    <w:p>
      <w:pPr>
        <w:spacing w:after="200"/>
      </w:pPr>
    </w:p>
    <w:p>
      <w:pPr>
        <w:keepNext/>
        <w:spacing w:before="160" w:after="80"/>
      </w:pPr>
      <w:r>
        <w:rPr>
          <w:rFonts w:ascii="Times New Roman" w:hAnsi="Times New Roman"/>
          <w:b/>
          <w:i w:val="0"/>
          <w:color w:val="2D3748"/>
          <w:sz w:val="23"/>
        </w:rPr>
        <w:t>2.1.1 Unified Emotion Taxonomy</w:t>
      </w:r>
    </w:p>
    <w:p>
      <w:pPr>
        <w:spacing w:after="120" w:line="276" w:lineRule="auto"/>
      </w:pPr>
      <w:r>
        <w:rPr>
          <w:rFonts w:ascii="Times New Roman" w:hAnsi="Times New Roman"/>
          <w:b w:val="0"/>
          <w:i w:val="0"/>
          <w:color w:val="2D3748"/>
          <w:sz w:val="21"/>
        </w:rPr>
        <w:t>Because small datasets contain very few samples for fine-grained emotions (e.g., only 2 fear samples in CASME II), training networks on the raw labels leads to severe gradient instability. We collapsed the labels into a standardized 4-class taxonomy: Negative (mapping disgust, sadness, fear, anger, contempt, and repression), Positive (mapping happiness), Surprise, and Others. The unified class distribution for both micro- and macro-expressions is outlined in Table 2.2: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A365D"/>
          </w:tcPr>
          <w:p>
            <w:pPr>
              <w:jc w:val="left"/>
            </w:pPr>
            <w:r>
              <w:rPr>
                <w:rFonts w:ascii="Times New Roman" w:hAnsi="Times New Roman"/>
                <w:b/>
                <w:i w:val="0"/>
                <w:color w:val="FFFFFF"/>
                <w:sz w:val="19"/>
              </w:rPr>
              <w:t>Unified Label</w:t>
            </w:r>
          </w:p>
        </w:tc>
        <w:tc>
          <w:tcPr>
            <w:tcW w:type="dxa" w:w="1872"/>
            <w:shd w:fill="1A365D"/>
          </w:tcPr>
          <w:p>
            <w:pPr>
              <w:jc w:val="left"/>
            </w:pPr>
            <w:r>
              <w:rPr>
                <w:rFonts w:ascii="Times New Roman" w:hAnsi="Times New Roman"/>
                <w:b/>
                <w:i w:val="0"/>
                <w:color w:val="FFFFFF"/>
                <w:sz w:val="19"/>
              </w:rPr>
              <w:t>Constituent Emotions</w:t>
            </w:r>
          </w:p>
        </w:tc>
        <w:tc>
          <w:tcPr>
            <w:tcW w:type="dxa" w:w="1872"/>
            <w:shd w:fill="1A365D"/>
          </w:tcPr>
          <w:p>
            <w:pPr>
              <w:jc w:val="left"/>
            </w:pPr>
            <w:r>
              <w:rPr>
                <w:rFonts w:ascii="Times New Roman" w:hAnsi="Times New Roman"/>
                <w:b/>
                <w:i w:val="0"/>
                <w:color w:val="FFFFFF"/>
                <w:sz w:val="19"/>
              </w:rPr>
              <w:t>Macro-Expression Samples</w:t>
            </w:r>
          </w:p>
        </w:tc>
        <w:tc>
          <w:tcPr>
            <w:tcW w:type="dxa" w:w="1872"/>
            <w:shd w:fill="1A365D"/>
          </w:tcPr>
          <w:p>
            <w:pPr>
              <w:jc w:val="left"/>
            </w:pPr>
            <w:r>
              <w:rPr>
                <w:rFonts w:ascii="Times New Roman" w:hAnsi="Times New Roman"/>
                <w:b/>
                <w:i w:val="0"/>
                <w:color w:val="FFFFFF"/>
                <w:sz w:val="19"/>
              </w:rPr>
              <w:t>Micro-Expression Samples</w:t>
            </w:r>
          </w:p>
        </w:tc>
        <w:tc>
          <w:tcPr>
            <w:tcW w:type="dxa" w:w="1872"/>
            <w:shd w:fill="1A365D"/>
          </w:tcPr>
          <w:p>
            <w:pPr>
              <w:jc w:val="left"/>
            </w:pPr>
            <w:r>
              <w:rPr>
                <w:rFonts w:ascii="Times New Roman" w:hAnsi="Times New Roman"/>
                <w:b/>
                <w:i w:val="0"/>
                <w:color w:val="FFFFFF"/>
                <w:sz w:val="19"/>
              </w:rPr>
              <w:t>Total Samples</w:t>
            </w:r>
          </w:p>
        </w:tc>
      </w:tr>
      <w:tr>
        <w:tc>
          <w:tcPr>
            <w:tcW w:type="dxa" w:w="1872"/>
            <w:shd w:fill="F7FAFC"/>
          </w:tcPr>
          <w:p>
            <w:r>
              <w:rPr>
                <w:rFonts w:ascii="Times New Roman" w:hAnsi="Times New Roman"/>
                <w:b/>
                <w:i w:val="0"/>
                <w:color w:val="2D3748"/>
                <w:sz w:val="18"/>
              </w:rPr>
              <w:t>Negative</w:t>
            </w:r>
          </w:p>
        </w:tc>
        <w:tc>
          <w:tcPr>
            <w:tcW w:type="dxa" w:w="1872"/>
            <w:shd w:fill="F7FAFC"/>
          </w:tcPr>
          <w:p>
            <w:r>
              <w:rPr>
                <w:rFonts w:ascii="Times New Roman" w:hAnsi="Times New Roman"/>
                <w:b w:val="0"/>
                <w:i w:val="0"/>
                <w:color w:val="2D3748"/>
                <w:sz w:val="18"/>
              </w:rPr>
              <w:t>Disgust, Sadness, Fear, Anger, Contempt, Repression</w:t>
            </w:r>
          </w:p>
        </w:tc>
        <w:tc>
          <w:tcPr>
            <w:tcW w:type="dxa" w:w="1872"/>
            <w:shd w:fill="F7FAFC"/>
          </w:tcPr>
          <w:p>
            <w:r>
              <w:rPr>
                <w:rFonts w:ascii="Times New Roman" w:hAnsi="Times New Roman"/>
                <w:b w:val="0"/>
                <w:i w:val="0"/>
                <w:color w:val="2D3748"/>
                <w:sz w:val="18"/>
              </w:rPr>
              <w:t>112</w:t>
            </w:r>
          </w:p>
        </w:tc>
        <w:tc>
          <w:tcPr>
            <w:tcW w:type="dxa" w:w="1872"/>
            <w:shd w:fill="F7FAFC"/>
          </w:tcPr>
          <w:p>
            <w:r>
              <w:rPr>
                <w:rFonts w:ascii="Times New Roman" w:hAnsi="Times New Roman"/>
                <w:b w:val="0"/>
                <w:i w:val="0"/>
                <w:color w:val="2D3748"/>
                <w:sz w:val="18"/>
              </w:rPr>
              <w:t>125</w:t>
            </w:r>
          </w:p>
        </w:tc>
        <w:tc>
          <w:tcPr>
            <w:tcW w:type="dxa" w:w="1872"/>
            <w:shd w:fill="F7FAFC"/>
          </w:tcPr>
          <w:p>
            <w:r>
              <w:rPr>
                <w:rFonts w:ascii="Times New Roman" w:hAnsi="Times New Roman"/>
                <w:b w:val="0"/>
                <w:i w:val="0"/>
                <w:color w:val="2D3748"/>
                <w:sz w:val="18"/>
              </w:rPr>
              <w:t>237</w:t>
            </w:r>
          </w:p>
        </w:tc>
      </w:tr>
      <w:tr>
        <w:tc>
          <w:tcPr>
            <w:tcW w:type="dxa" w:w="1872"/>
            <w:shd w:fill="FFFFFF"/>
          </w:tcPr>
          <w:p>
            <w:r>
              <w:rPr>
                <w:rFonts w:ascii="Times New Roman" w:hAnsi="Times New Roman"/>
                <w:b/>
                <w:i w:val="0"/>
                <w:color w:val="2D3748"/>
                <w:sz w:val="18"/>
              </w:rPr>
              <w:t>Positive</w:t>
            </w:r>
          </w:p>
        </w:tc>
        <w:tc>
          <w:tcPr>
            <w:tcW w:type="dxa" w:w="1872"/>
            <w:shd w:fill="FFFFFF"/>
          </w:tcPr>
          <w:p>
            <w:r>
              <w:rPr>
                <w:rFonts w:ascii="Times New Roman" w:hAnsi="Times New Roman"/>
                <w:b w:val="0"/>
                <w:i w:val="0"/>
                <w:color w:val="2D3748"/>
                <w:sz w:val="18"/>
              </w:rPr>
              <w:t>Happiness</w:t>
            </w:r>
          </w:p>
        </w:tc>
        <w:tc>
          <w:tcPr>
            <w:tcW w:type="dxa" w:w="1872"/>
            <w:shd w:fill="FFFFFF"/>
          </w:tcPr>
          <w:p>
            <w:r>
              <w:rPr>
                <w:rFonts w:ascii="Times New Roman" w:hAnsi="Times New Roman"/>
                <w:b w:val="0"/>
                <w:i w:val="0"/>
                <w:color w:val="2D3748"/>
                <w:sz w:val="18"/>
              </w:rPr>
              <w:t>106</w:t>
            </w:r>
          </w:p>
        </w:tc>
        <w:tc>
          <w:tcPr>
            <w:tcW w:type="dxa" w:w="1872"/>
            <w:shd w:fill="FFFFFF"/>
          </w:tcPr>
          <w:p>
            <w:r>
              <w:rPr>
                <w:rFonts w:ascii="Times New Roman" w:hAnsi="Times New Roman"/>
                <w:b w:val="0"/>
                <w:i w:val="0"/>
                <w:color w:val="2D3748"/>
                <w:sz w:val="18"/>
              </w:rPr>
              <w:t>45</w:t>
            </w:r>
          </w:p>
        </w:tc>
        <w:tc>
          <w:tcPr>
            <w:tcW w:type="dxa" w:w="1872"/>
            <w:shd w:fill="FFFFFF"/>
          </w:tcPr>
          <w:p>
            <w:r>
              <w:rPr>
                <w:rFonts w:ascii="Times New Roman" w:hAnsi="Times New Roman"/>
                <w:b w:val="0"/>
                <w:i w:val="0"/>
                <w:color w:val="2D3748"/>
                <w:sz w:val="18"/>
              </w:rPr>
              <w:t>151</w:t>
            </w:r>
          </w:p>
        </w:tc>
      </w:tr>
      <w:tr>
        <w:tc>
          <w:tcPr>
            <w:tcW w:type="dxa" w:w="1872"/>
            <w:shd w:fill="F7FAFC"/>
          </w:tcPr>
          <w:p>
            <w:r>
              <w:rPr>
                <w:rFonts w:ascii="Times New Roman" w:hAnsi="Times New Roman"/>
                <w:b/>
                <w:i w:val="0"/>
                <w:color w:val="2D3748"/>
                <w:sz w:val="18"/>
              </w:rPr>
              <w:t>Surprise</w:t>
            </w:r>
          </w:p>
        </w:tc>
        <w:tc>
          <w:tcPr>
            <w:tcW w:type="dxa" w:w="1872"/>
            <w:shd w:fill="F7FAFC"/>
          </w:tcPr>
          <w:p>
            <w:r>
              <w:rPr>
                <w:rFonts w:ascii="Times New Roman" w:hAnsi="Times New Roman"/>
                <w:b w:val="0"/>
                <w:i w:val="0"/>
                <w:color w:val="2D3748"/>
                <w:sz w:val="18"/>
              </w:rPr>
              <w:t>Surprise</w:t>
            </w:r>
          </w:p>
        </w:tc>
        <w:tc>
          <w:tcPr>
            <w:tcW w:type="dxa" w:w="1872"/>
            <w:shd w:fill="F7FAFC"/>
          </w:tcPr>
          <w:p>
            <w:r>
              <w:rPr>
                <w:rFonts w:ascii="Times New Roman" w:hAnsi="Times New Roman"/>
                <w:b w:val="0"/>
                <w:i w:val="0"/>
                <w:color w:val="2D3748"/>
                <w:sz w:val="18"/>
              </w:rPr>
              <w:t>24</w:t>
            </w:r>
          </w:p>
        </w:tc>
        <w:tc>
          <w:tcPr>
            <w:tcW w:type="dxa" w:w="1872"/>
            <w:shd w:fill="F7FAFC"/>
          </w:tcPr>
          <w:p>
            <w:r>
              <w:rPr>
                <w:rFonts w:ascii="Times New Roman" w:hAnsi="Times New Roman"/>
                <w:b w:val="0"/>
                <w:i w:val="0"/>
                <w:color w:val="2D3748"/>
                <w:sz w:val="18"/>
              </w:rPr>
              <w:t>34</w:t>
            </w:r>
          </w:p>
        </w:tc>
        <w:tc>
          <w:tcPr>
            <w:tcW w:type="dxa" w:w="1872"/>
            <w:shd w:fill="F7FAFC"/>
          </w:tcPr>
          <w:p>
            <w:r>
              <w:rPr>
                <w:rFonts w:ascii="Times New Roman" w:hAnsi="Times New Roman"/>
                <w:b w:val="0"/>
                <w:i w:val="0"/>
                <w:color w:val="2D3748"/>
                <w:sz w:val="18"/>
              </w:rPr>
              <w:t>58</w:t>
            </w:r>
          </w:p>
        </w:tc>
      </w:tr>
      <w:tr>
        <w:tc>
          <w:tcPr>
            <w:tcW w:type="dxa" w:w="1872"/>
            <w:shd w:fill="FFFFFF"/>
          </w:tcPr>
          <w:p>
            <w:r>
              <w:rPr>
                <w:rFonts w:ascii="Times New Roman" w:hAnsi="Times New Roman"/>
                <w:b/>
                <w:i w:val="0"/>
                <w:color w:val="2D3748"/>
                <w:sz w:val="18"/>
              </w:rPr>
              <w:t>Others</w:t>
            </w:r>
          </w:p>
        </w:tc>
        <w:tc>
          <w:tcPr>
            <w:tcW w:type="dxa" w:w="1872"/>
            <w:shd w:fill="FFFFFF"/>
          </w:tcPr>
          <w:p>
            <w:r>
              <w:rPr>
                <w:rFonts w:ascii="Times New Roman" w:hAnsi="Times New Roman"/>
                <w:b w:val="0"/>
                <w:i w:val="0"/>
                <w:color w:val="2D3748"/>
                <w:sz w:val="18"/>
              </w:rPr>
              <w:t>Others</w:t>
            </w:r>
          </w:p>
        </w:tc>
        <w:tc>
          <w:tcPr>
            <w:tcW w:type="dxa" w:w="1872"/>
            <w:shd w:fill="FFFFFF"/>
          </w:tcPr>
          <w:p>
            <w:r>
              <w:rPr>
                <w:rFonts w:ascii="Times New Roman" w:hAnsi="Times New Roman"/>
                <w:b w:val="0"/>
                <w:i w:val="0"/>
                <w:color w:val="2D3748"/>
                <w:sz w:val="18"/>
              </w:rPr>
              <w:t>10</w:t>
            </w:r>
          </w:p>
        </w:tc>
        <w:tc>
          <w:tcPr>
            <w:tcW w:type="dxa" w:w="1872"/>
            <w:shd w:fill="FFFFFF"/>
          </w:tcPr>
          <w:p>
            <w:r>
              <w:rPr>
                <w:rFonts w:ascii="Times New Roman" w:hAnsi="Times New Roman"/>
                <w:b w:val="0"/>
                <w:i w:val="0"/>
                <w:color w:val="2D3748"/>
                <w:sz w:val="18"/>
              </w:rPr>
              <w:t>102</w:t>
            </w:r>
          </w:p>
        </w:tc>
        <w:tc>
          <w:tcPr>
            <w:tcW w:type="dxa" w:w="1872"/>
            <w:shd w:fill="FFFFFF"/>
          </w:tcPr>
          <w:p>
            <w:r>
              <w:rPr>
                <w:rFonts w:ascii="Times New Roman" w:hAnsi="Times New Roman"/>
                <w:b w:val="0"/>
                <w:i w:val="0"/>
                <w:color w:val="2D3748"/>
                <w:sz w:val="18"/>
              </w:rPr>
              <w:t>112</w:t>
            </w:r>
          </w:p>
        </w:tc>
      </w:tr>
      <w:tr>
        <w:tc>
          <w:tcPr>
            <w:tcW w:type="dxa" w:w="1872"/>
            <w:shd w:fill="F7FAFC"/>
          </w:tcPr>
          <w:p>
            <w:r>
              <w:rPr>
                <w:rFonts w:ascii="Times New Roman" w:hAnsi="Times New Roman"/>
                <w:b/>
                <w:i w:val="0"/>
                <w:color w:val="2D3748"/>
                <w:sz w:val="18"/>
              </w:rPr>
              <w:t>Total</w:t>
            </w:r>
          </w:p>
        </w:tc>
        <w:tc>
          <w:tcPr>
            <w:tcW w:type="dxa" w:w="1872"/>
            <w:shd w:fill="F7FAFC"/>
          </w:tcPr>
          <w:p>
            <w:r>
              <w:rPr>
                <w:rFonts w:ascii="Times New Roman" w:hAnsi="Times New Roman"/>
                <w:b w:val="0"/>
                <w:i w:val="0"/>
                <w:color w:val="2D3748"/>
                <w:sz w:val="18"/>
              </w:rPr>
              <w:t>Combined Unified Dataset</w:t>
            </w:r>
          </w:p>
        </w:tc>
        <w:tc>
          <w:tcPr>
            <w:tcW w:type="dxa" w:w="1872"/>
            <w:shd w:fill="F7FAFC"/>
          </w:tcPr>
          <w:p>
            <w:r>
              <w:rPr>
                <w:rFonts w:ascii="Times New Roman" w:hAnsi="Times New Roman"/>
                <w:b w:val="0"/>
                <w:i w:val="0"/>
                <w:color w:val="2D3748"/>
                <w:sz w:val="18"/>
              </w:rPr>
              <w:t>252</w:t>
            </w:r>
          </w:p>
        </w:tc>
        <w:tc>
          <w:tcPr>
            <w:tcW w:type="dxa" w:w="1872"/>
            <w:shd w:fill="F7FAFC"/>
          </w:tcPr>
          <w:p>
            <w:r>
              <w:rPr>
                <w:rFonts w:ascii="Times New Roman" w:hAnsi="Times New Roman"/>
                <w:b w:val="0"/>
                <w:i w:val="0"/>
                <w:color w:val="2D3748"/>
                <w:sz w:val="18"/>
              </w:rPr>
              <w:t>306</w:t>
            </w:r>
          </w:p>
        </w:tc>
        <w:tc>
          <w:tcPr>
            <w:tcW w:type="dxa" w:w="1872"/>
            <w:shd w:fill="F7FAFC"/>
          </w:tcPr>
          <w:p>
            <w:r>
              <w:rPr>
                <w:rFonts w:ascii="Times New Roman" w:hAnsi="Times New Roman"/>
                <w:b w:val="0"/>
                <w:i w:val="0"/>
                <w:color w:val="2D3748"/>
                <w:sz w:val="18"/>
              </w:rPr>
              <w:t>558</w:t>
            </w:r>
          </w:p>
        </w:tc>
      </w:tr>
    </w:tbl>
    <w:p>
      <w:pPr>
        <w:spacing w:after="200"/>
      </w:pPr>
    </w:p>
    <w:p>
      <w:pPr>
        <w:keepNext/>
        <w:spacing w:before="240" w:after="120"/>
      </w:pPr>
      <w:r>
        <w:rPr>
          <w:rFonts w:ascii="Times New Roman" w:hAnsi="Times New Roman"/>
          <w:b/>
          <w:i w:val="0"/>
          <w:color w:val="2B6CB0"/>
          <w:sz w:val="27"/>
        </w:rPr>
        <w:t>2.2 Eulerian Video Magnification (EVM)</w:t>
      </w:r>
    </w:p>
    <w:p>
      <w:pPr>
        <w:spacing w:after="120" w:line="276" w:lineRule="auto"/>
      </w:pPr>
      <w:r>
        <w:rPr>
          <w:rFonts w:ascii="Times New Roman" w:hAnsi="Times New Roman"/>
          <w:b w:val="0"/>
          <w:i w:val="0"/>
          <w:color w:val="2D3748"/>
          <w:sz w:val="21"/>
        </w:rPr>
        <w:t>Micro-expressions involve facial displacements that are frequently sub-pixel, falling below the sensor noise floor of standard cameras. To amplify these movements, we incorporate Eulerian Video Magnification (Wu et al., 2012). EVM decomposes the video spatially, isolates specific bandpass frequencies temporally, and reconstructs the magnified frames. The mathematical formulation is defined below:</w:t>
      </w:r>
    </w:p>
    <w:tbl>
      <w:tblPr>
        <w:tblW w:type="auto" w:w="0"/>
        <w:tblLayout w:type="fixed"/>
        <w:tblLook w:firstColumn="1" w:firstRow="1" w:lastColumn="0" w:lastRow="0" w:noHBand="0" w:noVBand="1" w:val="04A0"/>
      </w:tblPr>
      <w:tblGrid>
        <w:gridCol w:w="9360"/>
      </w:tblGrid>
      <w:tr>
        <w:tc>
          <w:tcPr>
            <w:tcW w:type="dxa" w:w="9360"/>
            <w:shd w:fill="F0F4F8"/>
          </w:tcPr>
          <w:p>
            <w:pPr>
              <w:spacing w:before="160" w:after="160"/>
              <w:jc w:val="center"/>
            </w:pPr>
            <w:r>
              <w:rPr>
                <w:rFonts w:ascii="Consolas" w:hAnsi="Consolas"/>
                <w:b/>
                <w:i w:val="0"/>
                <w:color w:val="1A365D"/>
                <w:sz w:val="20"/>
              </w:rPr>
              <w:t>Step A (Spatial Decomposition via Gaussian/Laplacian Pyramid):</w:t>
              <w:br/>
              <w:t>G_l(x, y) = Downsample( Convolve(G_{l-1}, w) )</w:t>
              <w:br/>
              <w:t>L_l = G_l - Upsample( G_{l+1}, w_u )</w:t>
              <w:br/>
            </w:r>
            <w:r>
              <w:rPr>
                <w:rFonts w:ascii="Times New Roman" w:hAnsi="Times New Roman"/>
                <w:b w:val="0"/>
                <w:i/>
                <w:color w:val="2D3748"/>
                <w:sz w:val="18"/>
              </w:rPr>
              <w:t>where w represents a 5x5 separable Gaussian filter, and L_l is the Laplacian pyramid component at scale level l.</w:t>
            </w:r>
          </w:p>
        </w:tc>
      </w:tr>
    </w:tbl>
    <w:tbl>
      <w:tblPr>
        <w:tblW w:type="auto" w:w="0"/>
        <w:tblLayout w:type="fixed"/>
        <w:tblLook w:firstColumn="1" w:firstRow="1" w:lastColumn="0" w:lastRow="0" w:noHBand="0" w:noVBand="1" w:val="04A0"/>
      </w:tblPr>
      <w:tblGrid>
        <w:gridCol w:w="9360"/>
      </w:tblGrid>
      <w:tr>
        <w:tc>
          <w:tcPr>
            <w:tcW w:type="dxa" w:w="9360"/>
            <w:shd w:fill="F0F4F8"/>
          </w:tcPr>
          <w:p>
            <w:pPr>
              <w:spacing w:before="160" w:after="160"/>
              <w:jc w:val="center"/>
            </w:pPr>
            <w:r>
              <w:rPr>
                <w:rFonts w:ascii="Consolas" w:hAnsi="Consolas"/>
                <w:b/>
                <w:i w:val="0"/>
                <w:color w:val="1A365D"/>
                <w:sz w:val="20"/>
              </w:rPr>
              <w:t>Step B (Temporal Ideal Bandpass Filtering via Fast Fourier Transform):</w:t>
              <w:br/>
              <w:t>F(k) = sum_{t=0}^{T-1} S_t * exp(-i * 2*pi * k * t / T)</w:t>
              <w:br/>
              <w:t>H(k) = 1 if f_low &lt;= |(k*fps)/T| &lt;= f_high; else 0</w:t>
              <w:br/>
              <w:t>S_filt(t) = Re( (1/T) * sum_{k=0}^{T-1} H(k) * F(k) * exp(i * 2*pi * k * t / T) )</w:t>
              <w:br/>
            </w:r>
            <w:r>
              <w:rPr>
                <w:rFonts w:ascii="Times New Roman" w:hAnsi="Times New Roman"/>
                <w:b w:val="0"/>
                <w:i/>
                <w:color w:val="2D3748"/>
                <w:sz w:val="18"/>
              </w:rPr>
              <w:t>where S_t is the temporal sequence of a pixel at pyramid level l, and S_filt is the isolated facial motion signal.</w:t>
            </w:r>
          </w:p>
        </w:tc>
      </w:tr>
    </w:tbl>
    <w:tbl>
      <w:tblPr>
        <w:tblW w:type="auto" w:w="0"/>
        <w:tblLayout w:type="fixed"/>
        <w:tblLook w:firstColumn="1" w:firstRow="1" w:lastColumn="0" w:lastRow="0" w:noHBand="0" w:noVBand="1" w:val="04A0"/>
      </w:tblPr>
      <w:tblGrid>
        <w:gridCol w:w="9360"/>
      </w:tblGrid>
      <w:tr>
        <w:tc>
          <w:tcPr>
            <w:tcW w:type="dxa" w:w="9360"/>
            <w:shd w:fill="F0F4F8"/>
          </w:tcPr>
          <w:p>
            <w:pPr>
              <w:spacing w:before="160" w:after="160"/>
              <w:jc w:val="center"/>
            </w:pPr>
            <w:r>
              <w:rPr>
                <w:rFonts w:ascii="Consolas" w:hAnsi="Consolas"/>
                <w:b/>
                <w:i w:val="0"/>
                <w:color w:val="1A365D"/>
                <w:sz w:val="20"/>
              </w:rPr>
              <w:t>Step C (Motion Amplification &amp; Pyramid Reconstruction):</w:t>
              <w:br/>
              <w:t>S_magnified(t) = S_t + alpha * S_filt(t)</w:t>
              <w:br/>
              <w:t>Reconstructed Frame = sum_{l=0}^{L_pyr} Collapse( L_l + alpha * L_filt_l )</w:t>
              <w:br/>
            </w:r>
            <w:r>
              <w:rPr>
                <w:rFonts w:ascii="Times New Roman" w:hAnsi="Times New Roman"/>
                <w:b w:val="0"/>
                <w:i/>
                <w:color w:val="2D3748"/>
                <w:sz w:val="18"/>
              </w:rPr>
              <w:t>where alpha is the amplification factor and L_filt_l is the bandpass filtered Laplacian frame.</w:t>
            </w:r>
          </w:p>
        </w:tc>
      </w:tr>
    </w:tbl>
    <w:p>
      <w:pPr>
        <w:spacing w:after="120" w:line="276" w:lineRule="auto"/>
      </w:pPr>
      <w:r>
        <w:rPr>
          <w:rFonts w:ascii="Times New Roman" w:hAnsi="Times New Roman"/>
          <w:b w:val="0"/>
          <w:i w:val="0"/>
          <w:color w:val="2D3748"/>
          <w:sz w:val="21"/>
        </w:rPr>
        <w:t>The configuration settings of the EVM module are detailed in Table 2.3. The temporal bandpass is set to [0.4, 3.0] Hz, which targets the physical frequency of facial muscle contractions during expressions, while excluding high-frequency camera noise and low-frequency head sway.</w:t>
      </w:r>
    </w:p>
    <w:tbl>
      <w:tblPr>
        <w:tblStyle w:val="TableGrid"/>
        <w:tblW w:type="auto" w:w="0"/>
        <w:tblLook w:firstColumn="1" w:firstRow="1" w:lastColumn="0" w:lastRow="0" w:noHBand="0" w:noVBand="1" w:val="04A0"/>
      </w:tblPr>
      <w:tblGrid>
        <w:gridCol w:w="3120"/>
        <w:gridCol w:w="3120"/>
        <w:gridCol w:w="3120"/>
      </w:tblGrid>
      <w:tr>
        <w:tc>
          <w:tcPr>
            <w:tcW w:type="dxa" w:w="3120"/>
            <w:shd w:fill="1A365D"/>
          </w:tcPr>
          <w:p>
            <w:pPr>
              <w:jc w:val="left"/>
            </w:pPr>
            <w:r>
              <w:rPr>
                <w:rFonts w:ascii="Times New Roman" w:hAnsi="Times New Roman"/>
                <w:b/>
                <w:i w:val="0"/>
                <w:color w:val="FFFFFF"/>
                <w:sz w:val="19"/>
              </w:rPr>
              <w:t>Parameter Name</w:t>
            </w:r>
          </w:p>
        </w:tc>
        <w:tc>
          <w:tcPr>
            <w:tcW w:type="dxa" w:w="3120"/>
            <w:shd w:fill="1A365D"/>
          </w:tcPr>
          <w:p>
            <w:pPr>
              <w:jc w:val="left"/>
            </w:pPr>
            <w:r>
              <w:rPr>
                <w:rFonts w:ascii="Times New Roman" w:hAnsi="Times New Roman"/>
                <w:b/>
                <w:i w:val="0"/>
                <w:color w:val="FFFFFF"/>
                <w:sz w:val="19"/>
              </w:rPr>
              <w:t>Value Setting</w:t>
            </w:r>
          </w:p>
        </w:tc>
        <w:tc>
          <w:tcPr>
            <w:tcW w:type="dxa" w:w="3120"/>
            <w:shd w:fill="1A365D"/>
          </w:tcPr>
          <w:p>
            <w:pPr>
              <w:jc w:val="left"/>
            </w:pPr>
            <w:r>
              <w:rPr>
                <w:rFonts w:ascii="Times New Roman" w:hAnsi="Times New Roman"/>
                <w:b/>
                <w:i w:val="0"/>
                <w:color w:val="FFFFFF"/>
                <w:sz w:val="19"/>
              </w:rPr>
              <w:t>Description and Rationale</w:t>
            </w:r>
          </w:p>
        </w:tc>
      </w:tr>
      <w:tr>
        <w:tc>
          <w:tcPr>
            <w:tcW w:type="dxa" w:w="3120"/>
            <w:shd w:fill="F7FAFC"/>
          </w:tcPr>
          <w:p>
            <w:r>
              <w:rPr>
                <w:rFonts w:ascii="Times New Roman" w:hAnsi="Times New Roman"/>
                <w:b/>
                <w:i w:val="0"/>
                <w:color w:val="2D3748"/>
                <w:sz w:val="18"/>
              </w:rPr>
              <w:t>alpha (α)</w:t>
            </w:r>
          </w:p>
        </w:tc>
        <w:tc>
          <w:tcPr>
            <w:tcW w:type="dxa" w:w="3120"/>
            <w:shd w:fill="F7FAFC"/>
          </w:tcPr>
          <w:p>
            <w:r>
              <w:rPr>
                <w:rFonts w:ascii="Times New Roman" w:hAnsi="Times New Roman"/>
                <w:b w:val="0"/>
                <w:i w:val="0"/>
                <w:color w:val="2D3748"/>
                <w:sz w:val="18"/>
              </w:rPr>
              <w:t>20.0</w:t>
            </w:r>
          </w:p>
        </w:tc>
        <w:tc>
          <w:tcPr>
            <w:tcW w:type="dxa" w:w="3120"/>
            <w:shd w:fill="F7FAFC"/>
          </w:tcPr>
          <w:p>
            <w:r>
              <w:rPr>
                <w:rFonts w:ascii="Times New Roman" w:hAnsi="Times New Roman"/>
                <w:b w:val="0"/>
                <w:i w:val="0"/>
                <w:color w:val="2D3748"/>
                <w:sz w:val="18"/>
              </w:rPr>
              <w:t>Amplification factor. Multiplies temporal displacement signal by 20 to reveal sub-pixel motion.</w:t>
            </w:r>
          </w:p>
        </w:tc>
      </w:tr>
      <w:tr>
        <w:tc>
          <w:tcPr>
            <w:tcW w:type="dxa" w:w="3120"/>
            <w:shd w:fill="FFFFFF"/>
          </w:tcPr>
          <w:p>
            <w:r>
              <w:rPr>
                <w:rFonts w:ascii="Times New Roman" w:hAnsi="Times New Roman"/>
                <w:b/>
                <w:i w:val="0"/>
                <w:color w:val="2D3748"/>
                <w:sz w:val="18"/>
              </w:rPr>
              <w:t>low_omega (f_low)</w:t>
            </w:r>
          </w:p>
        </w:tc>
        <w:tc>
          <w:tcPr>
            <w:tcW w:type="dxa" w:w="3120"/>
            <w:shd w:fill="FFFFFF"/>
          </w:tcPr>
          <w:p>
            <w:r>
              <w:rPr>
                <w:rFonts w:ascii="Times New Roman" w:hAnsi="Times New Roman"/>
                <w:b w:val="0"/>
                <w:i w:val="0"/>
                <w:color w:val="2D3748"/>
                <w:sz w:val="18"/>
              </w:rPr>
              <w:t>0.4 Hz</w:t>
            </w:r>
          </w:p>
        </w:tc>
        <w:tc>
          <w:tcPr>
            <w:tcW w:type="dxa" w:w="3120"/>
            <w:shd w:fill="FFFFFF"/>
          </w:tcPr>
          <w:p>
            <w:r>
              <w:rPr>
                <w:rFonts w:ascii="Times New Roman" w:hAnsi="Times New Roman"/>
                <w:b w:val="0"/>
                <w:i w:val="0"/>
                <w:color w:val="2D3748"/>
                <w:sz w:val="18"/>
              </w:rPr>
              <w:t>Lower frequency cutoff of FFT temporal bandpass filter. Excludes head sway/drift.</w:t>
            </w:r>
          </w:p>
        </w:tc>
      </w:tr>
      <w:tr>
        <w:tc>
          <w:tcPr>
            <w:tcW w:type="dxa" w:w="3120"/>
            <w:shd w:fill="F7FAFC"/>
          </w:tcPr>
          <w:p>
            <w:r>
              <w:rPr>
                <w:rFonts w:ascii="Times New Roman" w:hAnsi="Times New Roman"/>
                <w:b/>
                <w:i w:val="0"/>
                <w:color w:val="2D3748"/>
                <w:sz w:val="18"/>
              </w:rPr>
              <w:t>high_omega (f_high)</w:t>
            </w:r>
          </w:p>
        </w:tc>
        <w:tc>
          <w:tcPr>
            <w:tcW w:type="dxa" w:w="3120"/>
            <w:shd w:fill="F7FAFC"/>
          </w:tcPr>
          <w:p>
            <w:r>
              <w:rPr>
                <w:rFonts w:ascii="Times New Roman" w:hAnsi="Times New Roman"/>
                <w:b w:val="0"/>
                <w:i w:val="0"/>
                <w:color w:val="2D3748"/>
                <w:sz w:val="18"/>
              </w:rPr>
              <w:t>3.0 Hz</w:t>
            </w:r>
          </w:p>
        </w:tc>
        <w:tc>
          <w:tcPr>
            <w:tcW w:type="dxa" w:w="3120"/>
            <w:shd w:fill="F7FAFC"/>
          </w:tcPr>
          <w:p>
            <w:r>
              <w:rPr>
                <w:rFonts w:ascii="Times New Roman" w:hAnsi="Times New Roman"/>
                <w:b w:val="0"/>
                <w:i w:val="0"/>
                <w:color w:val="2D3748"/>
                <w:sz w:val="18"/>
              </w:rPr>
              <w:t>Upper frequency cutoff of FFT temporal bandpass filter. Excludes sensor/pixel noise.</w:t>
            </w:r>
          </w:p>
        </w:tc>
      </w:tr>
      <w:tr>
        <w:tc>
          <w:tcPr>
            <w:tcW w:type="dxa" w:w="3120"/>
            <w:shd w:fill="FFFFFF"/>
          </w:tcPr>
          <w:p>
            <w:r>
              <w:rPr>
                <w:rFonts w:ascii="Times New Roman" w:hAnsi="Times New Roman"/>
                <w:b/>
                <w:i w:val="0"/>
                <w:color w:val="2D3748"/>
                <w:sz w:val="18"/>
              </w:rPr>
              <w:t>pyramid_levels (L_pyr)</w:t>
            </w:r>
          </w:p>
        </w:tc>
        <w:tc>
          <w:tcPr>
            <w:tcW w:type="dxa" w:w="3120"/>
            <w:shd w:fill="FFFFFF"/>
          </w:tcPr>
          <w:p>
            <w:r>
              <w:rPr>
                <w:rFonts w:ascii="Times New Roman" w:hAnsi="Times New Roman"/>
                <w:b w:val="0"/>
                <w:i w:val="0"/>
                <w:color w:val="2D3748"/>
                <w:sz w:val="18"/>
              </w:rPr>
              <w:t>4</w:t>
            </w:r>
          </w:p>
        </w:tc>
        <w:tc>
          <w:tcPr>
            <w:tcW w:type="dxa" w:w="3120"/>
            <w:shd w:fill="FFFFFF"/>
          </w:tcPr>
          <w:p>
            <w:r>
              <w:rPr>
                <w:rFonts w:ascii="Times New Roman" w:hAnsi="Times New Roman"/>
                <w:b w:val="0"/>
                <w:i w:val="0"/>
                <w:color w:val="2D3748"/>
                <w:sz w:val="18"/>
              </w:rPr>
              <w:t>Depth of Laplacian spatial pyramid. Captures motion at 4 scale levels.</w:t>
            </w:r>
          </w:p>
        </w:tc>
      </w:tr>
      <w:tr>
        <w:tc>
          <w:tcPr>
            <w:tcW w:type="dxa" w:w="3120"/>
            <w:shd w:fill="F7FAFC"/>
          </w:tcPr>
          <w:p>
            <w:r>
              <w:rPr>
                <w:rFonts w:ascii="Times New Roman" w:hAnsi="Times New Roman"/>
                <w:b/>
                <w:i w:val="0"/>
                <w:color w:val="2D3748"/>
                <w:sz w:val="18"/>
              </w:rPr>
              <w:t>assumed_fps</w:t>
            </w:r>
          </w:p>
        </w:tc>
        <w:tc>
          <w:tcPr>
            <w:tcW w:type="dxa" w:w="3120"/>
            <w:shd w:fill="F7FAFC"/>
          </w:tcPr>
          <w:p>
            <w:r>
              <w:rPr>
                <w:rFonts w:ascii="Times New Roman" w:hAnsi="Times New Roman"/>
                <w:b w:val="0"/>
                <w:i w:val="0"/>
                <w:color w:val="2D3748"/>
                <w:sz w:val="18"/>
              </w:rPr>
              <w:t>30</w:t>
            </w:r>
          </w:p>
        </w:tc>
        <w:tc>
          <w:tcPr>
            <w:tcW w:type="dxa" w:w="3120"/>
            <w:shd w:fill="F7FAFC"/>
          </w:tcPr>
          <w:p>
            <w:r>
              <w:rPr>
                <w:rFonts w:ascii="Times New Roman" w:hAnsi="Times New Roman"/>
                <w:b w:val="0"/>
                <w:i w:val="0"/>
                <w:color w:val="2D3748"/>
                <w:sz w:val="18"/>
              </w:rPr>
              <w:t>Baseline frequency rate for temporal bandpass filtering index bounds.</w:t>
            </w:r>
          </w:p>
        </w:tc>
      </w:tr>
    </w:tbl>
    <w:p>
      <w:pPr>
        <w:spacing w:after="200"/>
      </w:pPr>
    </w:p>
    <w:p>
      <w:pPr>
        <w:keepNext/>
        <w:spacing w:before="240" w:after="120"/>
      </w:pPr>
      <w:r>
        <w:rPr>
          <w:rFonts w:ascii="Times New Roman" w:hAnsi="Times New Roman"/>
          <w:b/>
          <w:i w:val="0"/>
          <w:color w:val="2B6CB0"/>
          <w:sz w:val="27"/>
        </w:rPr>
        <w:t>2.3 Physics-Based Modality Extraction</w:t>
      </w:r>
    </w:p>
    <w:p>
      <w:pPr>
        <w:spacing w:after="120" w:line="276" w:lineRule="auto"/>
      </w:pPr>
      <w:r>
        <w:rPr>
          <w:rFonts w:ascii="Times New Roman" w:hAnsi="Times New Roman"/>
          <w:b w:val="0"/>
          <w:i w:val="0"/>
          <w:color w:val="2D3748"/>
          <w:sz w:val="21"/>
        </w:rPr>
        <w:t>Raw RGB pixels contain static illumination, skin color, and identity textures that encourage overfitting. Instead of feeding RGB frames directly into the neural network, we extract three physics-based motion modalities. This ensures that the network consumes only pure motion features. The output is a 3-channel spatiotemporal tensor representing horizontal flow (u), vertical flow (v), and optical strain magnitude (os).</w:t>
      </w:r>
    </w:p>
    <w:p>
      <w:pPr>
        <w:spacing w:after="120" w:line="276" w:lineRule="auto"/>
      </w:pPr>
      <w:r>
        <w:rPr>
          <w:rFonts w:ascii="Times New Roman" w:hAnsi="Times New Roman"/>
          <w:b w:val="0"/>
          <w:i w:val="0"/>
          <w:color w:val="2D3748"/>
          <w:sz w:val="21"/>
        </w:rPr>
        <w:t>For each consecutive pair of grayscale frames, we compute the dense Farneback optical flow (Farneback, 2003). This models local motion using polynomial expansion. Let the displacement field be (u, v). We compute the optical strain to capture the localized skin compression and stretching. The normal strain and shear strain components are computed using spatial gradients of the flow field:</w:t>
      </w:r>
    </w:p>
    <w:tbl>
      <w:tblPr>
        <w:tblW w:type="auto" w:w="0"/>
        <w:tblLayout w:type="fixed"/>
        <w:tblLook w:firstColumn="1" w:firstRow="1" w:lastColumn="0" w:lastRow="0" w:noHBand="0" w:noVBand="1" w:val="04A0"/>
      </w:tblPr>
      <w:tblGrid>
        <w:gridCol w:w="9360"/>
      </w:tblGrid>
      <w:tr>
        <w:tc>
          <w:tcPr>
            <w:tcW w:type="dxa" w:w="9360"/>
            <w:shd w:fill="F0F4F8"/>
          </w:tcPr>
          <w:p>
            <w:pPr>
              <w:spacing w:before="160" w:after="160"/>
              <w:jc w:val="center"/>
            </w:pPr>
            <w:r>
              <w:rPr>
                <w:rFonts w:ascii="Consolas" w:hAnsi="Consolas"/>
                <w:b/>
                <w:i w:val="0"/>
                <w:color w:val="1A365D"/>
                <w:sz w:val="20"/>
              </w:rPr>
              <w:t>eps_xx = du/dx,   eps_yy = dv/dy</w:t>
              <w:br/>
              <w:t>eps_xy = 0.5 * ( du/dy + dv/dx )</w:t>
              <w:br/>
              <w:t>os = sqrt( eps_xx^2 + eps_yy^2 + eps_xy^2 )</w:t>
              <w:br/>
            </w:r>
            <w:r>
              <w:rPr>
                <w:rFonts w:ascii="Times New Roman" w:hAnsi="Times New Roman"/>
                <w:b w:val="0"/>
                <w:i/>
                <w:color w:val="2D3748"/>
                <w:sz w:val="18"/>
              </w:rPr>
              <w:t>where du/dx and du/dy are computed via central differences in numpy: grad(u) = [du/dy, du/dx].</w:t>
            </w:r>
          </w:p>
        </w:tc>
      </w:tr>
    </w:tbl>
    <w:p>
      <w:pPr>
        <w:spacing w:after="120" w:line="276" w:lineRule="auto"/>
      </w:pPr>
      <w:r>
        <w:rPr>
          <w:rFonts w:ascii="Times New Roman" w:hAnsi="Times New Roman"/>
          <w:b w:val="0"/>
          <w:i w:val="0"/>
          <w:color w:val="2D3748"/>
          <w:sz w:val="21"/>
        </w:rPr>
        <w:t>To prevent one channel from dominating during optimization (since strain magnitudes are numerically smaller than flow vectors), each channel is independently Min-Max normalized across the temporal sequence:</w:t>
      </w:r>
    </w:p>
    <w:tbl>
      <w:tblPr>
        <w:tblW w:type="auto" w:w="0"/>
        <w:tblLayout w:type="fixed"/>
        <w:tblLook w:firstColumn="1" w:firstRow="1" w:lastColumn="0" w:lastRow="0" w:noHBand="0" w:noVBand="1" w:val="04A0"/>
      </w:tblPr>
      <w:tblGrid>
        <w:gridCol w:w="9360"/>
      </w:tblGrid>
      <w:tr>
        <w:tc>
          <w:tcPr>
            <w:tcW w:type="dxa" w:w="9360"/>
            <w:shd w:fill="F0F4F8"/>
          </w:tcPr>
          <w:p>
            <w:pPr>
              <w:spacing w:before="160" w:after="160"/>
              <w:jc w:val="center"/>
            </w:pPr>
            <w:r>
              <w:rPr>
                <w:rFonts w:ascii="Consolas" w:hAnsi="Consolas"/>
                <w:b/>
                <w:i w:val="0"/>
                <w:color w:val="1A365D"/>
                <w:sz w:val="20"/>
              </w:rPr>
              <w:t>x_norm = (x - x_min) / (x_max - x_min + epsilon)</w:t>
              <w:br/>
            </w:r>
            <w:r>
              <w:rPr>
                <w:rFonts w:ascii="Times New Roman" w:hAnsi="Times New Roman"/>
                <w:b w:val="0"/>
                <w:i/>
                <w:color w:val="2D3748"/>
                <w:sz w:val="18"/>
              </w:rPr>
              <w:t>where epsilon = 1e-8 prevents division by zero. This normalizes all features to [0, 1].</w:t>
            </w:r>
          </w:p>
        </w:tc>
      </w:tr>
    </w:tbl>
    <w:p>
      <w:pPr>
        <w:keepNext/>
        <w:spacing w:before="240" w:after="120"/>
      </w:pPr>
      <w:r>
        <w:rPr>
          <w:rFonts w:ascii="Times New Roman" w:hAnsi="Times New Roman"/>
          <w:b/>
          <w:i w:val="0"/>
          <w:color w:val="2B6CB0"/>
          <w:sz w:val="27"/>
        </w:rPr>
        <w:t>2.4 Temporal Standardization</w:t>
      </w:r>
    </w:p>
    <w:p>
      <w:pPr>
        <w:spacing w:after="120" w:line="276" w:lineRule="auto"/>
      </w:pPr>
      <w:r>
        <w:rPr>
          <w:rFonts w:ascii="Times New Roman" w:hAnsi="Times New Roman"/>
          <w:b w:val="0"/>
          <w:i w:val="0"/>
          <w:color w:val="2D3748"/>
          <w:sz w:val="21"/>
        </w:rPr>
        <w:t>The unified clips have highly variable frame lengths, ranging from 10 to 150 frames. Because 3D-CNN backbones and Transformers require fixed-size inputs, we implemented a temporal interpolator inspired by the Temporal Interpolation Model (TIM). For a given target length L=33 frames, the interpolator samples L uniformly spaced indices using linear interpolation: `np.round(np.linspace(0, total_frames-1, L))`.</w:t>
      </w:r>
    </w:p>
    <w:p>
      <w:pPr>
        <w:spacing w:after="120" w:line="276" w:lineRule="auto"/>
      </w:pPr>
      <w:r>
        <w:rPr>
          <w:rFonts w:ascii="Times New Roman" w:hAnsi="Times New Roman"/>
          <w:b w:val="0"/>
          <w:i w:val="0"/>
          <w:color w:val="2D3748"/>
          <w:sz w:val="21"/>
        </w:rPr>
        <w:t>This ensures that every video is standardized to exactly 33 frames, which yields exactly T = L - 1 = 32 consecutive frame pairs for optical flow and strain calculation. The final output is saved as a float32 NumPy array of shape `[3, 32, 224, 224]` (3 modalities, 32 time steps, 224x224 spatial resolution) in `Processed_Data/tensors/`.</w:t>
      </w:r>
    </w:p>
    <w:p>
      <w:r>
        <w:br w:type="page"/>
      </w:r>
    </w:p>
    <w:p>
      <w:pPr>
        <w:keepNext/>
        <w:spacing w:before="360" w:after="160"/>
      </w:pPr>
      <w:r>
        <w:rPr>
          <w:rFonts w:ascii="Times New Roman" w:hAnsi="Times New Roman"/>
          <w:b/>
          <w:i w:val="0"/>
          <w:color w:val="1A365D"/>
          <w:sz w:val="32"/>
        </w:rPr>
        <w:t>Chapter 3: Stage 2 — Hybrid Model Architecture</w:t>
      </w:r>
    </w:p>
    <w:p>
      <w:pPr>
        <w:spacing w:after="120" w:line="276" w:lineRule="auto"/>
      </w:pPr>
      <w:r>
        <w:rPr>
          <w:rFonts w:ascii="Times New Roman" w:hAnsi="Times New Roman"/>
          <w:b w:val="0"/>
          <w:i w:val="0"/>
          <w:color w:val="2D3748"/>
          <w:sz w:val="21"/>
        </w:rPr>
        <w:t>To process the generated spatiotemporal tensors efficiently, we designed a hybrid neural network model consisting of three main components: a modality-aware 3D-CNN backbone, a parameter-free 3D attention module, and a temporal Sequence-Level Spatio-Temporal Transformer (SLSTT).</w:t>
      </w:r>
    </w:p>
    <w:p>
      <w:pPr>
        <w:keepNext/>
        <w:spacing w:before="240" w:after="120"/>
      </w:pPr>
      <w:r>
        <w:rPr>
          <w:rFonts w:ascii="Times New Roman" w:hAnsi="Times New Roman"/>
          <w:b/>
          <w:i w:val="0"/>
          <w:color w:val="2B6CB0"/>
          <w:sz w:val="27"/>
        </w:rPr>
        <w:t>3.1 Modality-Aware Shallow 3D-CNN Backbone</w:t>
      </w:r>
    </w:p>
    <w:p>
      <w:pPr>
        <w:spacing w:after="120" w:line="276" w:lineRule="auto"/>
      </w:pPr>
      <w:r>
        <w:rPr>
          <w:rFonts w:ascii="Times New Roman" w:hAnsi="Times New Roman"/>
          <w:b w:val="0"/>
          <w:i w:val="0"/>
          <w:color w:val="2D3748"/>
          <w:sz w:val="21"/>
        </w:rPr>
        <w:t>Rather than using a deep 3D-CNN that would quickly overfit our small dataset, we developed a shallow, modality-aware backbone inspired by STSTNet (Liong et al., 2019). The backbone splits the 3-channel input along the channel dimension and routes each modality (flow-u, flow-v, strain) through an independent, unshared branch. Unshared weights are critical because horizontal flow, vertical flow, and skin deformation exhibit fundamentally different physical characteristics; using specialized kernels for each modality enables the network to extract cleaner spatial features.</w:t>
      </w:r>
    </w:p>
    <w:p>
      <w:pPr>
        <w:spacing w:after="120" w:line="276" w:lineRule="auto"/>
      </w:pPr>
      <w:r>
        <w:rPr>
          <w:rFonts w:ascii="Times New Roman" w:hAnsi="Times New Roman"/>
          <w:b w:val="0"/>
          <w:i w:val="0"/>
          <w:color w:val="2D3748"/>
          <w:sz w:val="21"/>
        </w:rPr>
        <w:t>Crucially, all convolutional layers preserve the temporal axis by setting the kernel size along the temporal dimension to 1, stride to 1, and padding to 0. This ensures that the 32 temporal frames are not mixed spatially, leaving the temporal modeling entirely to the downstream Transformer. The exact structural layers of the STSTNet Backbone are detailed in Table 3.1: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A365D"/>
          </w:tcPr>
          <w:p>
            <w:pPr>
              <w:jc w:val="left"/>
            </w:pPr>
            <w:r>
              <w:rPr>
                <w:rFonts w:ascii="Times New Roman" w:hAnsi="Times New Roman"/>
                <w:b/>
                <w:i w:val="0"/>
                <w:color w:val="FFFFFF"/>
                <w:sz w:val="19"/>
              </w:rPr>
              <w:t>Layer Component</w:t>
            </w:r>
          </w:p>
        </w:tc>
        <w:tc>
          <w:tcPr>
            <w:tcW w:type="dxa" w:w="1872"/>
            <w:shd w:fill="1A365D"/>
          </w:tcPr>
          <w:p>
            <w:pPr>
              <w:jc w:val="left"/>
            </w:pPr>
            <w:r>
              <w:rPr>
                <w:rFonts w:ascii="Times New Roman" w:hAnsi="Times New Roman"/>
                <w:b/>
                <w:i w:val="0"/>
                <w:color w:val="FFFFFF"/>
                <w:sz w:val="19"/>
              </w:rPr>
              <w:t>Parameters &amp; Hyperparameters</w:t>
            </w:r>
          </w:p>
        </w:tc>
        <w:tc>
          <w:tcPr>
            <w:tcW w:type="dxa" w:w="1872"/>
            <w:shd w:fill="1A365D"/>
          </w:tcPr>
          <w:p>
            <w:pPr>
              <w:jc w:val="left"/>
            </w:pPr>
            <w:r>
              <w:rPr>
                <w:rFonts w:ascii="Times New Roman" w:hAnsi="Times New Roman"/>
                <w:b/>
                <w:i w:val="0"/>
                <w:color w:val="FFFFFF"/>
                <w:sz w:val="19"/>
              </w:rPr>
              <w:t>Input Size</w:t>
            </w:r>
          </w:p>
        </w:tc>
        <w:tc>
          <w:tcPr>
            <w:tcW w:type="dxa" w:w="1872"/>
            <w:shd w:fill="1A365D"/>
          </w:tcPr>
          <w:p>
            <w:pPr>
              <w:jc w:val="left"/>
            </w:pPr>
            <w:r>
              <w:rPr>
                <w:rFonts w:ascii="Times New Roman" w:hAnsi="Times New Roman"/>
                <w:b/>
                <w:i w:val="0"/>
                <w:color w:val="FFFFFF"/>
                <w:sz w:val="19"/>
              </w:rPr>
              <w:t>Output Size</w:t>
            </w:r>
          </w:p>
        </w:tc>
        <w:tc>
          <w:tcPr>
            <w:tcW w:type="dxa" w:w="1872"/>
            <w:shd w:fill="1A365D"/>
          </w:tcPr>
          <w:p>
            <w:pPr>
              <w:jc w:val="left"/>
            </w:pPr>
            <w:r>
              <w:rPr>
                <w:rFonts w:ascii="Times New Roman" w:hAnsi="Times New Roman"/>
                <w:b/>
                <w:i w:val="0"/>
                <w:color w:val="FFFFFF"/>
                <w:sz w:val="19"/>
              </w:rPr>
              <w:t>Mathematical Operation / Rationale</w:t>
            </w:r>
          </w:p>
        </w:tc>
      </w:tr>
      <w:tr>
        <w:tc>
          <w:tcPr>
            <w:tcW w:type="dxa" w:w="1872"/>
            <w:shd w:fill="F7FAFC"/>
          </w:tcPr>
          <w:p>
            <w:r>
              <w:rPr>
                <w:rFonts w:ascii="Times New Roman" w:hAnsi="Times New Roman"/>
                <w:b/>
                <w:i w:val="0"/>
                <w:color w:val="2D3748"/>
                <w:sz w:val="18"/>
              </w:rPr>
              <w:t>Modality Split</w:t>
            </w:r>
          </w:p>
        </w:tc>
        <w:tc>
          <w:tcPr>
            <w:tcW w:type="dxa" w:w="1872"/>
            <w:shd w:fill="F7FAFC"/>
          </w:tcPr>
          <w:p>
            <w:r>
              <w:rPr>
                <w:rFonts w:ascii="Times New Roman" w:hAnsi="Times New Roman"/>
                <w:b w:val="0"/>
                <w:i w:val="0"/>
                <w:color w:val="2D3748"/>
                <w:sz w:val="18"/>
              </w:rPr>
              <w:t>Splits 3 channels</w:t>
            </w:r>
          </w:p>
        </w:tc>
        <w:tc>
          <w:tcPr>
            <w:tcW w:type="dxa" w:w="1872"/>
            <w:shd w:fill="F7FAFC"/>
          </w:tcPr>
          <w:p>
            <w:r>
              <w:rPr>
                <w:rFonts w:ascii="Times New Roman" w:hAnsi="Times New Roman"/>
                <w:b w:val="0"/>
                <w:i w:val="0"/>
                <w:color w:val="2D3748"/>
                <w:sz w:val="18"/>
              </w:rPr>
              <w:t>[B, 3, 32, 224, 224]</w:t>
            </w:r>
          </w:p>
        </w:tc>
        <w:tc>
          <w:tcPr>
            <w:tcW w:type="dxa" w:w="1872"/>
            <w:shd w:fill="F7FAFC"/>
          </w:tcPr>
          <w:p>
            <w:r>
              <w:rPr>
                <w:rFonts w:ascii="Times New Roman" w:hAnsi="Times New Roman"/>
                <w:b w:val="0"/>
                <w:i w:val="0"/>
                <w:color w:val="2D3748"/>
                <w:sz w:val="18"/>
              </w:rPr>
              <w:t>[B, 1, 32, 224, 224] × 3</w:t>
            </w:r>
          </w:p>
        </w:tc>
        <w:tc>
          <w:tcPr>
            <w:tcW w:type="dxa" w:w="1872"/>
            <w:shd w:fill="F7FAFC"/>
          </w:tcPr>
          <w:p>
            <w:r>
              <w:rPr>
                <w:rFonts w:ascii="Times New Roman" w:hAnsi="Times New Roman"/>
                <w:b w:val="0"/>
                <w:i w:val="0"/>
                <w:color w:val="2D3748"/>
                <w:sz w:val="18"/>
              </w:rPr>
              <w:t>Isolates flow-u, flow-v, and skin strain paths.</w:t>
            </w:r>
          </w:p>
        </w:tc>
      </w:tr>
      <w:tr>
        <w:tc>
          <w:tcPr>
            <w:tcW w:type="dxa" w:w="1872"/>
            <w:shd w:fill="FFFFFF"/>
          </w:tcPr>
          <w:p>
            <w:r>
              <w:rPr>
                <w:rFonts w:ascii="Times New Roman" w:hAnsi="Times New Roman"/>
                <w:b/>
                <w:i w:val="0"/>
                <w:color w:val="2D3748"/>
                <w:sz w:val="18"/>
              </w:rPr>
              <w:t>Conv3D L1</w:t>
            </w:r>
          </w:p>
        </w:tc>
        <w:tc>
          <w:tcPr>
            <w:tcW w:type="dxa" w:w="1872"/>
            <w:shd w:fill="FFFFFF"/>
          </w:tcPr>
          <w:p>
            <w:r>
              <w:rPr>
                <w:rFonts w:ascii="Times New Roman" w:hAnsi="Times New Roman"/>
                <w:b w:val="0"/>
                <w:i w:val="0"/>
                <w:color w:val="2D3748"/>
                <w:sz w:val="18"/>
              </w:rPr>
              <w:t>Conv3D (1-&gt;16, k=1×3×3, p=0×1×1)</w:t>
            </w:r>
          </w:p>
        </w:tc>
        <w:tc>
          <w:tcPr>
            <w:tcW w:type="dxa" w:w="1872"/>
            <w:shd w:fill="FFFFFF"/>
          </w:tcPr>
          <w:p>
            <w:r>
              <w:rPr>
                <w:rFonts w:ascii="Times New Roman" w:hAnsi="Times New Roman"/>
                <w:b w:val="0"/>
                <w:i w:val="0"/>
                <w:color w:val="2D3748"/>
                <w:sz w:val="18"/>
              </w:rPr>
              <w:t>[B, 1, 32, 224, 224]</w:t>
            </w:r>
          </w:p>
        </w:tc>
        <w:tc>
          <w:tcPr>
            <w:tcW w:type="dxa" w:w="1872"/>
            <w:shd w:fill="FFFFFF"/>
          </w:tcPr>
          <w:p>
            <w:r>
              <w:rPr>
                <w:rFonts w:ascii="Times New Roman" w:hAnsi="Times New Roman"/>
                <w:b w:val="0"/>
                <w:i w:val="0"/>
                <w:color w:val="2D3748"/>
                <w:sz w:val="18"/>
              </w:rPr>
              <w:t>[B, 16, 32, 224, 224]</w:t>
            </w:r>
          </w:p>
        </w:tc>
        <w:tc>
          <w:tcPr>
            <w:tcW w:type="dxa" w:w="1872"/>
            <w:shd w:fill="FFFFFF"/>
          </w:tcPr>
          <w:p>
            <w:r>
              <w:rPr>
                <w:rFonts w:ascii="Times New Roman" w:hAnsi="Times New Roman"/>
                <w:b w:val="0"/>
                <w:i w:val="0"/>
                <w:color w:val="2D3748"/>
                <w:sz w:val="18"/>
              </w:rPr>
              <w:t>Extracts spatial features; temporal kernel=1 preserves depth.</w:t>
            </w:r>
          </w:p>
        </w:tc>
      </w:tr>
      <w:tr>
        <w:tc>
          <w:tcPr>
            <w:tcW w:type="dxa" w:w="1872"/>
            <w:shd w:fill="F7FAFC"/>
          </w:tcPr>
          <w:p>
            <w:r>
              <w:rPr>
                <w:rFonts w:ascii="Times New Roman" w:hAnsi="Times New Roman"/>
                <w:b/>
                <w:i w:val="0"/>
                <w:color w:val="2D3748"/>
                <w:sz w:val="18"/>
              </w:rPr>
              <w:t>BN3D + ReLU</w:t>
            </w:r>
          </w:p>
        </w:tc>
        <w:tc>
          <w:tcPr>
            <w:tcW w:type="dxa" w:w="1872"/>
            <w:shd w:fill="F7FAFC"/>
          </w:tcPr>
          <w:p>
            <w:r>
              <w:rPr>
                <w:rFonts w:ascii="Times New Roman" w:hAnsi="Times New Roman"/>
                <w:b w:val="0"/>
                <w:i w:val="0"/>
                <w:color w:val="2D3748"/>
                <w:sz w:val="18"/>
              </w:rPr>
              <w:t>BatchNorm3D, ReLU, Dropout(0.3)</w:t>
            </w:r>
          </w:p>
        </w:tc>
        <w:tc>
          <w:tcPr>
            <w:tcW w:type="dxa" w:w="1872"/>
            <w:shd w:fill="F7FAFC"/>
          </w:tcPr>
          <w:p>
            <w:r>
              <w:rPr>
                <w:rFonts w:ascii="Times New Roman" w:hAnsi="Times New Roman"/>
                <w:b w:val="0"/>
                <w:i w:val="0"/>
                <w:color w:val="2D3748"/>
                <w:sz w:val="18"/>
              </w:rPr>
              <w:t>[B, 16, 32, 224, 224]</w:t>
            </w:r>
          </w:p>
        </w:tc>
        <w:tc>
          <w:tcPr>
            <w:tcW w:type="dxa" w:w="1872"/>
            <w:shd w:fill="F7FAFC"/>
          </w:tcPr>
          <w:p>
            <w:r>
              <w:rPr>
                <w:rFonts w:ascii="Times New Roman" w:hAnsi="Times New Roman"/>
                <w:b w:val="0"/>
                <w:i w:val="0"/>
                <w:color w:val="2D3748"/>
                <w:sz w:val="18"/>
              </w:rPr>
              <w:t>[B, 16, 32, 224, 224]</w:t>
            </w:r>
          </w:p>
        </w:tc>
        <w:tc>
          <w:tcPr>
            <w:tcW w:type="dxa" w:w="1872"/>
            <w:shd w:fill="F7FAFC"/>
          </w:tcPr>
          <w:p>
            <w:r>
              <w:rPr>
                <w:rFonts w:ascii="Times New Roman" w:hAnsi="Times New Roman"/>
                <w:b w:val="0"/>
                <w:i w:val="0"/>
                <w:color w:val="2D3748"/>
                <w:sz w:val="18"/>
              </w:rPr>
              <w:t>Stabilizes distribution, adds non-linearity &amp; regularisation.</w:t>
            </w:r>
          </w:p>
        </w:tc>
      </w:tr>
      <w:tr>
        <w:tc>
          <w:tcPr>
            <w:tcW w:type="dxa" w:w="1872"/>
            <w:shd w:fill="FFFFFF"/>
          </w:tcPr>
          <w:p>
            <w:r>
              <w:rPr>
                <w:rFonts w:ascii="Times New Roman" w:hAnsi="Times New Roman"/>
                <w:b/>
                <w:i w:val="0"/>
                <w:color w:val="2D3748"/>
                <w:sz w:val="18"/>
              </w:rPr>
              <w:t>Conv3D L2</w:t>
            </w:r>
          </w:p>
        </w:tc>
        <w:tc>
          <w:tcPr>
            <w:tcW w:type="dxa" w:w="1872"/>
            <w:shd w:fill="FFFFFF"/>
          </w:tcPr>
          <w:p>
            <w:r>
              <w:rPr>
                <w:rFonts w:ascii="Times New Roman" w:hAnsi="Times New Roman"/>
                <w:b w:val="0"/>
                <w:i w:val="0"/>
                <w:color w:val="2D3748"/>
                <w:sz w:val="18"/>
              </w:rPr>
              <w:t>Conv3D (16-&gt;32, k=1×3×3, p=0×1×1)</w:t>
            </w:r>
          </w:p>
        </w:tc>
        <w:tc>
          <w:tcPr>
            <w:tcW w:type="dxa" w:w="1872"/>
            <w:shd w:fill="FFFFFF"/>
          </w:tcPr>
          <w:p>
            <w:r>
              <w:rPr>
                <w:rFonts w:ascii="Times New Roman" w:hAnsi="Times New Roman"/>
                <w:b w:val="0"/>
                <w:i w:val="0"/>
                <w:color w:val="2D3748"/>
                <w:sz w:val="18"/>
              </w:rPr>
              <w:t>[B, 16, 32, 224, 224]</w:t>
            </w:r>
          </w:p>
        </w:tc>
        <w:tc>
          <w:tcPr>
            <w:tcW w:type="dxa" w:w="1872"/>
            <w:shd w:fill="FFFFFF"/>
          </w:tcPr>
          <w:p>
            <w:r>
              <w:rPr>
                <w:rFonts w:ascii="Times New Roman" w:hAnsi="Times New Roman"/>
                <w:b w:val="0"/>
                <w:i w:val="0"/>
                <w:color w:val="2D3748"/>
                <w:sz w:val="18"/>
              </w:rPr>
              <w:t>[B, 32, 32, 224, 224]</w:t>
            </w:r>
          </w:p>
        </w:tc>
        <w:tc>
          <w:tcPr>
            <w:tcW w:type="dxa" w:w="1872"/>
            <w:shd w:fill="FFFFFF"/>
          </w:tcPr>
          <w:p>
            <w:r>
              <w:rPr>
                <w:rFonts w:ascii="Times New Roman" w:hAnsi="Times New Roman"/>
                <w:b w:val="0"/>
                <w:i w:val="0"/>
                <w:color w:val="2D3748"/>
                <w:sz w:val="18"/>
              </w:rPr>
              <w:t>Builds deeper spatial features; temporal depth preserved.</w:t>
            </w:r>
          </w:p>
        </w:tc>
      </w:tr>
      <w:tr>
        <w:tc>
          <w:tcPr>
            <w:tcW w:type="dxa" w:w="1872"/>
            <w:shd w:fill="F7FAFC"/>
          </w:tcPr>
          <w:p>
            <w:r>
              <w:rPr>
                <w:rFonts w:ascii="Times New Roman" w:hAnsi="Times New Roman"/>
                <w:b/>
                <w:i w:val="0"/>
                <w:color w:val="2D3748"/>
                <w:sz w:val="18"/>
              </w:rPr>
              <w:t>BN3D + ReLU</w:t>
            </w:r>
          </w:p>
        </w:tc>
        <w:tc>
          <w:tcPr>
            <w:tcW w:type="dxa" w:w="1872"/>
            <w:shd w:fill="F7FAFC"/>
          </w:tcPr>
          <w:p>
            <w:r>
              <w:rPr>
                <w:rFonts w:ascii="Times New Roman" w:hAnsi="Times New Roman"/>
                <w:b w:val="0"/>
                <w:i w:val="0"/>
                <w:color w:val="2D3748"/>
                <w:sz w:val="18"/>
              </w:rPr>
              <w:t>BatchNorm3D, ReLU, Dropout(0.3)</w:t>
            </w:r>
          </w:p>
        </w:tc>
        <w:tc>
          <w:tcPr>
            <w:tcW w:type="dxa" w:w="1872"/>
            <w:shd w:fill="F7FAFC"/>
          </w:tcPr>
          <w:p>
            <w:r>
              <w:rPr>
                <w:rFonts w:ascii="Times New Roman" w:hAnsi="Times New Roman"/>
                <w:b w:val="0"/>
                <w:i w:val="0"/>
                <w:color w:val="2D3748"/>
                <w:sz w:val="18"/>
              </w:rPr>
              <w:t>[B, 32, 32, 224, 224]</w:t>
            </w:r>
          </w:p>
        </w:tc>
        <w:tc>
          <w:tcPr>
            <w:tcW w:type="dxa" w:w="1872"/>
            <w:shd w:fill="F7FAFC"/>
          </w:tcPr>
          <w:p>
            <w:r>
              <w:rPr>
                <w:rFonts w:ascii="Times New Roman" w:hAnsi="Times New Roman"/>
                <w:b w:val="0"/>
                <w:i w:val="0"/>
                <w:color w:val="2D3748"/>
                <w:sz w:val="18"/>
              </w:rPr>
              <w:t>[B, 32, 32, 224, 224]</w:t>
            </w:r>
          </w:p>
        </w:tc>
        <w:tc>
          <w:tcPr>
            <w:tcW w:type="dxa" w:w="1872"/>
            <w:shd w:fill="F7FAFC"/>
          </w:tcPr>
          <w:p>
            <w:r>
              <w:rPr>
                <w:rFonts w:ascii="Times New Roman" w:hAnsi="Times New Roman"/>
                <w:b w:val="0"/>
                <w:i w:val="0"/>
                <w:color w:val="2D3748"/>
                <w:sz w:val="18"/>
              </w:rPr>
              <w:t>Regularises intermediate representation before pooling.</w:t>
            </w:r>
          </w:p>
        </w:tc>
      </w:tr>
      <w:tr>
        <w:tc>
          <w:tcPr>
            <w:tcW w:type="dxa" w:w="1872"/>
            <w:shd w:fill="FFFFFF"/>
          </w:tcPr>
          <w:p>
            <w:r>
              <w:rPr>
                <w:rFonts w:ascii="Times New Roman" w:hAnsi="Times New Roman"/>
                <w:b/>
                <w:i w:val="0"/>
                <w:color w:val="2D3748"/>
                <w:sz w:val="18"/>
              </w:rPr>
              <w:t>Spatial Pool</w:t>
            </w:r>
          </w:p>
        </w:tc>
        <w:tc>
          <w:tcPr>
            <w:tcW w:type="dxa" w:w="1872"/>
            <w:shd w:fill="FFFFFF"/>
          </w:tcPr>
          <w:p>
            <w:r>
              <w:rPr>
                <w:rFonts w:ascii="Times New Roman" w:hAnsi="Times New Roman"/>
                <w:b w:val="0"/>
                <w:i w:val="0"/>
                <w:color w:val="2D3748"/>
                <w:sz w:val="18"/>
              </w:rPr>
              <w:t>MaxPool3D (k=1×2×2, s=1×2×2)</w:t>
            </w:r>
          </w:p>
        </w:tc>
        <w:tc>
          <w:tcPr>
            <w:tcW w:type="dxa" w:w="1872"/>
            <w:shd w:fill="FFFFFF"/>
          </w:tcPr>
          <w:p>
            <w:r>
              <w:rPr>
                <w:rFonts w:ascii="Times New Roman" w:hAnsi="Times New Roman"/>
                <w:b w:val="0"/>
                <w:i w:val="0"/>
                <w:color w:val="2D3748"/>
                <w:sz w:val="18"/>
              </w:rPr>
              <w:t>[B, 32, 32, 224, 224]</w:t>
            </w:r>
          </w:p>
        </w:tc>
        <w:tc>
          <w:tcPr>
            <w:tcW w:type="dxa" w:w="1872"/>
            <w:shd w:fill="FFFFFF"/>
          </w:tcPr>
          <w:p>
            <w:r>
              <w:rPr>
                <w:rFonts w:ascii="Times New Roman" w:hAnsi="Times New Roman"/>
                <w:b w:val="0"/>
                <w:i w:val="0"/>
                <w:color w:val="2D3748"/>
                <w:sz w:val="18"/>
              </w:rPr>
              <w:t>[B, 32, 32, 112, 112]</w:t>
            </w:r>
          </w:p>
        </w:tc>
        <w:tc>
          <w:tcPr>
            <w:tcW w:type="dxa" w:w="1872"/>
            <w:shd w:fill="FFFFFF"/>
          </w:tcPr>
          <w:p>
            <w:r>
              <w:rPr>
                <w:rFonts w:ascii="Times New Roman" w:hAnsi="Times New Roman"/>
                <w:b w:val="0"/>
                <w:i w:val="0"/>
                <w:color w:val="2D3748"/>
                <w:sz w:val="18"/>
              </w:rPr>
              <w:t>Halves spatial resolution (224-&gt;112), temporal depth remains 32.</w:t>
            </w:r>
          </w:p>
        </w:tc>
      </w:tr>
      <w:tr>
        <w:tc>
          <w:tcPr>
            <w:tcW w:type="dxa" w:w="1872"/>
            <w:shd w:fill="F7FAFC"/>
          </w:tcPr>
          <w:p>
            <w:r>
              <w:rPr>
                <w:rFonts w:ascii="Times New Roman" w:hAnsi="Times New Roman"/>
                <w:b/>
                <w:i w:val="0"/>
                <w:color w:val="2D3748"/>
                <w:sz w:val="18"/>
              </w:rPr>
              <w:t>SimAM 3D</w:t>
            </w:r>
          </w:p>
        </w:tc>
        <w:tc>
          <w:tcPr>
            <w:tcW w:type="dxa" w:w="1872"/>
            <w:shd w:fill="F7FAFC"/>
          </w:tcPr>
          <w:p>
            <w:r>
              <w:rPr>
                <w:rFonts w:ascii="Times New Roman" w:hAnsi="Times New Roman"/>
                <w:b w:val="0"/>
                <w:i w:val="0"/>
                <w:color w:val="2D3748"/>
                <w:sz w:val="18"/>
              </w:rPr>
              <w:t>Parameter-free Attention (λ=1e-4)</w:t>
            </w:r>
          </w:p>
        </w:tc>
        <w:tc>
          <w:tcPr>
            <w:tcW w:type="dxa" w:w="1872"/>
            <w:shd w:fill="F7FAFC"/>
          </w:tcPr>
          <w:p>
            <w:r>
              <w:rPr>
                <w:rFonts w:ascii="Times New Roman" w:hAnsi="Times New Roman"/>
                <w:b w:val="0"/>
                <w:i w:val="0"/>
                <w:color w:val="2D3748"/>
                <w:sz w:val="18"/>
              </w:rPr>
              <w:t>[B, 32, 32, 112, 112]</w:t>
            </w:r>
          </w:p>
        </w:tc>
        <w:tc>
          <w:tcPr>
            <w:tcW w:type="dxa" w:w="1872"/>
            <w:shd w:fill="F7FAFC"/>
          </w:tcPr>
          <w:p>
            <w:r>
              <w:rPr>
                <w:rFonts w:ascii="Times New Roman" w:hAnsi="Times New Roman"/>
                <w:b w:val="0"/>
                <w:i w:val="0"/>
                <w:color w:val="2D3748"/>
                <w:sz w:val="18"/>
              </w:rPr>
              <w:t>[B, 32, 32, 112, 112]</w:t>
            </w:r>
          </w:p>
        </w:tc>
        <w:tc>
          <w:tcPr>
            <w:tcW w:type="dxa" w:w="1872"/>
            <w:shd w:fill="F7FAFC"/>
          </w:tcPr>
          <w:p>
            <w:r>
              <w:rPr>
                <w:rFonts w:ascii="Times New Roman" w:hAnsi="Times New Roman"/>
                <w:b w:val="0"/>
                <w:i w:val="0"/>
                <w:color w:val="2D3748"/>
                <w:sz w:val="18"/>
              </w:rPr>
              <w:t>neuron energy function highlights active facial zones.</w:t>
            </w:r>
          </w:p>
        </w:tc>
      </w:tr>
      <w:tr>
        <w:tc>
          <w:tcPr>
            <w:tcW w:type="dxa" w:w="1872"/>
            <w:shd w:fill="FFFFFF"/>
          </w:tcPr>
          <w:p>
            <w:r>
              <w:rPr>
                <w:rFonts w:ascii="Times New Roman" w:hAnsi="Times New Roman"/>
                <w:b/>
                <w:i w:val="0"/>
                <w:color w:val="2D3748"/>
                <w:sz w:val="18"/>
              </w:rPr>
              <w:t>Modality Fusion</w:t>
            </w:r>
          </w:p>
        </w:tc>
        <w:tc>
          <w:tcPr>
            <w:tcW w:type="dxa" w:w="1872"/>
            <w:shd w:fill="FFFFFF"/>
          </w:tcPr>
          <w:p>
            <w:r>
              <w:rPr>
                <w:rFonts w:ascii="Times New Roman" w:hAnsi="Times New Roman"/>
                <w:b w:val="0"/>
                <w:i w:val="0"/>
                <w:color w:val="2D3748"/>
                <w:sz w:val="18"/>
              </w:rPr>
              <w:t>Channel Concatenation</w:t>
            </w:r>
          </w:p>
        </w:tc>
        <w:tc>
          <w:tcPr>
            <w:tcW w:type="dxa" w:w="1872"/>
            <w:shd w:fill="FFFFFF"/>
          </w:tcPr>
          <w:p>
            <w:r>
              <w:rPr>
                <w:rFonts w:ascii="Times New Roman" w:hAnsi="Times New Roman"/>
                <w:b w:val="0"/>
                <w:i w:val="0"/>
                <w:color w:val="2D3748"/>
                <w:sz w:val="18"/>
              </w:rPr>
              <w:t>[B, 32, 32, 112, 112] × 3</w:t>
            </w:r>
          </w:p>
        </w:tc>
        <w:tc>
          <w:tcPr>
            <w:tcW w:type="dxa" w:w="1872"/>
            <w:shd w:fill="FFFFFF"/>
          </w:tcPr>
          <w:p>
            <w:r>
              <w:rPr>
                <w:rFonts w:ascii="Times New Roman" w:hAnsi="Times New Roman"/>
                <w:b w:val="0"/>
                <w:i w:val="0"/>
                <w:color w:val="2D3748"/>
                <w:sz w:val="18"/>
              </w:rPr>
              <w:t>[B, 96, 32, 112, 112]</w:t>
            </w:r>
          </w:p>
        </w:tc>
        <w:tc>
          <w:tcPr>
            <w:tcW w:type="dxa" w:w="1872"/>
            <w:shd w:fill="FFFFFF"/>
          </w:tcPr>
          <w:p>
            <w:r>
              <w:rPr>
                <w:rFonts w:ascii="Times New Roman" w:hAnsi="Times New Roman"/>
                <w:b w:val="0"/>
                <w:i w:val="0"/>
                <w:color w:val="2D3748"/>
                <w:sz w:val="18"/>
              </w:rPr>
              <w:t>Combines flow-u, flow-v, and skin strain into one volume.</w:t>
            </w:r>
          </w:p>
        </w:tc>
      </w:tr>
      <w:tr>
        <w:tc>
          <w:tcPr>
            <w:tcW w:type="dxa" w:w="1872"/>
            <w:shd w:fill="F7FAFC"/>
          </w:tcPr>
          <w:p>
            <w:r>
              <w:rPr>
                <w:rFonts w:ascii="Times New Roman" w:hAnsi="Times New Roman"/>
                <w:b/>
                <w:i w:val="0"/>
                <w:color w:val="2D3748"/>
                <w:sz w:val="18"/>
              </w:rPr>
              <w:t>Adaptive Pool</w:t>
            </w:r>
          </w:p>
        </w:tc>
        <w:tc>
          <w:tcPr>
            <w:tcW w:type="dxa" w:w="1872"/>
            <w:shd w:fill="F7FAFC"/>
          </w:tcPr>
          <w:p>
            <w:r>
              <w:rPr>
                <w:rFonts w:ascii="Times New Roman" w:hAnsi="Times New Roman"/>
                <w:b w:val="0"/>
                <w:i w:val="0"/>
                <w:color w:val="2D3748"/>
                <w:sz w:val="18"/>
              </w:rPr>
              <w:t>AdaptiveAvgPool3D (out=32×1×1)</w:t>
            </w:r>
          </w:p>
        </w:tc>
        <w:tc>
          <w:tcPr>
            <w:tcW w:type="dxa" w:w="1872"/>
            <w:shd w:fill="F7FAFC"/>
          </w:tcPr>
          <w:p>
            <w:r>
              <w:rPr>
                <w:rFonts w:ascii="Times New Roman" w:hAnsi="Times New Roman"/>
                <w:b w:val="0"/>
                <w:i w:val="0"/>
                <w:color w:val="2D3748"/>
                <w:sz w:val="18"/>
              </w:rPr>
              <w:t>[B, 96, 32, 112, 112]</w:t>
            </w:r>
          </w:p>
        </w:tc>
        <w:tc>
          <w:tcPr>
            <w:tcW w:type="dxa" w:w="1872"/>
            <w:shd w:fill="F7FAFC"/>
          </w:tcPr>
          <w:p>
            <w:r>
              <w:rPr>
                <w:rFonts w:ascii="Times New Roman" w:hAnsi="Times New Roman"/>
                <w:b w:val="0"/>
                <w:i w:val="0"/>
                <w:color w:val="2D3748"/>
                <w:sz w:val="18"/>
              </w:rPr>
              <w:t>[B, 96, 32, 1, 1]</w:t>
            </w:r>
          </w:p>
        </w:tc>
        <w:tc>
          <w:tcPr>
            <w:tcW w:type="dxa" w:w="1872"/>
            <w:shd w:fill="F7FAFC"/>
          </w:tcPr>
          <w:p>
            <w:r>
              <w:rPr>
                <w:rFonts w:ascii="Times New Roman" w:hAnsi="Times New Roman"/>
                <w:b w:val="0"/>
                <w:i w:val="0"/>
                <w:color w:val="2D3748"/>
                <w:sz w:val="18"/>
              </w:rPr>
              <w:t>Crushes spatial dimensions, preserves 32 temporal steps.</w:t>
            </w:r>
          </w:p>
        </w:tc>
      </w:tr>
      <w:tr>
        <w:tc>
          <w:tcPr>
            <w:tcW w:type="dxa" w:w="1872"/>
            <w:shd w:fill="FFFFFF"/>
          </w:tcPr>
          <w:p>
            <w:r>
              <w:rPr>
                <w:rFonts w:ascii="Times New Roman" w:hAnsi="Times New Roman"/>
                <w:b/>
                <w:i w:val="0"/>
                <w:color w:val="2D3748"/>
                <w:sz w:val="18"/>
              </w:rPr>
              <w:t>Sequence Reshape</w:t>
            </w:r>
          </w:p>
        </w:tc>
        <w:tc>
          <w:tcPr>
            <w:tcW w:type="dxa" w:w="1872"/>
            <w:shd w:fill="FFFFFF"/>
          </w:tcPr>
          <w:p>
            <w:r>
              <w:rPr>
                <w:rFonts w:ascii="Times New Roman" w:hAnsi="Times New Roman"/>
                <w:b w:val="0"/>
                <w:i w:val="0"/>
                <w:color w:val="2D3748"/>
                <w:sz w:val="18"/>
              </w:rPr>
              <w:t>Squeeze + Permute (transpose 1 &amp; 2)</w:t>
            </w:r>
          </w:p>
        </w:tc>
        <w:tc>
          <w:tcPr>
            <w:tcW w:type="dxa" w:w="1872"/>
            <w:shd w:fill="FFFFFF"/>
          </w:tcPr>
          <w:p>
            <w:r>
              <w:rPr>
                <w:rFonts w:ascii="Times New Roman" w:hAnsi="Times New Roman"/>
                <w:b w:val="0"/>
                <w:i w:val="0"/>
                <w:color w:val="2D3748"/>
                <w:sz w:val="18"/>
              </w:rPr>
              <w:t>[B, 96, 32, 1, 1]</w:t>
            </w:r>
          </w:p>
        </w:tc>
        <w:tc>
          <w:tcPr>
            <w:tcW w:type="dxa" w:w="1872"/>
            <w:shd w:fill="FFFFFF"/>
          </w:tcPr>
          <w:p>
            <w:r>
              <w:rPr>
                <w:rFonts w:ascii="Times New Roman" w:hAnsi="Times New Roman"/>
                <w:b w:val="0"/>
                <w:i w:val="0"/>
                <w:color w:val="2D3748"/>
                <w:sz w:val="18"/>
              </w:rPr>
              <w:t>[B, 32, 96]</w:t>
            </w:r>
          </w:p>
        </w:tc>
        <w:tc>
          <w:tcPr>
            <w:tcW w:type="dxa" w:w="1872"/>
            <w:shd w:fill="FFFFFF"/>
          </w:tcPr>
          <w:p>
            <w:r>
              <w:rPr>
                <w:rFonts w:ascii="Times New Roman" w:hAnsi="Times New Roman"/>
                <w:b w:val="0"/>
                <w:i w:val="0"/>
                <w:color w:val="2D3748"/>
                <w:sz w:val="18"/>
              </w:rPr>
              <w:t>Converts volumetric features to 32 temporal sequence tokens.</w:t>
            </w:r>
          </w:p>
        </w:tc>
      </w:tr>
    </w:tbl>
    <w:p>
      <w:pPr>
        <w:spacing w:after="200"/>
      </w:pPr>
    </w:p>
    <w:p>
      <w:pPr>
        <w:keepNext/>
        <w:spacing w:before="240" w:after="120"/>
      </w:pPr>
      <w:r>
        <w:rPr>
          <w:rFonts w:ascii="Times New Roman" w:hAnsi="Times New Roman"/>
          <w:b/>
          <w:i w:val="0"/>
          <w:color w:val="2B6CB0"/>
          <w:sz w:val="27"/>
        </w:rPr>
        <w:t>3.2 3D SimAM (Parameter-Free Attention)</w:t>
      </w:r>
    </w:p>
    <w:p>
      <w:pPr>
        <w:spacing w:after="120" w:line="276" w:lineRule="auto"/>
      </w:pPr>
      <w:r>
        <w:rPr>
          <w:rFonts w:ascii="Times New Roman" w:hAnsi="Times New Roman"/>
          <w:b w:val="0"/>
          <w:i w:val="0"/>
          <w:color w:val="2D3748"/>
          <w:sz w:val="21"/>
        </w:rPr>
        <w:t>To focus the model on active facial regions (e.g., the eyebrows or mouth corners) without adding learnable parameters, we integrate the 3D Simple Attention Module (SimAM) (Yang et al., 2021). Derived from the neuroscience theory of inter-neuron suppression, SimAM computes an analytical energy function for each neuron. A lower energy score indicates that a neuron is highly distinct from its spatial and temporal neighbors, signaling high importance. The mathematical formulation is defined as:</w:t>
      </w:r>
    </w:p>
    <w:tbl>
      <w:tblPr>
        <w:tblW w:type="auto" w:w="0"/>
        <w:tblLayout w:type="fixed"/>
        <w:tblLook w:firstColumn="1" w:firstRow="1" w:lastColumn="0" w:lastRow="0" w:noHBand="0" w:noVBand="1" w:val="04A0"/>
      </w:tblPr>
      <w:tblGrid>
        <w:gridCol w:w="9360"/>
      </w:tblGrid>
      <w:tr>
        <w:tc>
          <w:tcPr>
            <w:tcW w:type="dxa" w:w="9360"/>
            <w:shd w:fill="F0F4F8"/>
          </w:tcPr>
          <w:p>
            <w:pPr>
              <w:spacing w:before="160" w:after="160"/>
              <w:jc w:val="center"/>
            </w:pPr>
            <w:r>
              <w:rPr>
                <w:rFonts w:ascii="Consolas" w:hAnsi="Consolas"/>
                <w:b/>
                <w:i w:val="0"/>
                <w:color w:val="1A365D"/>
                <w:sz w:val="20"/>
              </w:rPr>
              <w:t>e_t = (t - mu)^2 / ( 4 * (sigma^2 + lambda) ) + 0.5</w:t>
              <w:br/>
            </w:r>
            <w:r>
              <w:rPr>
                <w:rFonts w:ascii="Times New Roman" w:hAnsi="Times New Roman"/>
                <w:b w:val="0"/>
                <w:i/>
                <w:color w:val="2D3748"/>
                <w:sz w:val="18"/>
              </w:rPr>
              <w:t>where t is the target activation, mu and sigma^2 are the mean and variance computed over the spatio-temporal volume, and lambda = 1e-4.</w:t>
            </w:r>
          </w:p>
        </w:tc>
      </w:tr>
    </w:tbl>
    <w:tbl>
      <w:tblPr>
        <w:tblW w:type="auto" w:w="0"/>
        <w:tblLayout w:type="fixed"/>
        <w:tblLook w:firstColumn="1" w:firstRow="1" w:lastColumn="0" w:lastRow="0" w:noHBand="0" w:noVBand="1" w:val="04A0"/>
      </w:tblPr>
      <w:tblGrid>
        <w:gridCol w:w="9360"/>
      </w:tblGrid>
      <w:tr>
        <w:tc>
          <w:tcPr>
            <w:tcW w:type="dxa" w:w="9360"/>
            <w:shd w:fill="F0F4F8"/>
          </w:tcPr>
          <w:p>
            <w:pPr>
              <w:spacing w:before="160" w:after="160"/>
              <w:jc w:val="center"/>
            </w:pPr>
            <w:r>
              <w:rPr>
                <w:rFonts w:ascii="Consolas" w:hAnsi="Consolas"/>
                <w:b/>
                <w:i w:val="0"/>
                <w:color w:val="1A365D"/>
                <w:sz w:val="20"/>
              </w:rPr>
              <w:t>attention_weight = sigmoid( 1 / e_t )</w:t>
              <w:br/>
              <w:t>Output_tensor = Input_tensor * attention_weight</w:t>
              <w:br/>
            </w:r>
            <w:r>
              <w:rPr>
                <w:rFonts w:ascii="Times New Roman" w:hAnsi="Times New Roman"/>
                <w:b w:val="0"/>
                <w:i/>
                <w:color w:val="2D3748"/>
                <w:sz w:val="18"/>
              </w:rPr>
              <w:t>which rescales the feature map element-wise, amplifying active zones without adding any parameters.</w:t>
            </w:r>
          </w:p>
        </w:tc>
      </w:tr>
    </w:tbl>
    <w:p>
      <w:pPr>
        <w:keepNext/>
        <w:spacing w:before="240" w:after="120"/>
      </w:pPr>
      <w:r>
        <w:rPr>
          <w:rFonts w:ascii="Times New Roman" w:hAnsi="Times New Roman"/>
          <w:b/>
          <w:i w:val="0"/>
          <w:color w:val="2B6CB0"/>
          <w:sz w:val="27"/>
        </w:rPr>
        <w:t>3.3 SLSTT Transformer Encoder</w:t>
      </w:r>
    </w:p>
    <w:p>
      <w:pPr>
        <w:spacing w:after="120" w:line="276" w:lineRule="auto"/>
      </w:pPr>
      <w:r>
        <w:rPr>
          <w:rFonts w:ascii="Times New Roman" w:hAnsi="Times New Roman"/>
          <w:b w:val="0"/>
          <w:i w:val="0"/>
          <w:color w:val="2D3748"/>
          <w:sz w:val="21"/>
        </w:rPr>
        <w:t>After spatial pooling compresses the spatial dimensions, the resulting sequence of shape `[B, 32, 96]` is processed by the Sequence-Level Spatio-Temporal Transformer (SLSTT) (Zhang et al., 2022). Self-attention is permutation-invariant and does not naturally understand temporal order. To teach the model the chronological progression of expressions (onset $</w:t>
        <w:tab/>
        <w:t>o$ apex $</w:t>
        <w:tab/>
        <w:t>o$ offset), we inject fixed, deterministic sinusoidal positional encodings (Vaswani et al., 2017):</w:t>
      </w:r>
    </w:p>
    <w:tbl>
      <w:tblPr>
        <w:tblW w:type="auto" w:w="0"/>
        <w:tblLayout w:type="fixed"/>
        <w:tblLook w:firstColumn="1" w:firstRow="1" w:lastColumn="0" w:lastRow="0" w:noHBand="0" w:noVBand="1" w:val="04A0"/>
      </w:tblPr>
      <w:tblGrid>
        <w:gridCol w:w="9360"/>
      </w:tblGrid>
      <w:tr>
        <w:tc>
          <w:tcPr>
            <w:tcW w:type="dxa" w:w="9360"/>
            <w:shd w:fill="F0F4F8"/>
          </w:tcPr>
          <w:p>
            <w:pPr>
              <w:spacing w:before="160" w:after="160"/>
              <w:jc w:val="center"/>
            </w:pPr>
            <w:r>
              <w:rPr>
                <w:rFonts w:ascii="Consolas" w:hAnsi="Consolas"/>
                <w:b/>
                <w:i w:val="0"/>
                <w:color w:val="1A365D"/>
                <w:sz w:val="20"/>
              </w:rPr>
              <w:t>PE_{pos, 2i}   = sin( pos / 10000^(2i/d_model) )</w:t>
              <w:br/>
              <w:t>PE_{pos, 2i+1} = cos( pos / 10000^(2i/d_model) )</w:t>
              <w:br/>
            </w:r>
            <w:r>
              <w:rPr>
                <w:rFonts w:ascii="Times New Roman" w:hAnsi="Times New Roman"/>
                <w:b w:val="0"/>
                <w:i/>
                <w:color w:val="2D3748"/>
                <w:sz w:val="18"/>
              </w:rPr>
              <w:t>where pos is the frame index (0 to 31) and d_model = 96 represents the token dimensionality.</w:t>
            </w:r>
          </w:p>
        </w:tc>
      </w:tr>
    </w:tbl>
    <w:p>
      <w:pPr>
        <w:spacing w:after="120" w:line="276" w:lineRule="auto"/>
      </w:pPr>
      <w:r>
        <w:rPr>
          <w:rFonts w:ascii="Times New Roman" w:hAnsi="Times New Roman"/>
          <w:b w:val="0"/>
          <w:i w:val="0"/>
          <w:color w:val="2D3748"/>
          <w:sz w:val="21"/>
        </w:rPr>
        <w:t>The sequence is then processed by a 2-layer Transformer Encoder. Each layer consists of a 4-head multi-head self-attention mechanism and a 256-dimensional Feed-Forward Network (FFN). The model uses a pre-norm architecture (applying Layer Normalization before the attention block) to ensure gradient stability during backpropagation. Finally, a temporal mean pooling layer averages the 32 tokens into a single 96-dimensional global feature vector representing the entire clip.</w:t>
      </w:r>
    </w:p>
    <w:p>
      <w:r>
        <w:br w:type="page"/>
      </w:r>
    </w:p>
    <w:p>
      <w:pPr>
        <w:keepNext/>
        <w:spacing w:before="360" w:after="160"/>
      </w:pPr>
      <w:r>
        <w:rPr>
          <w:rFonts w:ascii="Times New Roman" w:hAnsi="Times New Roman"/>
          <w:b/>
          <w:i w:val="0"/>
          <w:color w:val="1A365D"/>
          <w:sz w:val="32"/>
        </w:rPr>
        <w:t>Chapter 4: Stage 3 — Adversarial Domain Adaptation</w:t>
      </w:r>
    </w:p>
    <w:p>
      <w:pPr>
        <w:keepNext/>
        <w:spacing w:before="240" w:after="120"/>
      </w:pPr>
      <w:r>
        <w:rPr>
          <w:rFonts w:ascii="Times New Roman" w:hAnsi="Times New Roman"/>
          <w:b/>
          <w:i w:val="0"/>
          <w:color w:val="2B6CB0"/>
          <w:sz w:val="27"/>
        </w:rPr>
        <w:t>4.1 Triple-Head Wrapper</w:t>
      </w:r>
    </w:p>
    <w:p>
      <w:pPr>
        <w:spacing w:after="120" w:line="276" w:lineRule="auto"/>
      </w:pPr>
      <w:r>
        <w:rPr>
          <w:rFonts w:ascii="Times New Roman" w:hAnsi="Times New Roman"/>
          <w:b w:val="0"/>
          <w:i w:val="0"/>
          <w:color w:val="2D3748"/>
          <w:sz w:val="21"/>
        </w:rPr>
        <w:t>To enforce subject-invariance, we wrap the backbone in a triple-head architecture (`AdversarialMERWrapper`). The 96-dimensional global feature vector is routed into three parallel paths:</w:t>
      </w:r>
    </w:p>
    <w:p>
      <w:pPr>
        <w:pStyle w:val="ListBullet"/>
        <w:spacing w:after="120" w:line="276" w:lineRule="auto"/>
      </w:pPr>
      <w:r>
        <w:rPr>
          <w:rFonts w:ascii="Times New Roman" w:hAnsi="Times New Roman"/>
          <w:b w:val="0"/>
          <w:i w:val="0"/>
          <w:color w:val="2D3748"/>
          <w:sz w:val="21"/>
        </w:rPr>
        <w:t>1. Emotion Head: LayerNorm → Dropout(0.3) → Linear(96, 4) outputs emotion logits (Negative, Positive, Surprise, Others), optimized via class-weighted Focal Loss.</w:t>
      </w:r>
    </w:p>
    <w:p>
      <w:pPr>
        <w:pStyle w:val="ListBullet"/>
        <w:spacing w:after="120" w:line="276" w:lineRule="auto"/>
      </w:pPr>
      <w:r>
        <w:rPr>
          <w:rFonts w:ascii="Times New Roman" w:hAnsi="Times New Roman"/>
          <w:b w:val="0"/>
          <w:i w:val="0"/>
          <w:color w:val="2D3748"/>
          <w:sz w:val="21"/>
        </w:rPr>
        <w:t>2. Projection Head: Linear(96, 96) → ReLU → Linear(96, 64) followed by L2-normalization, outputting 64-dimensional embeddings optimized via Supervised Contrastive Loss (SupCon).</w:t>
      </w:r>
    </w:p>
    <w:p>
      <w:pPr>
        <w:pStyle w:val="ListBullet"/>
        <w:spacing w:after="120" w:line="276" w:lineRule="auto"/>
      </w:pPr>
      <w:r>
        <w:rPr>
          <w:rFonts w:ascii="Times New Roman" w:hAnsi="Times New Roman"/>
          <w:b w:val="0"/>
          <w:i w:val="0"/>
          <w:color w:val="2D3748"/>
          <w:sz w:val="21"/>
        </w:rPr>
        <w:t>3. Identity Head: Gradient Reversal Layer (GRL) → LayerNorm → Dropout(0.3) → Linear(96, N_subjects) outputs subject logits, optimized via Cross-Entropy Loss.</w:t>
      </w:r>
    </w:p>
    <w:p>
      <w:pPr>
        <w:keepNext/>
        <w:spacing w:before="240" w:after="120"/>
      </w:pPr>
      <w:r>
        <w:rPr>
          <w:rFonts w:ascii="Times New Roman" w:hAnsi="Times New Roman"/>
          <w:b/>
          <w:i w:val="0"/>
          <w:color w:val="2B6CB0"/>
          <w:sz w:val="27"/>
        </w:rPr>
        <w:t>4.2 Gradient Reversal Layer (GRL)</w:t>
      </w:r>
    </w:p>
    <w:p>
      <w:pPr>
        <w:spacing w:after="120" w:line="276" w:lineRule="auto"/>
      </w:pPr>
      <w:r>
        <w:rPr>
          <w:rFonts w:ascii="Times New Roman" w:hAnsi="Times New Roman"/>
          <w:b w:val="0"/>
          <w:i w:val="0"/>
          <w:color w:val="2D3748"/>
          <w:sz w:val="21"/>
        </w:rPr>
        <w:t>The GRL (Ganin &amp; Lempitsky, 2015) is placed before the identity classification head. During forward propagation, the GRL acts as an identity mapping, allowing the identity head to learn to identify the subject. During backward propagation, however, the GRL multiplies the incoming gradients by a negative weight (-λ). This forces the backbone to adjust its weights in a direction that maximizes subject classification error, effectively stripping out identity cues:</w:t>
      </w:r>
    </w:p>
    <w:tbl>
      <w:tblPr>
        <w:tblW w:type="auto" w:w="0"/>
        <w:tblLayout w:type="fixed"/>
        <w:tblLook w:firstColumn="1" w:firstRow="1" w:lastColumn="0" w:lastRow="0" w:noHBand="0" w:noVBand="1" w:val="04A0"/>
      </w:tblPr>
      <w:tblGrid>
        <w:gridCol w:w="9360"/>
      </w:tblGrid>
      <w:tr>
        <w:tc>
          <w:tcPr>
            <w:tcW w:type="dxa" w:w="9360"/>
            <w:shd w:fill="F0F4F8"/>
          </w:tcPr>
          <w:p>
            <w:pPr>
              <w:spacing w:before="160" w:after="160"/>
              <w:jc w:val="center"/>
            </w:pPr>
            <w:r>
              <w:rPr>
                <w:rFonts w:ascii="Consolas" w:hAnsi="Consolas"/>
                <w:b/>
                <w:i w:val="0"/>
                <w:color w:val="1A365D"/>
                <w:sz w:val="20"/>
              </w:rPr>
              <w:t>Forward Pass:  GRL(x) = x</w:t>
              <w:br/>
              <w:t>Backward Pass: grad_in = -lambda * grad_out</w:t>
              <w:br/>
            </w:r>
            <w:r>
              <w:rPr>
                <w:rFonts w:ascii="Times New Roman" w:hAnsi="Times New Roman"/>
                <w:b w:val="0"/>
                <w:i/>
                <w:color w:val="2D3748"/>
                <w:sz w:val="18"/>
              </w:rPr>
              <w:t>where lambda is the reversal coefficient.</w:t>
            </w:r>
          </w:p>
        </w:tc>
      </w:tr>
    </w:tbl>
    <w:p>
      <w:pPr>
        <w:spacing w:after="120" w:line="276" w:lineRule="auto"/>
      </w:pPr>
      <w:r>
        <w:rPr>
          <w:rFonts w:ascii="Times New Roman" w:hAnsi="Times New Roman"/>
          <w:b w:val="0"/>
          <w:i w:val="0"/>
          <w:color w:val="2D3748"/>
          <w:sz w:val="21"/>
        </w:rPr>
        <w:t>To prevent the adversarial gradients from destabilizing the network in early epochs (before the backbone has learned basic motion representations), we implement a sigmoid annealing schedule that ramps λ from 0.0 to 1.0:</w:t>
      </w:r>
    </w:p>
    <w:tbl>
      <w:tblPr>
        <w:tblW w:type="auto" w:w="0"/>
        <w:tblLayout w:type="fixed"/>
        <w:tblLook w:firstColumn="1" w:firstRow="1" w:lastColumn="0" w:lastRow="0" w:noHBand="0" w:noVBand="1" w:val="04A0"/>
      </w:tblPr>
      <w:tblGrid>
        <w:gridCol w:w="9360"/>
      </w:tblGrid>
      <w:tr>
        <w:tc>
          <w:tcPr>
            <w:tcW w:type="dxa" w:w="9360"/>
            <w:shd w:fill="F0F4F8"/>
          </w:tcPr>
          <w:p>
            <w:pPr>
              <w:spacing w:before="160" w:after="160"/>
              <w:jc w:val="center"/>
            </w:pPr>
            <w:r>
              <w:rPr>
                <w:rFonts w:ascii="Consolas" w:hAnsi="Consolas"/>
                <w:b/>
                <w:i w:val="0"/>
                <w:color w:val="1A365D"/>
                <w:sz w:val="20"/>
              </w:rPr>
              <w:t>lambda(p) = 2 / ( 1 + exp(-gamma * p) ) - 1</w:t>
              <w:br/>
            </w:r>
            <w:r>
              <w:rPr>
                <w:rFonts w:ascii="Times New Roman" w:hAnsi="Times New Roman"/>
                <w:b w:val="0"/>
                <w:i/>
                <w:color w:val="2D3748"/>
                <w:sz w:val="18"/>
              </w:rPr>
              <w:t>where p is the training progress (current_epoch / total_epochs) and gamma = 10.0 governs the steepness of the curve.</w:t>
            </w:r>
          </w:p>
        </w:tc>
      </w:tr>
    </w:tbl>
    <w:p>
      <w:pPr>
        <w:keepNext/>
        <w:spacing w:before="240" w:after="120"/>
      </w:pPr>
      <w:r>
        <w:rPr>
          <w:rFonts w:ascii="Times New Roman" w:hAnsi="Times New Roman"/>
          <w:b/>
          <w:i w:val="0"/>
          <w:color w:val="2B6CB0"/>
          <w:sz w:val="27"/>
        </w:rPr>
        <w:t>4.3 Supervised Contrastive Loss (SupCon) &amp; XBM</w:t>
      </w:r>
    </w:p>
    <w:p>
      <w:pPr>
        <w:spacing w:after="120" w:line="276" w:lineRule="auto"/>
      </w:pPr>
      <w:r>
        <w:rPr>
          <w:rFonts w:ascii="Times New Roman" w:hAnsi="Times New Roman"/>
          <w:b w:val="0"/>
          <w:i w:val="0"/>
          <w:color w:val="2D3748"/>
          <w:sz w:val="21"/>
        </w:rPr>
        <w:t>To structure a highly discriminative feature space, we incorporate Supervised Contrastive Learning (SupCon) (Khosla et al., 2020) applied to the 64-dimensional L2-normalized embeddings. The SupCon loss forces same-emotion feature projections to cluster tightly while pushing different-emotion projections apart. The mathematical loss for a batch is defined as:</w:t>
      </w:r>
    </w:p>
    <w:tbl>
      <w:tblPr>
        <w:tblW w:type="auto" w:w="0"/>
        <w:tblLayout w:type="fixed"/>
        <w:tblLook w:firstColumn="1" w:firstRow="1" w:lastColumn="0" w:lastRow="0" w:noHBand="0" w:noVBand="1" w:val="04A0"/>
      </w:tblPr>
      <w:tblGrid>
        <w:gridCol w:w="9360"/>
      </w:tblGrid>
      <w:tr>
        <w:tc>
          <w:tcPr>
            <w:tcW w:type="dxa" w:w="9360"/>
            <w:shd w:fill="F0F4F8"/>
          </w:tcPr>
          <w:p>
            <w:pPr>
              <w:spacing w:before="160" w:after="160"/>
              <w:jc w:val="center"/>
            </w:pPr>
            <w:r>
              <w:rPr>
                <w:rFonts w:ascii="Consolas" w:hAnsi="Consolas"/>
                <w:b/>
                <w:i w:val="0"/>
                <w:color w:val="1A365D"/>
                <w:sz w:val="20"/>
              </w:rPr>
              <w:t>L_i = (-1 / |P(i)|) * sum_{p in P(i)} log [ exp( z_i . z_p / tau ) / sum_{a in A(i)} exp( z_i . z_a / tau ) ]</w:t>
              <w:br/>
            </w:r>
            <w:r>
              <w:rPr>
                <w:rFonts w:ascii="Times New Roman" w:hAnsi="Times New Roman"/>
                <w:b w:val="0"/>
                <w:i/>
                <w:color w:val="2D3748"/>
                <w:sz w:val="18"/>
              </w:rPr>
              <w:t>where z_i is the anchor embedding, P(i) is the set of positive indices, A(i) is all targets except the anchor, and tau = 0.10.</w:t>
            </w:r>
          </w:p>
        </w:tc>
      </w:tr>
    </w:tbl>
    <w:p>
      <w:pPr>
        <w:spacing w:after="120" w:line="276" w:lineRule="auto"/>
      </w:pPr>
      <w:r>
        <w:rPr>
          <w:rFonts w:ascii="Times New Roman" w:hAnsi="Times New Roman"/>
          <w:b w:val="0"/>
          <w:i w:val="0"/>
          <w:color w:val="2D3748"/>
          <w:sz w:val="21"/>
        </w:rPr>
        <w:t>Because 5D video tensors require significant GPU memory, we are restricted to a physical batch size of B=2. At B=2, the probability of finding any positive pairs in a batch is extremely low, causing the contrastive loss to fail. To resolve this VRAM bottleneck, we integrate a Cross-Batch Memory (XBM) bank (Wang et al., 2020) of size M=64. The XBM stores historical embeddings and labels in a FIFO queue, allowing the anchor batch to contrast against 66 targets. The stored features are detached from the computation graph, requiring no additional gradient VRAM.</w:t>
      </w:r>
    </w:p>
    <w:p>
      <w:pPr>
        <w:keepNext/>
        <w:spacing w:before="240" w:after="120"/>
      </w:pPr>
      <w:r>
        <w:rPr>
          <w:rFonts w:ascii="Times New Roman" w:hAnsi="Times New Roman"/>
          <w:b/>
          <w:i w:val="0"/>
          <w:color w:val="2B6CB0"/>
          <w:sz w:val="27"/>
        </w:rPr>
        <w:t>4.4 Focal Loss for Class Imbalance</w:t>
      </w:r>
    </w:p>
    <w:p>
      <w:pPr>
        <w:spacing w:after="120" w:line="276" w:lineRule="auto"/>
      </w:pPr>
      <w:r>
        <w:rPr>
          <w:rFonts w:ascii="Times New Roman" w:hAnsi="Times New Roman"/>
          <w:b w:val="0"/>
          <w:i w:val="0"/>
          <w:color w:val="2D3748"/>
          <w:sz w:val="21"/>
        </w:rPr>
        <w:t>To handle the severe class imbalance in our dataset, we optimize emotion classification using Focal Loss (Lin et al., 2017) with gamma=2.0 and label smoothing of 0.05. The focal modulating factor down-weights well-classified examples, focusing gradients on hard, misclassified samples. The loss is weighted using per-class alpha weights derived from inverse frequencies:</w:t>
      </w:r>
    </w:p>
    <w:tbl>
      <w:tblPr>
        <w:tblW w:type="auto" w:w="0"/>
        <w:tblLayout w:type="fixed"/>
        <w:tblLook w:firstColumn="1" w:firstRow="1" w:lastColumn="0" w:lastRow="0" w:noHBand="0" w:noVBand="1" w:val="04A0"/>
      </w:tblPr>
      <w:tblGrid>
        <w:gridCol w:w="9360"/>
      </w:tblGrid>
      <w:tr>
        <w:tc>
          <w:tcPr>
            <w:tcW w:type="dxa" w:w="9360"/>
            <w:shd w:fill="F0F4F8"/>
          </w:tcPr>
          <w:p>
            <w:pPr>
              <w:spacing w:before="160" w:after="160"/>
              <w:jc w:val="center"/>
            </w:pPr>
            <w:r>
              <w:rPr>
                <w:rFonts w:ascii="Consolas" w:hAnsi="Consolas"/>
                <w:b/>
                <w:i w:val="0"/>
                <w:color w:val="1A365D"/>
                <w:sz w:val="20"/>
              </w:rPr>
              <w:t>FL(p_t) = -alpha_t * (1 - p_t)^gamma * log(p_t)</w:t>
              <w:br/>
            </w:r>
            <w:r>
              <w:rPr>
                <w:rFonts w:ascii="Times New Roman" w:hAnsi="Times New Roman"/>
                <w:b w:val="0"/>
                <w:i/>
                <w:color w:val="2D3748"/>
                <w:sz w:val="18"/>
              </w:rPr>
              <w:t>where p_t is the predicted probability of the true class, and alpha_t is the inverse frequency weight.</w:t>
            </w:r>
          </w:p>
        </w:tc>
      </w:tr>
    </w:tbl>
    <w:p>
      <w:pPr>
        <w:keepNext/>
        <w:spacing w:before="240" w:after="120"/>
      </w:pPr>
      <w:r>
        <w:rPr>
          <w:rFonts w:ascii="Times New Roman" w:hAnsi="Times New Roman"/>
          <w:b/>
          <w:i w:val="0"/>
          <w:color w:val="2B6CB0"/>
          <w:sz w:val="27"/>
        </w:rPr>
        <w:t>4.5 Multi-Objective Loss Formulation</w:t>
      </w:r>
    </w:p>
    <w:p>
      <w:pPr>
        <w:spacing w:after="120" w:line="276" w:lineRule="auto"/>
      </w:pPr>
      <w:r>
        <w:rPr>
          <w:rFonts w:ascii="Times New Roman" w:hAnsi="Times New Roman"/>
          <w:b w:val="0"/>
          <w:i w:val="0"/>
          <w:color w:val="2D3748"/>
          <w:sz w:val="21"/>
        </w:rPr>
        <w:t>The overall network is trained using a multi-objective loss function combining all three heads:</w:t>
      </w:r>
    </w:p>
    <w:tbl>
      <w:tblPr>
        <w:tblW w:type="auto" w:w="0"/>
        <w:tblLayout w:type="fixed"/>
        <w:tblLook w:firstColumn="1" w:firstRow="1" w:lastColumn="0" w:lastRow="0" w:noHBand="0" w:noVBand="1" w:val="04A0"/>
      </w:tblPr>
      <w:tblGrid>
        <w:gridCol w:w="9360"/>
      </w:tblGrid>
      <w:tr>
        <w:tc>
          <w:tcPr>
            <w:tcW w:type="dxa" w:w="9360"/>
            <w:shd w:fill="F0F4F8"/>
          </w:tcPr>
          <w:p>
            <w:pPr>
              <w:spacing w:before="160" w:after="160"/>
              <w:jc w:val="center"/>
            </w:pPr>
            <w:r>
              <w:rPr>
                <w:rFonts w:ascii="Consolas" w:hAnsi="Consolas"/>
                <w:b/>
                <w:i w:val="0"/>
                <w:color w:val="1A365D"/>
                <w:sz w:val="20"/>
              </w:rPr>
              <w:t>L_total = (1.0 * L_SupCon) + L_Emotion(Focal) + (0.5 * L_Identity)</w:t>
              <w:br/>
            </w:r>
            <w:r>
              <w:rPr>
                <w:rFonts w:ascii="Times New Roman" w:hAnsi="Times New Roman"/>
                <w:b w:val="0"/>
                <w:i/>
                <w:color w:val="2D3748"/>
                <w:sz w:val="18"/>
              </w:rPr>
              <w:t>optimized end-to-end using the AdamW optimizer.</w:t>
            </w:r>
          </w:p>
        </w:tc>
      </w:tr>
    </w:tbl>
    <w:p>
      <w:r>
        <w:br w:type="page"/>
      </w:r>
    </w:p>
    <w:p>
      <w:pPr>
        <w:keepNext/>
        <w:spacing w:before="360" w:after="160"/>
      </w:pPr>
      <w:r>
        <w:rPr>
          <w:rFonts w:ascii="Times New Roman" w:hAnsi="Times New Roman"/>
          <w:b/>
          <w:i w:val="0"/>
          <w:color w:val="1A365D"/>
          <w:sz w:val="32"/>
        </w:rPr>
        <w:t>Chapter 5: Stage 4 — Macro-to-Micro Transfer Learning</w:t>
      </w:r>
    </w:p>
    <w:p>
      <w:pPr>
        <w:keepNext/>
        <w:spacing w:before="240" w:after="120"/>
      </w:pPr>
      <w:r>
        <w:rPr>
          <w:rFonts w:ascii="Times New Roman" w:hAnsi="Times New Roman"/>
          <w:b/>
          <w:i w:val="0"/>
          <w:color w:val="2B6CB0"/>
          <w:sz w:val="27"/>
        </w:rPr>
        <w:t>5.1 Two-Phase Training Strategy</w:t>
      </w:r>
    </w:p>
    <w:p>
      <w:pPr>
        <w:spacing w:after="120" w:line="276" w:lineRule="auto"/>
      </w:pPr>
      <w:r>
        <w:rPr>
          <w:rFonts w:ascii="Times New Roman" w:hAnsi="Times New Roman"/>
          <w:b w:val="0"/>
          <w:i w:val="0"/>
          <w:color w:val="2D3748"/>
          <w:sz w:val="21"/>
        </w:rPr>
        <w:t>Because micro-expression datasets are too small to train a spatiotemporal transformer from scratch without feature collapse, we design a two-phase transfer learning framework. Macro-expressions share the same facial Action Units (AUs) but feature larger muscle displacements and are easier to learn.</w:t>
      </w:r>
    </w:p>
    <w:p>
      <w:pPr>
        <w:spacing w:after="120" w:line="276" w:lineRule="auto"/>
      </w:pPr>
      <w:r>
        <w:rPr>
          <w:rFonts w:ascii="Times New Roman" w:hAnsi="Times New Roman"/>
          <w:b/>
          <w:i w:val="0"/>
          <w:color w:val="2D3748"/>
          <w:sz w:val="21"/>
        </w:rPr>
        <w:t xml:space="preserve">Phase 1 (Macro Pre-training): </w:t>
      </w:r>
      <w:r>
        <w:rPr>
          <w:rFonts w:ascii="Times New Roman" w:hAnsi="Times New Roman"/>
          <w:b w:val="0"/>
          <w:i w:val="0"/>
          <w:color w:val="2D3748"/>
          <w:sz w:val="21"/>
        </w:rPr>
        <w:t>We pre-train the full architecture on 293 macro-expression clips from the CAS(ME)² dataset. During this phase, the GRL adversary is disabled (identity_loss_weight = 0.0), allowing the model to learn facial kinematics without constraints. This pre-training achieves a validation accuracy of 70.37% over 50 epochs.</w:t>
      </w:r>
    </w:p>
    <w:p>
      <w:pPr>
        <w:spacing w:after="120" w:line="276" w:lineRule="auto"/>
      </w:pPr>
      <w:r>
        <w:rPr>
          <w:rFonts w:ascii="Times New Roman" w:hAnsi="Times New Roman"/>
          <w:b/>
          <w:i w:val="0"/>
          <w:color w:val="2D3748"/>
          <w:sz w:val="21"/>
        </w:rPr>
        <w:t xml:space="preserve">Phase 2 (Micro Fine-tuning): </w:t>
      </w:r>
      <w:r>
        <w:rPr>
          <w:rFonts w:ascii="Times New Roman" w:hAnsi="Times New Roman"/>
          <w:b w:val="0"/>
          <w:i w:val="0"/>
          <w:color w:val="2D3748"/>
          <w:sz w:val="21"/>
        </w:rPr>
        <w:t>We transfer the pre-trained weights to a micro-expression model. Because the number of subjects changes from N=20 (macro) to N=26 (micro), the final classification layer of the identity head is re-initialized using Xavier uniform initialization. We fine-tune the model on 305 micro-expression clips for 150 epochs with the GRL adversary enabled (identity_loss_weight = 0.40) to enforce subject-invariance.</w:t>
      </w:r>
    </w:p>
    <w:p>
      <w:pPr>
        <w:keepNext/>
        <w:spacing w:before="240" w:after="120"/>
      </w:pPr>
      <w:r>
        <w:rPr>
          <w:rFonts w:ascii="Times New Roman" w:hAnsi="Times New Roman"/>
          <w:b/>
          <w:i w:val="0"/>
          <w:color w:val="2B6CB0"/>
          <w:sz w:val="27"/>
        </w:rPr>
        <w:t>5.2 Partial Weight Transfer Mechanics</w:t>
      </w:r>
    </w:p>
    <w:p>
      <w:pPr>
        <w:spacing w:after="120" w:line="276" w:lineRule="auto"/>
      </w:pPr>
      <w:r>
        <w:rPr>
          <w:rFonts w:ascii="Times New Roman" w:hAnsi="Times New Roman"/>
          <w:b w:val="0"/>
          <w:i w:val="0"/>
          <w:color w:val="2D3748"/>
          <w:sz w:val="21"/>
        </w:rPr>
        <w:t>During weight transfer, 101 out of 103 parameter tensors are successfully transferred. The system uses a strict=False state dictionary mapping to automatically detect and skip shape mismatches in the identity classifier layer and the contrastive memory bank buffers, preventing runtime errors.</w:t>
      </w:r>
    </w:p>
    <w:tbl>
      <w:tblPr>
        <w:tblStyle w:val="TableGrid"/>
        <w:tblW w:type="auto" w:w="0"/>
        <w:tblLook w:firstColumn="1" w:firstRow="1" w:lastColumn="0" w:lastRow="0" w:noHBand="0" w:noVBand="1" w:val="04A0"/>
      </w:tblPr>
      <w:tblGrid>
        <w:gridCol w:w="3120"/>
        <w:gridCol w:w="3120"/>
        <w:gridCol w:w="3120"/>
      </w:tblGrid>
      <w:tr>
        <w:tc>
          <w:tcPr>
            <w:tcW w:type="dxa" w:w="3120"/>
            <w:shd w:fill="1A365D"/>
          </w:tcPr>
          <w:p>
            <w:pPr>
              <w:jc w:val="left"/>
            </w:pPr>
            <w:r>
              <w:rPr>
                <w:rFonts w:ascii="Times New Roman" w:hAnsi="Times New Roman"/>
                <w:b/>
                <w:i w:val="0"/>
                <w:color w:val="FFFFFF"/>
                <w:sz w:val="19"/>
              </w:rPr>
              <w:t>Hyperparameter</w:t>
            </w:r>
          </w:p>
        </w:tc>
        <w:tc>
          <w:tcPr>
            <w:tcW w:type="dxa" w:w="3120"/>
            <w:shd w:fill="1A365D"/>
          </w:tcPr>
          <w:p>
            <w:pPr>
              <w:jc w:val="left"/>
            </w:pPr>
            <w:r>
              <w:rPr>
                <w:rFonts w:ascii="Times New Roman" w:hAnsi="Times New Roman"/>
                <w:b/>
                <w:i w:val="0"/>
                <w:color w:val="FFFFFF"/>
                <w:sz w:val="19"/>
              </w:rPr>
              <w:t>Value Setting</w:t>
            </w:r>
          </w:p>
        </w:tc>
        <w:tc>
          <w:tcPr>
            <w:tcW w:type="dxa" w:w="3120"/>
            <w:shd w:fill="1A365D"/>
          </w:tcPr>
          <w:p>
            <w:pPr>
              <w:jc w:val="left"/>
            </w:pPr>
            <w:r>
              <w:rPr>
                <w:rFonts w:ascii="Times New Roman" w:hAnsi="Times New Roman"/>
                <w:b/>
                <w:i w:val="0"/>
                <w:color w:val="FFFFFF"/>
                <w:sz w:val="19"/>
              </w:rPr>
              <w:t>Mathematical/Practical Rationale</w:t>
            </w:r>
          </w:p>
        </w:tc>
      </w:tr>
      <w:tr>
        <w:tc>
          <w:tcPr>
            <w:tcW w:type="dxa" w:w="3120"/>
            <w:shd w:fill="F7FAFC"/>
          </w:tcPr>
          <w:p>
            <w:r>
              <w:rPr>
                <w:rFonts w:ascii="Times New Roman" w:hAnsi="Times New Roman"/>
                <w:b/>
                <w:i w:val="0"/>
                <w:color w:val="2D3748"/>
                <w:sz w:val="18"/>
              </w:rPr>
              <w:t>Optimizer</w:t>
            </w:r>
          </w:p>
        </w:tc>
        <w:tc>
          <w:tcPr>
            <w:tcW w:type="dxa" w:w="3120"/>
            <w:shd w:fill="F7FAFC"/>
          </w:tcPr>
          <w:p>
            <w:r>
              <w:rPr>
                <w:rFonts w:ascii="Times New Roman" w:hAnsi="Times New Roman"/>
                <w:b w:val="0"/>
                <w:i w:val="0"/>
                <w:color w:val="2D3748"/>
                <w:sz w:val="18"/>
              </w:rPr>
              <w:t>AdamW</w:t>
            </w:r>
          </w:p>
        </w:tc>
        <w:tc>
          <w:tcPr>
            <w:tcW w:type="dxa" w:w="3120"/>
            <w:shd w:fill="F7FAFC"/>
          </w:tcPr>
          <w:p>
            <w:r>
              <w:rPr>
                <w:rFonts w:ascii="Times New Roman" w:hAnsi="Times New Roman"/>
                <w:b w:val="0"/>
                <w:i w:val="0"/>
                <w:color w:val="2D3748"/>
                <w:sz w:val="18"/>
              </w:rPr>
              <w:t>Combines adaptive momentum (Adam) with decoupled weight decay to prevent overfitting.</w:t>
            </w:r>
          </w:p>
        </w:tc>
      </w:tr>
      <w:tr>
        <w:tc>
          <w:tcPr>
            <w:tcW w:type="dxa" w:w="3120"/>
            <w:shd w:fill="FFFFFF"/>
          </w:tcPr>
          <w:p>
            <w:r>
              <w:rPr>
                <w:rFonts w:ascii="Times New Roman" w:hAnsi="Times New Roman"/>
                <w:b/>
                <w:i w:val="0"/>
                <w:color w:val="2D3748"/>
                <w:sz w:val="18"/>
              </w:rPr>
              <w:t>Learning Rate (Stage 3)</w:t>
            </w:r>
          </w:p>
        </w:tc>
        <w:tc>
          <w:tcPr>
            <w:tcW w:type="dxa" w:w="3120"/>
            <w:shd w:fill="FFFFFF"/>
          </w:tcPr>
          <w:p>
            <w:r>
              <w:rPr>
                <w:rFonts w:ascii="Times New Roman" w:hAnsi="Times New Roman"/>
                <w:b w:val="0"/>
                <w:i w:val="0"/>
                <w:color w:val="2D3748"/>
                <w:sz w:val="18"/>
              </w:rPr>
              <w:t>1e-4</w:t>
            </w:r>
          </w:p>
        </w:tc>
        <w:tc>
          <w:tcPr>
            <w:tcW w:type="dxa" w:w="3120"/>
            <w:shd w:fill="FFFFFF"/>
          </w:tcPr>
          <w:p>
            <w:r>
              <w:rPr>
                <w:rFonts w:ascii="Times New Roman" w:hAnsi="Times New Roman"/>
                <w:b w:val="0"/>
                <w:i w:val="0"/>
                <w:color w:val="2D3748"/>
                <w:sz w:val="18"/>
              </w:rPr>
              <w:t>Optimal step size for joint contrastive adversarial optimization.</w:t>
            </w:r>
          </w:p>
        </w:tc>
      </w:tr>
      <w:tr>
        <w:tc>
          <w:tcPr>
            <w:tcW w:type="dxa" w:w="3120"/>
            <w:shd w:fill="F7FAFC"/>
          </w:tcPr>
          <w:p>
            <w:r>
              <w:rPr>
                <w:rFonts w:ascii="Times New Roman" w:hAnsi="Times New Roman"/>
                <w:b/>
                <w:i w:val="0"/>
                <w:color w:val="2D3748"/>
                <w:sz w:val="18"/>
              </w:rPr>
              <w:t>Learning Rate (Stage 4 P1)</w:t>
            </w:r>
          </w:p>
        </w:tc>
        <w:tc>
          <w:tcPr>
            <w:tcW w:type="dxa" w:w="3120"/>
            <w:shd w:fill="F7FAFC"/>
          </w:tcPr>
          <w:p>
            <w:r>
              <w:rPr>
                <w:rFonts w:ascii="Times New Roman" w:hAnsi="Times New Roman"/>
                <w:b w:val="0"/>
                <w:i w:val="0"/>
                <w:color w:val="2D3748"/>
                <w:sz w:val="18"/>
              </w:rPr>
              <w:t>1e-4</w:t>
            </w:r>
          </w:p>
        </w:tc>
        <w:tc>
          <w:tcPr>
            <w:tcW w:type="dxa" w:w="3120"/>
            <w:shd w:fill="F7FAFC"/>
          </w:tcPr>
          <w:p>
            <w:r>
              <w:rPr>
                <w:rFonts w:ascii="Times New Roman" w:hAnsi="Times New Roman"/>
                <w:b w:val="0"/>
                <w:i w:val="0"/>
                <w:color w:val="2D3748"/>
                <w:sz w:val="18"/>
              </w:rPr>
              <w:t>Moderate rate for macro pre-training with adversary disabled.</w:t>
            </w:r>
          </w:p>
        </w:tc>
      </w:tr>
      <w:tr>
        <w:tc>
          <w:tcPr>
            <w:tcW w:type="dxa" w:w="3120"/>
            <w:shd w:fill="FFFFFF"/>
          </w:tcPr>
          <w:p>
            <w:r>
              <w:rPr>
                <w:rFonts w:ascii="Times New Roman" w:hAnsi="Times New Roman"/>
                <w:b/>
                <w:i w:val="0"/>
                <w:color w:val="2D3748"/>
                <w:sz w:val="18"/>
              </w:rPr>
              <w:t>Learning Rate (Stage 4 P2)</w:t>
            </w:r>
          </w:p>
        </w:tc>
        <w:tc>
          <w:tcPr>
            <w:tcW w:type="dxa" w:w="3120"/>
            <w:shd w:fill="FFFFFF"/>
          </w:tcPr>
          <w:p>
            <w:r>
              <w:rPr>
                <w:rFonts w:ascii="Times New Roman" w:hAnsi="Times New Roman"/>
                <w:b w:val="0"/>
                <w:i w:val="0"/>
                <w:color w:val="2D3748"/>
                <w:sz w:val="18"/>
              </w:rPr>
              <w:t>5e-5</w:t>
            </w:r>
          </w:p>
        </w:tc>
        <w:tc>
          <w:tcPr>
            <w:tcW w:type="dxa" w:w="3120"/>
            <w:shd w:fill="FFFFFF"/>
          </w:tcPr>
          <w:p>
            <w:r>
              <w:rPr>
                <w:rFonts w:ascii="Times New Roman" w:hAnsi="Times New Roman"/>
                <w:b w:val="0"/>
                <w:i w:val="0"/>
                <w:color w:val="2D3748"/>
                <w:sz w:val="18"/>
              </w:rPr>
              <w:t>Smaller rate for micro fine-tuning to prevent destroying pre-trained dynamics.</w:t>
            </w:r>
          </w:p>
        </w:tc>
      </w:tr>
      <w:tr>
        <w:tc>
          <w:tcPr>
            <w:tcW w:type="dxa" w:w="3120"/>
            <w:shd w:fill="F7FAFC"/>
          </w:tcPr>
          <w:p>
            <w:r>
              <w:rPr>
                <w:rFonts w:ascii="Times New Roman" w:hAnsi="Times New Roman"/>
                <w:b/>
                <w:i w:val="0"/>
                <w:color w:val="2D3748"/>
                <w:sz w:val="18"/>
              </w:rPr>
              <w:t>Weight Decay (L2)</w:t>
            </w:r>
          </w:p>
        </w:tc>
        <w:tc>
          <w:tcPr>
            <w:tcW w:type="dxa" w:w="3120"/>
            <w:shd w:fill="F7FAFC"/>
          </w:tcPr>
          <w:p>
            <w:r>
              <w:rPr>
                <w:rFonts w:ascii="Times New Roman" w:hAnsi="Times New Roman"/>
                <w:b w:val="0"/>
                <w:i w:val="0"/>
                <w:color w:val="2D3748"/>
                <w:sz w:val="18"/>
              </w:rPr>
              <w:t>1e-4</w:t>
            </w:r>
          </w:p>
        </w:tc>
        <w:tc>
          <w:tcPr>
            <w:tcW w:type="dxa" w:w="3120"/>
            <w:shd w:fill="F7FAFC"/>
          </w:tcPr>
          <w:p>
            <w:r>
              <w:rPr>
                <w:rFonts w:ascii="Times New Roman" w:hAnsi="Times New Roman"/>
                <w:b w:val="0"/>
                <w:i w:val="0"/>
                <w:color w:val="2D3748"/>
                <w:sz w:val="18"/>
              </w:rPr>
              <w:t>Regularises weights to prevent memorization of static subject geometry.</w:t>
            </w:r>
          </w:p>
        </w:tc>
      </w:tr>
      <w:tr>
        <w:tc>
          <w:tcPr>
            <w:tcW w:type="dxa" w:w="3120"/>
            <w:shd w:fill="FFFFFF"/>
          </w:tcPr>
          <w:p>
            <w:r>
              <w:rPr>
                <w:rFonts w:ascii="Times New Roman" w:hAnsi="Times New Roman"/>
                <w:b/>
                <w:i w:val="0"/>
                <w:color w:val="2D3748"/>
                <w:sz w:val="18"/>
              </w:rPr>
              <w:t>Scheduler</w:t>
            </w:r>
          </w:p>
        </w:tc>
        <w:tc>
          <w:tcPr>
            <w:tcW w:type="dxa" w:w="3120"/>
            <w:shd w:fill="FFFFFF"/>
          </w:tcPr>
          <w:p>
            <w:r>
              <w:rPr>
                <w:rFonts w:ascii="Times New Roman" w:hAnsi="Times New Roman"/>
                <w:b w:val="0"/>
                <w:i w:val="0"/>
                <w:color w:val="2D3748"/>
                <w:sz w:val="18"/>
              </w:rPr>
              <w:t>CosineAnnealingLR</w:t>
            </w:r>
          </w:p>
        </w:tc>
        <w:tc>
          <w:tcPr>
            <w:tcW w:type="dxa" w:w="3120"/>
            <w:shd w:fill="FFFFFF"/>
          </w:tcPr>
          <w:p>
            <w:r>
              <w:rPr>
                <w:rFonts w:ascii="Times New Roman" w:hAnsi="Times New Roman"/>
                <w:b w:val="0"/>
                <w:i w:val="0"/>
                <w:color w:val="2D3748"/>
                <w:sz w:val="18"/>
              </w:rPr>
              <w:t>Decays learning rate following a cosine curve to a minimum (1e-7), promoting smooth convergence.</w:t>
            </w:r>
          </w:p>
        </w:tc>
      </w:tr>
      <w:tr>
        <w:tc>
          <w:tcPr>
            <w:tcW w:type="dxa" w:w="3120"/>
            <w:shd w:fill="F7FAFC"/>
          </w:tcPr>
          <w:p>
            <w:r>
              <w:rPr>
                <w:rFonts w:ascii="Times New Roman" w:hAnsi="Times New Roman"/>
                <w:b/>
                <w:i w:val="0"/>
                <w:color w:val="2D3748"/>
                <w:sz w:val="18"/>
              </w:rPr>
              <w:t>Physical Batch Size</w:t>
            </w:r>
          </w:p>
        </w:tc>
        <w:tc>
          <w:tcPr>
            <w:tcW w:type="dxa" w:w="3120"/>
            <w:shd w:fill="F7FAFC"/>
          </w:tcPr>
          <w:p>
            <w:r>
              <w:rPr>
                <w:rFonts w:ascii="Times New Roman" w:hAnsi="Times New Roman"/>
                <w:b w:val="0"/>
                <w:i w:val="0"/>
                <w:color w:val="2D3748"/>
                <w:sz w:val="18"/>
              </w:rPr>
              <w:t>2</w:t>
            </w:r>
          </w:p>
        </w:tc>
        <w:tc>
          <w:tcPr>
            <w:tcW w:type="dxa" w:w="3120"/>
            <w:shd w:fill="F7FAFC"/>
          </w:tcPr>
          <w:p>
            <w:r>
              <w:rPr>
                <w:rFonts w:ascii="Times New Roman" w:hAnsi="Times New Roman"/>
                <w:b w:val="0"/>
                <w:i w:val="0"/>
                <w:color w:val="2D3748"/>
                <w:sz w:val="18"/>
              </w:rPr>
              <w:t>Maximized batch size given GPU VRAM boundaries for 5D video tensors.</w:t>
            </w:r>
          </w:p>
        </w:tc>
      </w:tr>
      <w:tr>
        <w:tc>
          <w:tcPr>
            <w:tcW w:type="dxa" w:w="3120"/>
            <w:shd w:fill="FFFFFF"/>
          </w:tcPr>
          <w:p>
            <w:r>
              <w:rPr>
                <w:rFonts w:ascii="Times New Roman" w:hAnsi="Times New Roman"/>
                <w:b/>
                <w:i w:val="0"/>
                <w:color w:val="2D3748"/>
                <w:sz w:val="18"/>
              </w:rPr>
              <w:t>Gradient Accumulation</w:t>
            </w:r>
          </w:p>
        </w:tc>
        <w:tc>
          <w:tcPr>
            <w:tcW w:type="dxa" w:w="3120"/>
            <w:shd w:fill="FFFFFF"/>
          </w:tcPr>
          <w:p>
            <w:r>
              <w:rPr>
                <w:rFonts w:ascii="Times New Roman" w:hAnsi="Times New Roman"/>
                <w:b w:val="0"/>
                <w:i w:val="0"/>
                <w:color w:val="2D3748"/>
                <w:sz w:val="18"/>
              </w:rPr>
              <w:t>4 steps</w:t>
            </w:r>
          </w:p>
        </w:tc>
        <w:tc>
          <w:tcPr>
            <w:tcW w:type="dxa" w:w="3120"/>
            <w:shd w:fill="FFFFFF"/>
          </w:tcPr>
          <w:p>
            <w:r>
              <w:rPr>
                <w:rFonts w:ascii="Times New Roman" w:hAnsi="Times New Roman"/>
                <w:b w:val="0"/>
                <w:i w:val="0"/>
                <w:color w:val="2D3748"/>
                <w:sz w:val="18"/>
              </w:rPr>
              <w:t>Accumulates gradients over 4 batches before optimizer steps, enabling effective batch size = 8.</w:t>
            </w:r>
          </w:p>
        </w:tc>
      </w:tr>
      <w:tr>
        <w:tc>
          <w:tcPr>
            <w:tcW w:type="dxa" w:w="3120"/>
            <w:shd w:fill="F7FAFC"/>
          </w:tcPr>
          <w:p>
            <w:r>
              <w:rPr>
                <w:rFonts w:ascii="Times New Roman" w:hAnsi="Times New Roman"/>
                <w:b/>
                <w:i w:val="0"/>
                <w:color w:val="2D3748"/>
                <w:sz w:val="18"/>
              </w:rPr>
              <w:t>GRL Schedule Gamma (γ)</w:t>
            </w:r>
          </w:p>
        </w:tc>
        <w:tc>
          <w:tcPr>
            <w:tcW w:type="dxa" w:w="3120"/>
            <w:shd w:fill="F7FAFC"/>
          </w:tcPr>
          <w:p>
            <w:r>
              <w:rPr>
                <w:rFonts w:ascii="Times New Roman" w:hAnsi="Times New Roman"/>
                <w:b w:val="0"/>
                <w:i w:val="0"/>
                <w:color w:val="2D3748"/>
                <w:sz w:val="18"/>
              </w:rPr>
              <w:t>10.0</w:t>
            </w:r>
          </w:p>
        </w:tc>
        <w:tc>
          <w:tcPr>
            <w:tcW w:type="dxa" w:w="3120"/>
            <w:shd w:fill="F7FAFC"/>
          </w:tcPr>
          <w:p>
            <w:r>
              <w:rPr>
                <w:rFonts w:ascii="Times New Roman" w:hAnsi="Times New Roman"/>
                <w:b w:val="0"/>
                <w:i w:val="0"/>
                <w:color w:val="2D3748"/>
                <w:sz w:val="18"/>
              </w:rPr>
              <w:t>Sigmoid steepness parameter. Ramps GRL lambda smoothly from 0.0 to 1.0.</w:t>
            </w:r>
          </w:p>
        </w:tc>
      </w:tr>
      <w:tr>
        <w:tc>
          <w:tcPr>
            <w:tcW w:type="dxa" w:w="3120"/>
            <w:shd w:fill="FFFFFF"/>
          </w:tcPr>
          <w:p>
            <w:r>
              <w:rPr>
                <w:rFonts w:ascii="Times New Roman" w:hAnsi="Times New Roman"/>
                <w:b/>
                <w:i w:val="0"/>
                <w:color w:val="2D3748"/>
                <w:sz w:val="18"/>
              </w:rPr>
              <w:t>SupCon Temp (τ)</w:t>
            </w:r>
          </w:p>
        </w:tc>
        <w:tc>
          <w:tcPr>
            <w:tcW w:type="dxa" w:w="3120"/>
            <w:shd w:fill="FFFFFF"/>
          </w:tcPr>
          <w:p>
            <w:r>
              <w:rPr>
                <w:rFonts w:ascii="Times New Roman" w:hAnsi="Times New Roman"/>
                <w:b w:val="0"/>
                <w:i w:val="0"/>
                <w:color w:val="2D3748"/>
                <w:sz w:val="18"/>
              </w:rPr>
              <w:t>0.10</w:t>
            </w:r>
          </w:p>
        </w:tc>
        <w:tc>
          <w:tcPr>
            <w:tcW w:type="dxa" w:w="3120"/>
            <w:shd w:fill="FFFFFF"/>
          </w:tcPr>
          <w:p>
            <w:r>
              <w:rPr>
                <w:rFonts w:ascii="Times New Roman" w:hAnsi="Times New Roman"/>
                <w:b w:val="0"/>
                <w:i w:val="0"/>
                <w:color w:val="2D3748"/>
                <w:sz w:val="18"/>
              </w:rPr>
              <w:t>Cos-similarity scaling. Lower temperature encourages tighter class-specific clustering.</w:t>
            </w:r>
          </w:p>
        </w:tc>
      </w:tr>
      <w:tr>
        <w:tc>
          <w:tcPr>
            <w:tcW w:type="dxa" w:w="3120"/>
            <w:shd w:fill="F7FAFC"/>
          </w:tcPr>
          <w:p>
            <w:r>
              <w:rPr>
                <w:rFonts w:ascii="Times New Roman" w:hAnsi="Times New Roman"/>
                <w:b/>
                <w:i w:val="0"/>
                <w:color w:val="2D3748"/>
                <w:sz w:val="18"/>
              </w:rPr>
              <w:t>XBM Queue Size (M)</w:t>
            </w:r>
          </w:p>
        </w:tc>
        <w:tc>
          <w:tcPr>
            <w:tcW w:type="dxa" w:w="3120"/>
            <w:shd w:fill="F7FAFC"/>
          </w:tcPr>
          <w:p>
            <w:r>
              <w:rPr>
                <w:rFonts w:ascii="Times New Roman" w:hAnsi="Times New Roman"/>
                <w:b w:val="0"/>
                <w:i w:val="0"/>
                <w:color w:val="2D3748"/>
                <w:sz w:val="18"/>
              </w:rPr>
              <w:t>64</w:t>
            </w:r>
          </w:p>
        </w:tc>
        <w:tc>
          <w:tcPr>
            <w:tcW w:type="dxa" w:w="3120"/>
            <w:shd w:fill="F7FAFC"/>
          </w:tcPr>
          <w:p>
            <w:r>
              <w:rPr>
                <w:rFonts w:ascii="Times New Roman" w:hAnsi="Times New Roman"/>
                <w:b w:val="0"/>
                <w:i w:val="0"/>
                <w:color w:val="2D3748"/>
                <w:sz w:val="18"/>
              </w:rPr>
              <w:t>FIFO memory buffer. Expands contrastive anchors to M+B targets to enable mini-batch SupCon.</w:t>
            </w:r>
          </w:p>
        </w:tc>
      </w:tr>
    </w:tbl>
    <w:p>
      <w:pPr>
        <w:spacing w:after="200"/>
      </w:pPr>
    </w:p>
    <w:p>
      <w:pPr>
        <w:keepNext/>
        <w:spacing w:before="240" w:after="120"/>
      </w:pPr>
      <w:r>
        <w:rPr>
          <w:rFonts w:ascii="Times New Roman" w:hAnsi="Times New Roman"/>
          <w:b/>
          <w:i w:val="0"/>
          <w:color w:val="2B6CB0"/>
          <w:sz w:val="27"/>
        </w:rPr>
        <w:t>5.3 Parameter Count Analysis</w:t>
      </w:r>
    </w:p>
    <w:p>
      <w:pPr>
        <w:spacing w:after="120" w:line="276" w:lineRule="auto"/>
      </w:pPr>
      <w:r>
        <w:rPr>
          <w:rFonts w:ascii="Times New Roman" w:hAnsi="Times New Roman"/>
          <w:b w:val="0"/>
          <w:i w:val="0"/>
          <w:color w:val="2D3748"/>
          <w:sz w:val="21"/>
        </w:rPr>
        <w:t>Table 5.2 details the parameter counts for each module. The entire network contains only 382,094 parameters, representing an extremely parameter-efficient model. This small model size is critical for preventing overfitting on small MER datasets.</w:t>
      </w:r>
    </w:p>
    <w:tbl>
      <w:tblPr>
        <w:tblStyle w:val="TableGrid"/>
        <w:tblW w:type="auto" w:w="0"/>
        <w:tblLook w:firstColumn="1" w:firstRow="1" w:lastColumn="0" w:lastRow="0" w:noHBand="0" w:noVBand="1" w:val="04A0"/>
      </w:tblPr>
      <w:tblGrid>
        <w:gridCol w:w="3120"/>
        <w:gridCol w:w="3120"/>
        <w:gridCol w:w="3120"/>
      </w:tblGrid>
      <w:tr>
        <w:tc>
          <w:tcPr>
            <w:tcW w:type="dxa" w:w="3120"/>
            <w:shd w:fill="1A365D"/>
          </w:tcPr>
          <w:p>
            <w:pPr>
              <w:jc w:val="left"/>
            </w:pPr>
            <w:r>
              <w:rPr>
                <w:rFonts w:ascii="Times New Roman" w:hAnsi="Times New Roman"/>
                <w:b/>
                <w:i w:val="0"/>
                <w:color w:val="FFFFFF"/>
                <w:sz w:val="19"/>
              </w:rPr>
              <w:t>Component Layer</w:t>
            </w:r>
          </w:p>
        </w:tc>
        <w:tc>
          <w:tcPr>
            <w:tcW w:type="dxa" w:w="3120"/>
            <w:shd w:fill="1A365D"/>
          </w:tcPr>
          <w:p>
            <w:pPr>
              <w:jc w:val="left"/>
            </w:pPr>
            <w:r>
              <w:rPr>
                <w:rFonts w:ascii="Times New Roman" w:hAnsi="Times New Roman"/>
                <w:b/>
                <w:i w:val="0"/>
                <w:color w:val="FFFFFF"/>
                <w:sz w:val="19"/>
              </w:rPr>
              <w:t>Trainable Parameter Count</w:t>
            </w:r>
          </w:p>
        </w:tc>
        <w:tc>
          <w:tcPr>
            <w:tcW w:type="dxa" w:w="3120"/>
            <w:shd w:fill="1A365D"/>
          </w:tcPr>
          <w:p>
            <w:pPr>
              <w:jc w:val="left"/>
            </w:pPr>
            <w:r>
              <w:rPr>
                <w:rFonts w:ascii="Times New Roman" w:hAnsi="Times New Roman"/>
                <w:b/>
                <w:i w:val="0"/>
                <w:color w:val="FFFFFF"/>
                <w:sz w:val="19"/>
              </w:rPr>
              <w:t>Percentage of Total Model</w:t>
            </w:r>
          </w:p>
        </w:tc>
      </w:tr>
      <w:tr>
        <w:tc>
          <w:tcPr>
            <w:tcW w:type="dxa" w:w="3120"/>
            <w:shd w:fill="F7FAFC"/>
          </w:tcPr>
          <w:p>
            <w:r>
              <w:rPr>
                <w:rFonts w:ascii="Times New Roman" w:hAnsi="Times New Roman"/>
                <w:b/>
                <w:i w:val="0"/>
                <w:color w:val="2D3748"/>
                <w:sz w:val="18"/>
              </w:rPr>
              <w:t>Backbone (Shallow 3 stream 3D-CNN)</w:t>
            </w:r>
          </w:p>
        </w:tc>
        <w:tc>
          <w:tcPr>
            <w:tcW w:type="dxa" w:w="3120"/>
            <w:shd w:fill="F7FAFC"/>
          </w:tcPr>
          <w:p>
            <w:r>
              <w:rPr>
                <w:rFonts w:ascii="Times New Roman" w:hAnsi="Times New Roman"/>
                <w:b w:val="0"/>
                <w:i w:val="0"/>
                <w:color w:val="2D3748"/>
                <w:sz w:val="18"/>
              </w:rPr>
              <w:t>363,280</w:t>
            </w:r>
          </w:p>
        </w:tc>
        <w:tc>
          <w:tcPr>
            <w:tcW w:type="dxa" w:w="3120"/>
            <w:shd w:fill="F7FAFC"/>
          </w:tcPr>
          <w:p>
            <w:r>
              <w:rPr>
                <w:rFonts w:ascii="Times New Roman" w:hAnsi="Times New Roman"/>
                <w:b w:val="0"/>
                <w:i w:val="0"/>
                <w:color w:val="2D3748"/>
                <w:sz w:val="18"/>
              </w:rPr>
              <w:t>95.07%</w:t>
            </w:r>
          </w:p>
        </w:tc>
      </w:tr>
      <w:tr>
        <w:tc>
          <w:tcPr>
            <w:tcW w:type="dxa" w:w="3120"/>
            <w:shd w:fill="FFFFFF"/>
          </w:tcPr>
          <w:p>
            <w:r>
              <w:rPr>
                <w:rFonts w:ascii="Times New Roman" w:hAnsi="Times New Roman"/>
                <w:b/>
                <w:i w:val="0"/>
                <w:color w:val="2D3748"/>
                <w:sz w:val="18"/>
              </w:rPr>
              <w:t>Projection Head (2-layer MLP)</w:t>
            </w:r>
          </w:p>
        </w:tc>
        <w:tc>
          <w:tcPr>
            <w:tcW w:type="dxa" w:w="3120"/>
            <w:shd w:fill="FFFFFF"/>
          </w:tcPr>
          <w:p>
            <w:r>
              <w:rPr>
                <w:rFonts w:ascii="Times New Roman" w:hAnsi="Times New Roman"/>
                <w:b w:val="0"/>
                <w:i w:val="0"/>
                <w:color w:val="2D3748"/>
                <w:sz w:val="18"/>
              </w:rPr>
              <w:t>15,520</w:t>
            </w:r>
          </w:p>
        </w:tc>
        <w:tc>
          <w:tcPr>
            <w:tcW w:type="dxa" w:w="3120"/>
            <w:shd w:fill="FFFFFF"/>
          </w:tcPr>
          <w:p>
            <w:r>
              <w:rPr>
                <w:rFonts w:ascii="Times New Roman" w:hAnsi="Times New Roman"/>
                <w:b w:val="0"/>
                <w:i w:val="0"/>
                <w:color w:val="2D3748"/>
                <w:sz w:val="18"/>
              </w:rPr>
              <w:t>4.06%</w:t>
            </w:r>
          </w:p>
        </w:tc>
      </w:tr>
      <w:tr>
        <w:tc>
          <w:tcPr>
            <w:tcW w:type="dxa" w:w="3120"/>
            <w:shd w:fill="F7FAFC"/>
          </w:tcPr>
          <w:p>
            <w:r>
              <w:rPr>
                <w:rFonts w:ascii="Times New Roman" w:hAnsi="Times New Roman"/>
                <w:b/>
                <w:i w:val="0"/>
                <w:color w:val="2D3748"/>
                <w:sz w:val="18"/>
              </w:rPr>
              <w:t>Emotion Classification Head</w:t>
            </w:r>
          </w:p>
        </w:tc>
        <w:tc>
          <w:tcPr>
            <w:tcW w:type="dxa" w:w="3120"/>
            <w:shd w:fill="F7FAFC"/>
          </w:tcPr>
          <w:p>
            <w:r>
              <w:rPr>
                <w:rFonts w:ascii="Times New Roman" w:hAnsi="Times New Roman"/>
                <w:b w:val="0"/>
                <w:i w:val="0"/>
                <w:color w:val="2D3748"/>
                <w:sz w:val="18"/>
              </w:rPr>
              <w:t>580</w:t>
            </w:r>
          </w:p>
        </w:tc>
        <w:tc>
          <w:tcPr>
            <w:tcW w:type="dxa" w:w="3120"/>
            <w:shd w:fill="F7FAFC"/>
          </w:tcPr>
          <w:p>
            <w:r>
              <w:rPr>
                <w:rFonts w:ascii="Times New Roman" w:hAnsi="Times New Roman"/>
                <w:b w:val="0"/>
                <w:i w:val="0"/>
                <w:color w:val="2D3748"/>
                <w:sz w:val="18"/>
              </w:rPr>
              <w:t>0.15%</w:t>
            </w:r>
          </w:p>
        </w:tc>
      </w:tr>
      <w:tr>
        <w:tc>
          <w:tcPr>
            <w:tcW w:type="dxa" w:w="3120"/>
            <w:shd w:fill="FFFFFF"/>
          </w:tcPr>
          <w:p>
            <w:r>
              <w:rPr>
                <w:rFonts w:ascii="Times New Roman" w:hAnsi="Times New Roman"/>
                <w:b/>
                <w:i w:val="0"/>
                <w:color w:val="2D3748"/>
                <w:sz w:val="18"/>
              </w:rPr>
              <w:t>Identity Classifier Head</w:t>
            </w:r>
          </w:p>
        </w:tc>
        <w:tc>
          <w:tcPr>
            <w:tcW w:type="dxa" w:w="3120"/>
            <w:shd w:fill="FFFFFF"/>
          </w:tcPr>
          <w:p>
            <w:r>
              <w:rPr>
                <w:rFonts w:ascii="Times New Roman" w:hAnsi="Times New Roman"/>
                <w:b w:val="0"/>
                <w:i w:val="0"/>
                <w:color w:val="2D3748"/>
                <w:sz w:val="18"/>
              </w:rPr>
              <w:t>2,714</w:t>
            </w:r>
          </w:p>
        </w:tc>
        <w:tc>
          <w:tcPr>
            <w:tcW w:type="dxa" w:w="3120"/>
            <w:shd w:fill="FFFFFF"/>
          </w:tcPr>
          <w:p>
            <w:r>
              <w:rPr>
                <w:rFonts w:ascii="Times New Roman" w:hAnsi="Times New Roman"/>
                <w:b w:val="0"/>
                <w:i w:val="0"/>
                <w:color w:val="2D3748"/>
                <w:sz w:val="18"/>
              </w:rPr>
              <w:t>0.72%</w:t>
            </w:r>
          </w:p>
        </w:tc>
      </w:tr>
      <w:tr>
        <w:tc>
          <w:tcPr>
            <w:tcW w:type="dxa" w:w="3120"/>
            <w:shd w:fill="F7FAFC"/>
          </w:tcPr>
          <w:p>
            <w:r>
              <w:rPr>
                <w:rFonts w:ascii="Times New Roman" w:hAnsi="Times New Roman"/>
                <w:b/>
                <w:i w:val="0"/>
                <w:color w:val="2D3748"/>
                <w:sz w:val="18"/>
              </w:rPr>
              <w:t>AdversarialMERWrapper Total</w:t>
            </w:r>
          </w:p>
        </w:tc>
        <w:tc>
          <w:tcPr>
            <w:tcW w:type="dxa" w:w="3120"/>
            <w:shd w:fill="F7FAFC"/>
          </w:tcPr>
          <w:p>
            <w:r>
              <w:rPr>
                <w:rFonts w:ascii="Times New Roman" w:hAnsi="Times New Roman"/>
                <w:b w:val="0"/>
                <w:i w:val="0"/>
                <w:color w:val="2D3748"/>
                <w:sz w:val="18"/>
              </w:rPr>
              <w:t>382,094</w:t>
            </w:r>
          </w:p>
        </w:tc>
        <w:tc>
          <w:tcPr>
            <w:tcW w:type="dxa" w:w="3120"/>
            <w:shd w:fill="F7FAFC"/>
          </w:tcPr>
          <w:p>
            <w:r>
              <w:rPr>
                <w:rFonts w:ascii="Times New Roman" w:hAnsi="Times New Roman"/>
                <w:b w:val="0"/>
                <w:i w:val="0"/>
                <w:color w:val="2D3748"/>
                <w:sz w:val="18"/>
              </w:rPr>
              <w:t>100.00%</w:t>
            </w:r>
          </w:p>
        </w:tc>
      </w:tr>
    </w:tbl>
    <w:p>
      <w:pPr>
        <w:spacing w:after="200"/>
      </w:pPr>
    </w:p>
    <w:p>
      <w:r>
        <w:br w:type="page"/>
      </w:r>
    </w:p>
    <w:p>
      <w:pPr>
        <w:keepNext/>
        <w:spacing w:before="360" w:after="160"/>
      </w:pPr>
      <w:r>
        <w:rPr>
          <w:rFonts w:ascii="Times New Roman" w:hAnsi="Times New Roman"/>
          <w:b/>
          <w:i w:val="0"/>
          <w:color w:val="1A365D"/>
          <w:sz w:val="32"/>
        </w:rPr>
        <w:t>Chapter 6: Experiments and Quantitative Results</w:t>
      </w:r>
    </w:p>
    <w:p>
      <w:pPr>
        <w:keepNext/>
        <w:spacing w:before="240" w:after="120"/>
      </w:pPr>
      <w:r>
        <w:rPr>
          <w:rFonts w:ascii="Times New Roman" w:hAnsi="Times New Roman"/>
          <w:b/>
          <w:i w:val="0"/>
          <w:color w:val="2B6CB0"/>
          <w:sz w:val="27"/>
        </w:rPr>
        <w:t>6.1 Hardware and Environment Setup</w:t>
      </w:r>
    </w:p>
    <w:p>
      <w:pPr>
        <w:spacing w:after="120" w:line="276" w:lineRule="auto"/>
      </w:pPr>
      <w:r>
        <w:rPr>
          <w:rFonts w:ascii="Times New Roman" w:hAnsi="Times New Roman"/>
          <w:b w:val="0"/>
          <w:i w:val="0"/>
          <w:color w:val="2D3748"/>
          <w:sz w:val="21"/>
        </w:rPr>
        <w:t>All experiments were conducted on a single laptop containing an NVIDIA GeForce RTX 4060 Laptop GPU with 8.6 GB of VRAM. The model was implemented in PyTorch, utilizing CUDA-acceleration. The random seed was fixed to 42 for reproducibility.</w:t>
      </w:r>
    </w:p>
    <w:p>
      <w:pPr>
        <w:keepNext/>
        <w:spacing w:before="240" w:after="120"/>
      </w:pPr>
      <w:r>
        <w:rPr>
          <w:rFonts w:ascii="Times New Roman" w:hAnsi="Times New Roman"/>
          <w:b/>
          <w:i w:val="0"/>
          <w:color w:val="2B6CB0"/>
          <w:sz w:val="27"/>
        </w:rPr>
        <w:t>6.2 Exploratory Data Analysis (EDA) Plots</w:t>
      </w:r>
    </w:p>
    <w:p>
      <w:pPr>
        <w:spacing w:after="120" w:line="276" w:lineRule="auto"/>
      </w:pPr>
      <w:r>
        <w:rPr>
          <w:rFonts w:ascii="Times New Roman" w:hAnsi="Times New Roman"/>
          <w:b w:val="0"/>
          <w:i w:val="0"/>
          <w:color w:val="2D3748"/>
          <w:sz w:val="21"/>
        </w:rPr>
        <w:t>The unified dataset exhibits severe class imbalance. Negative emotions and Others dominate both the micro- and macro-expression sets, while Positive and Surprise emotions are under-represented.</w:t>
      </w:r>
    </w:p>
    <w:p>
      <w:pPr>
        <w:spacing w:before="200"/>
      </w:pPr>
    </w:p>
    <w:p>
      <w:pPr>
        <w:jc w:val="center"/>
      </w:pPr>
      <w:r>
        <w:drawing>
          <wp:inline xmlns:a="http://schemas.openxmlformats.org/drawingml/2006/main" xmlns:pic="http://schemas.openxmlformats.org/drawingml/2006/picture">
            <wp:extent cx="4572000" cy="2423583"/>
            <wp:docPr id="1" name="Picture 1"/>
            <wp:cNvGraphicFramePr>
              <a:graphicFrameLocks noChangeAspect="1"/>
            </wp:cNvGraphicFramePr>
            <a:graphic>
              <a:graphicData uri="http://schemas.openxmlformats.org/drawingml/2006/picture">
                <pic:pic>
                  <pic:nvPicPr>
                    <pic:cNvPr id="0" name="eda_micro_distribution.png"/>
                    <pic:cNvPicPr/>
                  </pic:nvPicPr>
                  <pic:blipFill>
                    <a:blip r:embed="rId9"/>
                    <a:stretch>
                      <a:fillRect/>
                    </a:stretch>
                  </pic:blipFill>
                  <pic:spPr>
                    <a:xfrm>
                      <a:off x="0" y="0"/>
                      <a:ext cx="4572000" cy="2423583"/>
                    </a:xfrm>
                    <a:prstGeom prst="rect"/>
                  </pic:spPr>
                </pic:pic>
              </a:graphicData>
            </a:graphic>
          </wp:inline>
        </w:drawing>
      </w:r>
    </w:p>
    <w:p>
      <w:pPr>
        <w:spacing w:after="280"/>
        <w:jc w:val="center"/>
      </w:pPr>
      <w:r>
        <w:rPr>
          <w:rFonts w:ascii="Times New Roman" w:hAnsi="Times New Roman"/>
          <w:b w:val="0"/>
          <w:i/>
          <w:color w:val="2D3748"/>
          <w:sz w:val="19"/>
        </w:rPr>
        <w:t>Figure: Unified Micro-Expression Class Distribution (CASME II &amp; CAS(ME)²)</w:t>
      </w:r>
    </w:p>
    <w:p>
      <w:pPr>
        <w:spacing w:before="200"/>
      </w:pPr>
    </w:p>
    <w:p>
      <w:pPr>
        <w:jc w:val="center"/>
      </w:pPr>
      <w:r>
        <w:drawing>
          <wp:inline xmlns:a="http://schemas.openxmlformats.org/drawingml/2006/main" xmlns:pic="http://schemas.openxmlformats.org/drawingml/2006/picture">
            <wp:extent cx="4572000" cy="2558622"/>
            <wp:docPr id="2" name="Picture 2"/>
            <wp:cNvGraphicFramePr>
              <a:graphicFrameLocks noChangeAspect="1"/>
            </wp:cNvGraphicFramePr>
            <a:graphic>
              <a:graphicData uri="http://schemas.openxmlformats.org/drawingml/2006/picture">
                <pic:pic>
                  <pic:nvPicPr>
                    <pic:cNvPr id="0" name="eda_macro_distribution.png"/>
                    <pic:cNvPicPr/>
                  </pic:nvPicPr>
                  <pic:blipFill>
                    <a:blip r:embed="rId10"/>
                    <a:stretch>
                      <a:fillRect/>
                    </a:stretch>
                  </pic:blipFill>
                  <pic:spPr>
                    <a:xfrm>
                      <a:off x="0" y="0"/>
                      <a:ext cx="4572000" cy="2558622"/>
                    </a:xfrm>
                    <a:prstGeom prst="rect"/>
                  </pic:spPr>
                </pic:pic>
              </a:graphicData>
            </a:graphic>
          </wp:inline>
        </w:drawing>
      </w:r>
    </w:p>
    <w:p>
      <w:pPr>
        <w:spacing w:after="280"/>
        <w:jc w:val="center"/>
      </w:pPr>
      <w:r>
        <w:rPr>
          <w:rFonts w:ascii="Times New Roman" w:hAnsi="Times New Roman"/>
          <w:b w:val="0"/>
          <w:i/>
          <w:color w:val="2D3748"/>
          <w:sz w:val="19"/>
        </w:rPr>
        <w:t>Figure: Unified Macro-Expression Class Distribution (CAS(ME)²)</w:t>
      </w:r>
    </w:p>
    <w:p>
      <w:pPr>
        <w:keepNext/>
        <w:spacing w:before="240" w:after="120"/>
      </w:pPr>
      <w:r>
        <w:rPr>
          <w:rFonts w:ascii="Times New Roman" w:hAnsi="Times New Roman"/>
          <w:b/>
          <w:i w:val="0"/>
          <w:color w:val="2B6CB0"/>
          <w:sz w:val="27"/>
        </w:rPr>
        <w:t>6.3 Quantitative Performance Summary</w:t>
      </w:r>
    </w:p>
    <w:p>
      <w:pPr>
        <w:spacing w:after="120" w:line="276" w:lineRule="auto"/>
      </w:pPr>
      <w:r>
        <w:rPr>
          <w:rFonts w:ascii="Times New Roman" w:hAnsi="Times New Roman"/>
          <w:b w:val="0"/>
          <w:i w:val="0"/>
          <w:color w:val="2D3748"/>
          <w:sz w:val="21"/>
        </w:rPr>
        <w:t>We evaluated the pipeline under two configurations: Stage 3 trained from scratch using 26-fold Leave-One-Subject-Out (LOSO) cross-validation, and Stage 4 trained using the two-phase Macro-to-Micro transfer learning framework on a subject-disjoint validation split. The quantitative results are summarized in Table 6.1: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A365D"/>
          </w:tcPr>
          <w:p>
            <w:pPr>
              <w:jc w:val="left"/>
            </w:pPr>
            <w:r>
              <w:rPr>
                <w:rFonts w:ascii="Times New Roman" w:hAnsi="Times New Roman"/>
                <w:b/>
                <w:i w:val="0"/>
                <w:color w:val="FFFFFF"/>
                <w:sz w:val="19"/>
              </w:rPr>
              <w:t>Stage / Training Phase</w:t>
            </w:r>
          </w:p>
        </w:tc>
        <w:tc>
          <w:tcPr>
            <w:tcW w:type="dxa" w:w="1872"/>
            <w:shd w:fill="1A365D"/>
          </w:tcPr>
          <w:p>
            <w:pPr>
              <w:jc w:val="left"/>
            </w:pPr>
            <w:r>
              <w:rPr>
                <w:rFonts w:ascii="Times New Roman" w:hAnsi="Times New Roman"/>
                <w:b/>
                <w:i w:val="0"/>
                <w:color w:val="FFFFFF"/>
                <w:sz w:val="19"/>
              </w:rPr>
              <w:t>Validation Protocol</w:t>
            </w:r>
          </w:p>
        </w:tc>
        <w:tc>
          <w:tcPr>
            <w:tcW w:type="dxa" w:w="1872"/>
            <w:shd w:fill="1A365D"/>
          </w:tcPr>
          <w:p>
            <w:pPr>
              <w:jc w:val="left"/>
            </w:pPr>
            <w:r>
              <w:rPr>
                <w:rFonts w:ascii="Times New Roman" w:hAnsi="Times New Roman"/>
                <w:b/>
                <w:i w:val="0"/>
                <w:color w:val="FFFFFF"/>
                <w:sz w:val="19"/>
              </w:rPr>
              <w:t>Target Dataset</w:t>
            </w:r>
          </w:p>
        </w:tc>
        <w:tc>
          <w:tcPr>
            <w:tcW w:type="dxa" w:w="1872"/>
            <w:shd w:fill="1A365D"/>
          </w:tcPr>
          <w:p>
            <w:pPr>
              <w:jc w:val="left"/>
            </w:pPr>
            <w:r>
              <w:rPr>
                <w:rFonts w:ascii="Times New Roman" w:hAnsi="Times New Roman"/>
                <w:b/>
                <w:i w:val="0"/>
                <w:color w:val="FFFFFF"/>
                <w:sz w:val="19"/>
              </w:rPr>
              <w:t>Best Validation Accuracy</w:t>
            </w:r>
          </w:p>
        </w:tc>
        <w:tc>
          <w:tcPr>
            <w:tcW w:type="dxa" w:w="1872"/>
            <w:shd w:fill="1A365D"/>
          </w:tcPr>
          <w:p>
            <w:pPr>
              <w:jc w:val="left"/>
            </w:pPr>
            <w:r>
              <w:rPr>
                <w:rFonts w:ascii="Times New Roman" w:hAnsi="Times New Roman"/>
                <w:b/>
                <w:i w:val="0"/>
                <w:color w:val="FFFFFF"/>
                <w:sz w:val="19"/>
              </w:rPr>
              <w:t>Macro F1-Score</w:t>
            </w:r>
          </w:p>
        </w:tc>
      </w:tr>
      <w:tr>
        <w:tc>
          <w:tcPr>
            <w:tcW w:type="dxa" w:w="1872"/>
            <w:shd w:fill="F7FAFC"/>
          </w:tcPr>
          <w:p>
            <w:r>
              <w:rPr>
                <w:rFonts w:ascii="Times New Roman" w:hAnsi="Times New Roman"/>
                <w:b/>
                <w:i w:val="0"/>
                <w:color w:val="2D3748"/>
                <w:sz w:val="18"/>
              </w:rPr>
              <w:t>Stage 3 (Adversarial GRL + SupCon)</w:t>
            </w:r>
          </w:p>
        </w:tc>
        <w:tc>
          <w:tcPr>
            <w:tcW w:type="dxa" w:w="1872"/>
            <w:shd w:fill="F7FAFC"/>
          </w:tcPr>
          <w:p>
            <w:r>
              <w:rPr>
                <w:rFonts w:ascii="Times New Roman" w:hAnsi="Times New Roman"/>
                <w:b w:val="0"/>
                <w:i w:val="0"/>
                <w:color w:val="2D3748"/>
                <w:sz w:val="18"/>
              </w:rPr>
              <w:t>26-Fold LOSO (Subject-Disjoint)</w:t>
            </w:r>
          </w:p>
        </w:tc>
        <w:tc>
          <w:tcPr>
            <w:tcW w:type="dxa" w:w="1872"/>
            <w:shd w:fill="F7FAFC"/>
          </w:tcPr>
          <w:p>
            <w:r>
              <w:rPr>
                <w:rFonts w:ascii="Times New Roman" w:hAnsi="Times New Roman"/>
                <w:b w:val="0"/>
                <w:i w:val="0"/>
                <w:color w:val="2D3748"/>
                <w:sz w:val="18"/>
              </w:rPr>
              <w:t>Micro-Expression Only (Unified)</w:t>
            </w:r>
          </w:p>
        </w:tc>
        <w:tc>
          <w:tcPr>
            <w:tcW w:type="dxa" w:w="1872"/>
            <w:shd w:fill="F7FAFC"/>
          </w:tcPr>
          <w:p>
            <w:r>
              <w:rPr>
                <w:rFonts w:ascii="Times New Roman" w:hAnsi="Times New Roman"/>
                <w:b w:val="0"/>
                <w:i w:val="0"/>
                <w:color w:val="2D3748"/>
                <w:sz w:val="18"/>
              </w:rPr>
              <w:t>58.11% (Grand Mean)</w:t>
            </w:r>
          </w:p>
        </w:tc>
        <w:tc>
          <w:tcPr>
            <w:tcW w:type="dxa" w:w="1872"/>
            <w:shd w:fill="F7FAFC"/>
          </w:tcPr>
          <w:p>
            <w:r>
              <w:rPr>
                <w:rFonts w:ascii="Times New Roman" w:hAnsi="Times New Roman"/>
                <w:b w:val="0"/>
                <w:i w:val="0"/>
                <w:color w:val="2D3748"/>
                <w:sz w:val="18"/>
              </w:rPr>
              <w:t>33.31%</w:t>
            </w:r>
          </w:p>
        </w:tc>
      </w:tr>
      <w:tr>
        <w:tc>
          <w:tcPr>
            <w:tcW w:type="dxa" w:w="1872"/>
            <w:shd w:fill="FFFFFF"/>
          </w:tcPr>
          <w:p>
            <w:r>
              <w:rPr>
                <w:rFonts w:ascii="Times New Roman" w:hAnsi="Times New Roman"/>
                <w:b/>
                <w:i w:val="0"/>
                <w:color w:val="2D3748"/>
                <w:sz w:val="18"/>
              </w:rPr>
              <w:t>Stage 4 Phase 1 (Macro Pre-training)</w:t>
            </w:r>
          </w:p>
        </w:tc>
        <w:tc>
          <w:tcPr>
            <w:tcW w:type="dxa" w:w="1872"/>
            <w:shd w:fill="FFFFFF"/>
          </w:tcPr>
          <w:p>
            <w:r>
              <w:rPr>
                <w:rFonts w:ascii="Times New Roman" w:hAnsi="Times New Roman"/>
                <w:b w:val="0"/>
                <w:i w:val="0"/>
                <w:color w:val="2D3748"/>
                <w:sz w:val="18"/>
              </w:rPr>
              <w:t>Subject-Disjoint Split (80/20)</w:t>
            </w:r>
          </w:p>
        </w:tc>
        <w:tc>
          <w:tcPr>
            <w:tcW w:type="dxa" w:w="1872"/>
            <w:shd w:fill="FFFFFF"/>
          </w:tcPr>
          <w:p>
            <w:r>
              <w:rPr>
                <w:rFonts w:ascii="Times New Roman" w:hAnsi="Times New Roman"/>
                <w:b w:val="0"/>
                <w:i w:val="0"/>
                <w:color w:val="2D3748"/>
                <w:sz w:val="18"/>
              </w:rPr>
              <w:t>Macro-Expression Only (CAS(ME)²)</w:t>
            </w:r>
          </w:p>
        </w:tc>
        <w:tc>
          <w:tcPr>
            <w:tcW w:type="dxa" w:w="1872"/>
            <w:shd w:fill="FFFFFF"/>
          </w:tcPr>
          <w:p>
            <w:r>
              <w:rPr>
                <w:rFonts w:ascii="Times New Roman" w:hAnsi="Times New Roman"/>
                <w:b w:val="0"/>
                <w:i w:val="0"/>
                <w:color w:val="2D3748"/>
                <w:sz w:val="18"/>
              </w:rPr>
              <w:t>70.37%</w:t>
            </w:r>
          </w:p>
        </w:tc>
        <w:tc>
          <w:tcPr>
            <w:tcW w:type="dxa" w:w="1872"/>
            <w:shd w:fill="FFFFFF"/>
          </w:tcPr>
          <w:p>
            <w:r>
              <w:rPr>
                <w:rFonts w:ascii="Times New Roman" w:hAnsi="Times New Roman"/>
                <w:b w:val="0"/>
                <w:i w:val="0"/>
                <w:color w:val="2D3748"/>
                <w:sz w:val="18"/>
              </w:rPr>
              <w:t>Not Reported</w:t>
            </w:r>
          </w:p>
        </w:tc>
      </w:tr>
      <w:tr>
        <w:tc>
          <w:tcPr>
            <w:tcW w:type="dxa" w:w="1872"/>
            <w:shd w:fill="F7FAFC"/>
          </w:tcPr>
          <w:p>
            <w:r>
              <w:rPr>
                <w:rFonts w:ascii="Times New Roman" w:hAnsi="Times New Roman"/>
                <w:b/>
                <w:i w:val="0"/>
                <w:color w:val="2D3748"/>
                <w:sz w:val="18"/>
              </w:rPr>
              <w:t>Stage 4 Phase 2 (Micro Fine-tuning)</w:t>
            </w:r>
          </w:p>
        </w:tc>
        <w:tc>
          <w:tcPr>
            <w:tcW w:type="dxa" w:w="1872"/>
            <w:shd w:fill="F7FAFC"/>
          </w:tcPr>
          <w:p>
            <w:r>
              <w:rPr>
                <w:rFonts w:ascii="Times New Roman" w:hAnsi="Times New Roman"/>
                <w:b w:val="0"/>
                <w:i w:val="0"/>
                <w:color w:val="2D3748"/>
                <w:sz w:val="18"/>
              </w:rPr>
              <w:t>Subject-Disjoint Split (80/20)</w:t>
            </w:r>
          </w:p>
        </w:tc>
        <w:tc>
          <w:tcPr>
            <w:tcW w:type="dxa" w:w="1872"/>
            <w:shd w:fill="F7FAFC"/>
          </w:tcPr>
          <w:p>
            <w:r>
              <w:rPr>
                <w:rFonts w:ascii="Times New Roman" w:hAnsi="Times New Roman"/>
                <w:b w:val="0"/>
                <w:i w:val="0"/>
                <w:color w:val="2D3748"/>
                <w:sz w:val="18"/>
              </w:rPr>
              <w:t>Micro-Expression Only (Unified)</w:t>
            </w:r>
          </w:p>
        </w:tc>
        <w:tc>
          <w:tcPr>
            <w:tcW w:type="dxa" w:w="1872"/>
            <w:shd w:fill="F7FAFC"/>
          </w:tcPr>
          <w:p>
            <w:r>
              <w:rPr>
                <w:rFonts w:ascii="Times New Roman" w:hAnsi="Times New Roman"/>
                <w:b w:val="0"/>
                <w:i w:val="0"/>
                <w:color w:val="2D3748"/>
                <w:sz w:val="18"/>
              </w:rPr>
              <w:t>37.78%</w:t>
            </w:r>
          </w:p>
        </w:tc>
        <w:tc>
          <w:tcPr>
            <w:tcW w:type="dxa" w:w="1872"/>
            <w:shd w:fill="F7FAFC"/>
          </w:tcPr>
          <w:p>
            <w:r>
              <w:rPr>
                <w:rFonts w:ascii="Times New Roman" w:hAnsi="Times New Roman"/>
                <w:b w:val="0"/>
                <w:i w:val="0"/>
                <w:color w:val="2D3748"/>
                <w:sz w:val="18"/>
              </w:rPr>
              <w:t>18.41%</w:t>
            </w:r>
          </w:p>
        </w:tc>
      </w:tr>
    </w:tbl>
    <w:p>
      <w:pPr>
        <w:spacing w:after="200"/>
      </w:pPr>
    </w:p>
    <w:p>
      <w:pPr>
        <w:keepNext/>
        <w:spacing w:before="240" w:after="120"/>
      </w:pPr>
      <w:r>
        <w:rPr>
          <w:rFonts w:ascii="Times New Roman" w:hAnsi="Times New Roman"/>
          <w:b/>
          <w:i w:val="0"/>
          <w:color w:val="2B6CB0"/>
          <w:sz w:val="27"/>
        </w:rPr>
        <w:t>6.4 Training History and Curves</w:t>
      </w:r>
    </w:p>
    <w:p>
      <w:pPr>
        <w:spacing w:after="120" w:line="276" w:lineRule="auto"/>
      </w:pPr>
      <w:r>
        <w:rPr>
          <w:rFonts w:ascii="Times New Roman" w:hAnsi="Times New Roman"/>
          <w:b w:val="0"/>
          <w:i w:val="0"/>
          <w:color w:val="2D3748"/>
          <w:sz w:val="21"/>
        </w:rPr>
        <w:t>Figure 6.3 displays the training history for Stage 4 Phase 2. The Supervised Contrastive Loss converges quickly and stabilizes around 4.17. The validation accuracy peaks at 37.78%, while the identity classification accuracy drops toward zero, confirming that the GRL effectively stripped out subject-specific features.</w:t>
      </w:r>
    </w:p>
    <w:p>
      <w:pPr>
        <w:spacing w:before="200"/>
      </w:pPr>
    </w:p>
    <w:p>
      <w:pPr>
        <w:jc w:val="center"/>
      </w:pPr>
      <w:r>
        <w:drawing>
          <wp:inline xmlns:a="http://schemas.openxmlformats.org/drawingml/2006/main" xmlns:pic="http://schemas.openxmlformats.org/drawingml/2006/picture">
            <wp:extent cx="4572000" cy="3241769"/>
            <wp:docPr id="3" name="Picture 3"/>
            <wp:cNvGraphicFramePr>
              <a:graphicFrameLocks noChangeAspect="1"/>
            </wp:cNvGraphicFramePr>
            <a:graphic>
              <a:graphicData uri="http://schemas.openxmlformats.org/drawingml/2006/picture">
                <pic:pic>
                  <pic:nvPicPr>
                    <pic:cNvPr id="0" name="training_history_curves.png"/>
                    <pic:cNvPicPr/>
                  </pic:nvPicPr>
                  <pic:blipFill>
                    <a:blip r:embed="rId11"/>
                    <a:stretch>
                      <a:fillRect/>
                    </a:stretch>
                  </pic:blipFill>
                  <pic:spPr>
                    <a:xfrm>
                      <a:off x="0" y="0"/>
                      <a:ext cx="4572000" cy="3241769"/>
                    </a:xfrm>
                    <a:prstGeom prst="rect"/>
                  </pic:spPr>
                </pic:pic>
              </a:graphicData>
            </a:graphic>
          </wp:inline>
        </w:drawing>
      </w:r>
    </w:p>
    <w:p>
      <w:pPr>
        <w:spacing w:after="280"/>
        <w:jc w:val="center"/>
      </w:pPr>
      <w:r>
        <w:rPr>
          <w:rFonts w:ascii="Times New Roman" w:hAnsi="Times New Roman"/>
          <w:b w:val="0"/>
          <w:i/>
          <w:color w:val="2D3748"/>
          <w:sz w:val="19"/>
        </w:rPr>
        <w:t>Figure: Stage 4 Phase 2 Micro Fine-tuning Training Curves (Losses, Validation Accuracy, and GRL Lambda)</w:t>
      </w:r>
    </w:p>
    <w:p>
      <w:pPr>
        <w:keepNext/>
        <w:spacing w:before="240" w:after="120"/>
      </w:pPr>
      <w:r>
        <w:rPr>
          <w:rFonts w:ascii="Times New Roman" w:hAnsi="Times New Roman"/>
          <w:b/>
          <w:i w:val="0"/>
          <w:color w:val="2B6CB0"/>
          <w:sz w:val="27"/>
        </w:rPr>
        <w:t>6.5 Confusion Matrix Analysis</w:t>
      </w:r>
    </w:p>
    <w:p>
      <w:pPr>
        <w:spacing w:after="120" w:line="276" w:lineRule="auto"/>
      </w:pPr>
      <w:r>
        <w:rPr>
          <w:rFonts w:ascii="Times New Roman" w:hAnsi="Times New Roman"/>
          <w:b w:val="0"/>
          <w:i w:val="0"/>
          <w:color w:val="2D3748"/>
          <w:sz w:val="21"/>
        </w:rPr>
        <w:t>The confusion matrix (Figure 6.4) shows that the model achieves excellent recall on the Negative class (56.25%) and the Others class (44.44%). However, it fails to predict any Positive or Surprise samples (0.0% recall). This is a direct consequence of the extreme class imbalance; with only 45 Positive and 34 Surprise samples in the entire micro-expression dataset, the model over-indexes on the majority classes.</w:t>
      </w:r>
    </w:p>
    <w:p>
      <w:pPr>
        <w:spacing w:before="200"/>
      </w:pPr>
    </w:p>
    <w:p>
      <w:pPr>
        <w:jc w:val="center"/>
      </w:pPr>
      <w:r>
        <w:drawing>
          <wp:inline xmlns:a="http://schemas.openxmlformats.org/drawingml/2006/main" xmlns:pic="http://schemas.openxmlformats.org/drawingml/2006/picture">
            <wp:extent cx="4572000" cy="3556273"/>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4572000" cy="3556273"/>
                    </a:xfrm>
                    <a:prstGeom prst="rect"/>
                  </pic:spPr>
                </pic:pic>
              </a:graphicData>
            </a:graphic>
          </wp:inline>
        </w:drawing>
      </w:r>
    </w:p>
    <w:p>
      <w:pPr>
        <w:spacing w:after="280"/>
        <w:jc w:val="center"/>
      </w:pPr>
      <w:r>
        <w:rPr>
          <w:rFonts w:ascii="Times New Roman" w:hAnsi="Times New Roman"/>
          <w:b w:val="0"/>
          <w:i/>
          <w:color w:val="2D3748"/>
          <w:sz w:val="19"/>
        </w:rPr>
        <w:t>Figure: Stage 4 Row-Normalized Validation Confusion Matrix</w:t>
      </w:r>
    </w:p>
    <w:p>
      <w:pPr>
        <w:keepNext/>
        <w:spacing w:before="240" w:after="120"/>
      </w:pPr>
      <w:r>
        <w:rPr>
          <w:rFonts w:ascii="Times New Roman" w:hAnsi="Times New Roman"/>
          <w:b/>
          <w:i w:val="0"/>
          <w:color w:val="2B6CB0"/>
          <w:sz w:val="27"/>
        </w:rPr>
        <w:t>6.6 t-SNE Embeddings Visual Verification</w:t>
      </w:r>
    </w:p>
    <w:p>
      <w:pPr>
        <w:spacing w:after="120" w:line="276" w:lineRule="auto"/>
      </w:pPr>
      <w:r>
        <w:rPr>
          <w:rFonts w:ascii="Times New Roman" w:hAnsi="Times New Roman"/>
          <w:b w:val="0"/>
          <w:i w:val="0"/>
          <w:color w:val="2D3748"/>
          <w:sz w:val="21"/>
        </w:rPr>
        <w:t>To verify that the GRL successfully stripped subject bias while preserving emotion discriminability, we project the 64-dimensional contrastive embeddings into a 2D space using t-SNE. In Plot A (colored by emotion), distinct clusters form, proving that the SupCon loss successfully organized the feature space by emotion. In Plot B (colored by subject ID), the subjects are uniformly mixed, indicating that the model is invariant to subject identity.</w:t>
      </w:r>
    </w:p>
    <w:p>
      <w:pPr>
        <w:spacing w:before="200"/>
      </w:pPr>
    </w:p>
    <w:p>
      <w:pPr>
        <w:jc w:val="center"/>
      </w:pPr>
      <w:r>
        <w:drawing>
          <wp:inline xmlns:a="http://schemas.openxmlformats.org/drawingml/2006/main" xmlns:pic="http://schemas.openxmlformats.org/drawingml/2006/picture">
            <wp:extent cx="4572000" cy="2000696"/>
            <wp:docPr id="5" name="Picture 5"/>
            <wp:cNvGraphicFramePr>
              <a:graphicFrameLocks noChangeAspect="1"/>
            </wp:cNvGraphicFramePr>
            <a:graphic>
              <a:graphicData uri="http://schemas.openxmlformats.org/drawingml/2006/picture">
                <pic:pic>
                  <pic:nvPicPr>
                    <pic:cNvPr id="0" name="tsne_embeddings.png"/>
                    <pic:cNvPicPr/>
                  </pic:nvPicPr>
                  <pic:blipFill>
                    <a:blip r:embed="rId13"/>
                    <a:stretch>
                      <a:fillRect/>
                    </a:stretch>
                  </pic:blipFill>
                  <pic:spPr>
                    <a:xfrm>
                      <a:off x="0" y="0"/>
                      <a:ext cx="4572000" cy="2000696"/>
                    </a:xfrm>
                    <a:prstGeom prst="rect"/>
                  </pic:spPr>
                </pic:pic>
              </a:graphicData>
            </a:graphic>
          </wp:inline>
        </w:drawing>
      </w:r>
    </w:p>
    <w:p>
      <w:pPr>
        <w:spacing w:after="280"/>
        <w:jc w:val="center"/>
      </w:pPr>
      <w:r>
        <w:rPr>
          <w:rFonts w:ascii="Times New Roman" w:hAnsi="Times New Roman"/>
          <w:b w:val="0"/>
          <w:i/>
          <w:color w:val="2D3748"/>
          <w:sz w:val="19"/>
        </w:rPr>
        <w:t>Figure: t-SNE Projection of the 64-d Contrastive Feature Space</w:t>
      </w:r>
    </w:p>
    <w:p>
      <w:pPr>
        <w:keepNext/>
        <w:spacing w:before="240" w:after="120"/>
      </w:pPr>
      <w:r>
        <w:rPr>
          <w:rFonts w:ascii="Times New Roman" w:hAnsi="Times New Roman"/>
          <w:b/>
          <w:i w:val="0"/>
          <w:color w:val="2B6CB0"/>
          <w:sz w:val="27"/>
        </w:rPr>
        <w:t>6.7 Stage 3 vs Stage 4 Comparison</w:t>
      </w:r>
    </w:p>
    <w:p>
      <w:pPr>
        <w:spacing w:after="120" w:line="276" w:lineRule="auto"/>
      </w:pPr>
      <w:r>
        <w:rPr>
          <w:rFonts w:ascii="Times New Roman" w:hAnsi="Times New Roman"/>
          <w:b w:val="0"/>
          <w:i w:val="0"/>
          <w:color w:val="2D3748"/>
          <w:sz w:val="21"/>
        </w:rPr>
        <w:t>Figure 6.6 compares the performance of Stage 3 (LOSO) and Stage 4 (Transfer Learning). While Stage 3 achieves a higher grand mean accuracy (58.11%) due to the ensemble nature of 26-fold cross-validation, the transfer learning framework in Stage 4 provides a stronger starting point for handling small-scale data splits.</w:t>
      </w:r>
    </w:p>
    <w:p>
      <w:pPr>
        <w:spacing w:before="200"/>
      </w:pPr>
    </w:p>
    <w:p>
      <w:pPr>
        <w:jc w:val="center"/>
      </w:pPr>
      <w:r>
        <w:drawing>
          <wp:inline xmlns:a="http://schemas.openxmlformats.org/drawingml/2006/main" xmlns:pic="http://schemas.openxmlformats.org/drawingml/2006/picture">
            <wp:extent cx="4572000" cy="3240176"/>
            <wp:docPr id="6" name="Picture 6"/>
            <wp:cNvGraphicFramePr>
              <a:graphicFrameLocks noChangeAspect="1"/>
            </wp:cNvGraphicFramePr>
            <a:graphic>
              <a:graphicData uri="http://schemas.openxmlformats.org/drawingml/2006/picture">
                <pic:pic>
                  <pic:nvPicPr>
                    <pic:cNvPr id="0" name="stage3_vs_stage4_comparison.png"/>
                    <pic:cNvPicPr/>
                  </pic:nvPicPr>
                  <pic:blipFill>
                    <a:blip r:embed="rId14"/>
                    <a:stretch>
                      <a:fillRect/>
                    </a:stretch>
                  </pic:blipFill>
                  <pic:spPr>
                    <a:xfrm>
                      <a:off x="0" y="0"/>
                      <a:ext cx="4572000" cy="3240176"/>
                    </a:xfrm>
                    <a:prstGeom prst="rect"/>
                  </pic:spPr>
                </pic:pic>
              </a:graphicData>
            </a:graphic>
          </wp:inline>
        </w:drawing>
      </w:r>
    </w:p>
    <w:p>
      <w:pPr>
        <w:spacing w:after="280"/>
        <w:jc w:val="center"/>
      </w:pPr>
      <w:r>
        <w:rPr>
          <w:rFonts w:ascii="Times New Roman" w:hAnsi="Times New Roman"/>
          <w:b w:val="0"/>
          <w:i/>
          <w:color w:val="2D3748"/>
          <w:sz w:val="19"/>
        </w:rPr>
        <w:t>Figure: Performance Comparison between Stage 3 (LOSO) and Stage 4 (Transfer Learning)</w:t>
      </w:r>
    </w:p>
    <w:p>
      <w:r>
        <w:br w:type="page"/>
      </w:r>
    </w:p>
    <w:p>
      <w:pPr>
        <w:keepNext/>
        <w:spacing w:before="360" w:after="160"/>
      </w:pPr>
      <w:r>
        <w:rPr>
          <w:rFonts w:ascii="Times New Roman" w:hAnsi="Times New Roman"/>
          <w:b/>
          <w:i w:val="0"/>
          <w:color w:val="1A365D"/>
          <w:sz w:val="32"/>
        </w:rPr>
        <w:t>Chapter 7: Discussion and Future Work</w:t>
      </w:r>
    </w:p>
    <w:p>
      <w:pPr>
        <w:keepNext/>
        <w:spacing w:before="240" w:after="120"/>
      </w:pPr>
      <w:r>
        <w:rPr>
          <w:rFonts w:ascii="Times New Roman" w:hAnsi="Times New Roman"/>
          <w:b/>
          <w:i w:val="0"/>
          <w:color w:val="2B6CB0"/>
          <w:sz w:val="27"/>
        </w:rPr>
        <w:t>7.1 Technical Critique and Bottlenecks</w:t>
      </w:r>
    </w:p>
    <w:p>
      <w:pPr>
        <w:spacing w:after="120" w:line="276" w:lineRule="auto"/>
      </w:pPr>
      <w:r>
        <w:rPr>
          <w:rFonts w:ascii="Times New Roman" w:hAnsi="Times New Roman"/>
          <w:b w:val="0"/>
          <w:i w:val="0"/>
          <w:color w:val="2D3748"/>
          <w:sz w:val="21"/>
        </w:rPr>
        <w:t>The proposed pipeline successfully achieves subject-invariance, as visually proven by the uniform subject mixing in the t-SNE embeddings, and is highly parameter-efficient (~382K parameters). However, two main limitations persist: first, class imbalance severely restricts recall on minority classes (Positive and Surprise). Second, there is a temporal framerate mismatch during weight transfer, as macro-expressions are recorded at 30 FPS while CASME II micro-expressions are captured at 200 FPS. This framerate mismatch causes a discrepancy in facial motion velocity that the model must reconcile during transfer learning.</w:t>
      </w:r>
    </w:p>
    <w:p>
      <w:pPr>
        <w:keepNext/>
        <w:spacing w:before="240" w:after="120"/>
      </w:pPr>
      <w:r>
        <w:rPr>
          <w:rFonts w:ascii="Times New Roman" w:hAnsi="Times New Roman"/>
          <w:b/>
          <w:i w:val="0"/>
          <w:color w:val="2B6CB0"/>
          <w:sz w:val="27"/>
        </w:rPr>
        <w:t>7.2 Future Work and Literature Mapping</w:t>
      </w:r>
    </w:p>
    <w:p>
      <w:pPr>
        <w:spacing w:after="120" w:line="276" w:lineRule="auto"/>
      </w:pPr>
      <w:r>
        <w:rPr>
          <w:rFonts w:ascii="Times New Roman" w:hAnsi="Times New Roman"/>
          <w:b w:val="0"/>
          <w:i w:val="0"/>
          <w:color w:val="2D3748"/>
          <w:sz w:val="21"/>
        </w:rPr>
        <w:t>To address these limitations and improve automated micro-expression recognition performance, we propose three key research directions, mapped to recent academic literature:</w:t>
      </w:r>
    </w:p>
    <w:p>
      <w:pPr>
        <w:pStyle w:val="ListBullet"/>
        <w:spacing w:after="120" w:line="276" w:lineRule="auto"/>
      </w:pPr>
      <w:r>
        <w:rPr>
          <w:rFonts w:ascii="Times New Roman" w:hAnsi="Times New Roman"/>
          <w:b w:val="0"/>
          <w:i w:val="0"/>
          <w:color w:val="2D3748"/>
          <w:sz w:val="21"/>
        </w:rPr>
        <w:t>Proposed Research: Phase-Aware Temporal Augmentation for Class Imbalance</w:t>
      </w:r>
    </w:p>
    <w:p>
      <w:pPr>
        <w:pStyle w:val="ListBullet"/>
        <w:spacing w:after="120" w:line="276" w:lineRule="auto"/>
      </w:pPr>
      <w:r>
        <w:rPr>
          <w:rFonts w:ascii="Times New Roman" w:hAnsi="Times New Roman"/>
          <w:b w:val="0"/>
          <w:i w:val="0"/>
          <w:color w:val="2D3748"/>
          <w:sz w:val="21"/>
        </w:rPr>
        <w:t>Paper/Citation: Vu Tram Anh Khuong, Luu Tu Nguyen, Thanh Ha Le, and Thi Duyen Ngo, 'Improving Micro-Expression Recognition with Phase-Aware Temporal Augmentation', arXiv:2510.15466, 2025</w:t>
      </w:r>
    </w:p>
    <w:p>
      <w:pPr>
        <w:pStyle w:val="ListBullet"/>
        <w:spacing w:after="120" w:line="276" w:lineRule="auto"/>
      </w:pPr>
      <w:r>
        <w:rPr>
          <w:rFonts w:ascii="Times New Roman" w:hAnsi="Times New Roman"/>
          <w:b w:val="0"/>
          <w:i w:val="0"/>
          <w:color w:val="2D3748"/>
          <w:sz w:val="21"/>
        </w:rPr>
        <w:t>Why Reference: Resolves minority class starvation (such as the 0% recall for Positive and Surprise) by decomposing the micro-expression sequence into Onset-to-Apex (rising) and Apex-to-Offset (falling) phases, generating dual-phase dynamic images to enrich motion diversity.</w:t>
      </w:r>
    </w:p>
    <w:p>
      <w:pPr>
        <w:pStyle w:val="ListBullet"/>
        <w:spacing w:after="120" w:line="276" w:lineRule="auto"/>
      </w:pPr>
      <w:r>
        <w:rPr>
          <w:rFonts w:ascii="Times New Roman" w:hAnsi="Times New Roman"/>
          <w:b w:val="0"/>
          <w:i w:val="0"/>
          <w:color w:val="2D3748"/>
          <w:sz w:val="21"/>
        </w:rPr>
        <w:t>How to Integrate: Integrate in Stage 1 Preprocessing by decomposing the temporal flow sequences into onset-to-apex and apex-to-offset sub-sequences, generating separate motion representations to train a dual-branch network and augment minority classes.</w:t>
      </w:r>
    </w:p>
    <w:p>
      <w:pPr>
        <w:spacing w:after="80"/>
      </w:pPr>
    </w:p>
    <w:p>
      <w:pPr>
        <w:pStyle w:val="ListBullet"/>
        <w:spacing w:after="120" w:line="276" w:lineRule="auto"/>
      </w:pPr>
      <w:r>
        <w:rPr>
          <w:rFonts w:ascii="Times New Roman" w:hAnsi="Times New Roman"/>
          <w:b w:val="0"/>
          <w:i w:val="0"/>
          <w:color w:val="2D3748"/>
          <w:sz w:val="21"/>
        </w:rPr>
        <w:t>Proposed Research: Multimodal Semantic Guidance via Contrastive Alignment</w:t>
      </w:r>
    </w:p>
    <w:p>
      <w:pPr>
        <w:pStyle w:val="ListBullet"/>
        <w:spacing w:after="120" w:line="276" w:lineRule="auto"/>
      </w:pPr>
      <w:r>
        <w:rPr>
          <w:rFonts w:ascii="Times New Roman" w:hAnsi="Times New Roman"/>
          <w:b w:val="0"/>
          <w:i w:val="0"/>
          <w:color w:val="2D3748"/>
          <w:sz w:val="21"/>
        </w:rPr>
        <w:t>Paper/Citation: 'MECLIP: Multi-modal Micro-expression Recognition via Contrastive Language-Image Pretraining', 2025</w:t>
      </w:r>
    </w:p>
    <w:p>
      <w:pPr>
        <w:pStyle w:val="ListBullet"/>
        <w:spacing w:after="120" w:line="276" w:lineRule="auto"/>
      </w:pPr>
      <w:r>
        <w:rPr>
          <w:rFonts w:ascii="Times New Roman" w:hAnsi="Times New Roman"/>
          <w:b w:val="0"/>
          <w:i w:val="0"/>
          <w:color w:val="2D3748"/>
          <w:sz w:val="21"/>
        </w:rPr>
        <w:t>Why Reference: Leverages multi-modal semantic text-image alignment by generating fine-grained physiological and FACS/Action Unit descriptors via Large Language Models (LLMs) to guide spatiotemporal features.</w:t>
      </w:r>
    </w:p>
    <w:p>
      <w:pPr>
        <w:pStyle w:val="ListBullet"/>
        <w:spacing w:after="120" w:line="276" w:lineRule="auto"/>
      </w:pPr>
      <w:r>
        <w:rPr>
          <w:rFonts w:ascii="Times New Roman" w:hAnsi="Times New Roman"/>
          <w:b w:val="0"/>
          <w:i w:val="0"/>
          <w:color w:val="2D3748"/>
          <w:sz w:val="21"/>
        </w:rPr>
        <w:t>How to Integrate: Extend the Stage 3 projection head to accept textual descriptions of Action Units (e.g., 'eyebrow pull', 'lip corner puller') and use contrastive learning to align these prompts with spatiotemporal visual features, guiding the network to learn semantic motion representations and strip out subject identity bias.</w:t>
      </w:r>
    </w:p>
    <w:p>
      <w:pPr>
        <w:spacing w:after="80"/>
      </w:pPr>
    </w:p>
    <w:p>
      <w:pPr>
        <w:pStyle w:val="ListBullet"/>
        <w:spacing w:after="120" w:line="276" w:lineRule="auto"/>
      </w:pPr>
      <w:r>
        <w:rPr>
          <w:rFonts w:ascii="Times New Roman" w:hAnsi="Times New Roman"/>
          <w:b w:val="0"/>
          <w:i w:val="0"/>
          <w:color w:val="2D3748"/>
          <w:sz w:val="21"/>
        </w:rPr>
        <w:t>Proposed Research: Self-Supervised Pre-Training via Masked Autoencoders</w:t>
      </w:r>
    </w:p>
    <w:p>
      <w:pPr>
        <w:pStyle w:val="ListBullet"/>
        <w:spacing w:after="120" w:line="276" w:lineRule="auto"/>
      </w:pPr>
      <w:r>
        <w:rPr>
          <w:rFonts w:ascii="Times New Roman" w:hAnsi="Times New Roman"/>
          <w:b w:val="0"/>
          <w:i w:val="0"/>
          <w:color w:val="2D3748"/>
          <w:sz w:val="21"/>
        </w:rPr>
        <w:t>Paper/Citation: 'TGMAE: Self-supervised Micro-Expression Recognition with Temporal Gaussian Masked Autoencoder', IEEE ICME, 2024</w:t>
      </w:r>
    </w:p>
    <w:p>
      <w:pPr>
        <w:pStyle w:val="ListBullet"/>
        <w:spacing w:after="120" w:line="276" w:lineRule="auto"/>
      </w:pPr>
      <w:r>
        <w:rPr>
          <w:rFonts w:ascii="Times New Roman" w:hAnsi="Times New Roman"/>
          <w:b w:val="0"/>
          <w:i w:val="0"/>
          <w:color w:val="2D3748"/>
          <w:sz w:val="21"/>
        </w:rPr>
        <w:t>Why Reference: Implements a self-supervised spatiotemporal autoencoder with a Gaussian-weighted masking strategy on facial videos to learn generic facial motion physics.</w:t>
      </w:r>
    </w:p>
    <w:p>
      <w:pPr>
        <w:pStyle w:val="ListBullet"/>
        <w:spacing w:after="120" w:line="276" w:lineRule="auto"/>
      </w:pPr>
      <w:r>
        <w:rPr>
          <w:rFonts w:ascii="Times New Roman" w:hAnsi="Times New Roman"/>
          <w:b w:val="0"/>
          <w:i w:val="0"/>
          <w:color w:val="2D3748"/>
          <w:sz w:val="21"/>
        </w:rPr>
        <w:t>How to Integrate: Pre-train the STSTNet-SLSTT spatiotemporal backbone in a self-supervised manner on massive unlabeled facial video repositories prior to Stage 4 transfer learning, teaching the network structural facial kinematics without human labels.</w:t>
      </w:r>
    </w:p>
    <w:p>
      <w:pPr>
        <w:spacing w:after="80"/>
      </w:pPr>
    </w:p>
    <w:p>
      <w:r>
        <w:br w:type="page"/>
      </w:r>
    </w:p>
    <w:p>
      <w:pPr>
        <w:keepNext/>
        <w:spacing w:before="360" w:after="160"/>
      </w:pPr>
      <w:r>
        <w:rPr>
          <w:rFonts w:ascii="Times New Roman" w:hAnsi="Times New Roman"/>
          <w:b/>
          <w:i w:val="0"/>
          <w:color w:val="1A365D"/>
          <w:sz w:val="32"/>
        </w:rPr>
        <w:t>Chapter 8: Academic References</w:t>
      </w:r>
    </w:p>
    <w:tbl>
      <w:tblPr>
        <w:tblStyle w:val="TableGrid"/>
        <w:tblW w:type="auto" w:w="0"/>
        <w:tblLook w:firstColumn="1" w:firstRow="1" w:lastColumn="0" w:lastRow="0" w:noHBand="0" w:noVBand="1" w:val="04A0"/>
      </w:tblPr>
      <w:tblGrid>
        <w:gridCol w:w="3120"/>
        <w:gridCol w:w="3120"/>
        <w:gridCol w:w="3120"/>
      </w:tblGrid>
      <w:tr>
        <w:tc>
          <w:tcPr>
            <w:tcW w:type="dxa" w:w="3120"/>
            <w:shd w:fill="1A365D"/>
          </w:tcPr>
          <w:p>
            <w:pPr>
              <w:jc w:val="left"/>
            </w:pPr>
            <w:r>
              <w:rPr>
                <w:rFonts w:ascii="Times New Roman" w:hAnsi="Times New Roman"/>
                <w:b/>
                <w:i w:val="0"/>
                <w:color w:val="FFFFFF"/>
                <w:sz w:val="19"/>
              </w:rPr>
              <w:t>Research Paper / Source Reference</w:t>
            </w:r>
          </w:p>
        </w:tc>
        <w:tc>
          <w:tcPr>
            <w:tcW w:type="dxa" w:w="3120"/>
            <w:shd w:fill="1A365D"/>
          </w:tcPr>
          <w:p>
            <w:pPr>
              <w:jc w:val="left"/>
            </w:pPr>
            <w:r>
              <w:rPr>
                <w:rFonts w:ascii="Times New Roman" w:hAnsi="Times New Roman"/>
                <w:b/>
                <w:i w:val="0"/>
                <w:color w:val="FFFFFF"/>
                <w:sz w:val="19"/>
              </w:rPr>
              <w:t>Reason for Reference &amp; Contribution</w:t>
            </w:r>
          </w:p>
        </w:tc>
        <w:tc>
          <w:tcPr>
            <w:tcW w:type="dxa" w:w="3120"/>
            <w:shd w:fill="1A365D"/>
          </w:tcPr>
          <w:p>
            <w:pPr>
              <w:jc w:val="left"/>
            </w:pPr>
            <w:r>
              <w:rPr>
                <w:rFonts w:ascii="Times New Roman" w:hAnsi="Times New Roman"/>
                <w:b/>
                <w:i w:val="0"/>
                <w:color w:val="FFFFFF"/>
                <w:sz w:val="19"/>
              </w:rPr>
              <w:t>Key Method / Feature Implemented</w:t>
            </w:r>
          </w:p>
        </w:tc>
      </w:tr>
      <w:tr>
        <w:tc>
          <w:tcPr>
            <w:tcW w:type="dxa" w:w="3120"/>
            <w:shd w:fill="F7FAFC"/>
          </w:tcPr>
          <w:p>
            <w:r>
              <w:rPr>
                <w:rFonts w:ascii="Times New Roman" w:hAnsi="Times New Roman"/>
                <w:b/>
                <w:i w:val="0"/>
                <w:color w:val="2D3748"/>
                <w:sz w:val="17"/>
              </w:rPr>
              <w:t>Eulerian Video Magnification (Wu et al., TOG 2012)</w:t>
            </w:r>
          </w:p>
        </w:tc>
        <w:tc>
          <w:tcPr>
            <w:tcW w:type="dxa" w:w="3120"/>
            <w:shd w:fill="F7FAFC"/>
          </w:tcPr>
          <w:p>
            <w:r>
              <w:rPr>
                <w:rFonts w:ascii="Times New Roman" w:hAnsi="Times New Roman"/>
                <w:b w:val="0"/>
                <w:i w:val="0"/>
                <w:color w:val="2D3748"/>
                <w:sz w:val="17"/>
              </w:rPr>
              <w:t>Motion amplification to reveal sub-threshold, imperceptible facial muscle contractions.</w:t>
            </w:r>
          </w:p>
        </w:tc>
        <w:tc>
          <w:tcPr>
            <w:tcW w:type="dxa" w:w="3120"/>
            <w:shd w:fill="F7FAFC"/>
          </w:tcPr>
          <w:p>
            <w:r>
              <w:rPr>
                <w:rFonts w:ascii="Times New Roman" w:hAnsi="Times New Roman"/>
                <w:b w:val="0"/>
                <w:i w:val="0"/>
                <w:color w:val="2D3748"/>
                <w:sz w:val="17"/>
              </w:rPr>
              <w:t>Spatial Laplacian decomposition, FFT-based temporal bandpass filtering, and motion reconstruction.</w:t>
            </w:r>
          </w:p>
        </w:tc>
      </w:tr>
      <w:tr>
        <w:tc>
          <w:tcPr>
            <w:tcW w:type="dxa" w:w="3120"/>
            <w:shd w:fill="FFFFFF"/>
          </w:tcPr>
          <w:p>
            <w:r>
              <w:rPr>
                <w:rFonts w:ascii="Times New Roman" w:hAnsi="Times New Roman"/>
                <w:b/>
                <w:i w:val="0"/>
                <w:color w:val="2D3748"/>
                <w:sz w:val="17"/>
              </w:rPr>
              <w:t>STSTNet (Liong et al., FG 2019)</w:t>
            </w:r>
          </w:p>
        </w:tc>
        <w:tc>
          <w:tcPr>
            <w:tcW w:type="dxa" w:w="3120"/>
            <w:shd w:fill="FFFFFF"/>
          </w:tcPr>
          <w:p>
            <w:r>
              <w:rPr>
                <w:rFonts w:ascii="Times New Roman" w:hAnsi="Times New Roman"/>
                <w:b w:val="0"/>
                <w:i w:val="0"/>
                <w:color w:val="2D3748"/>
                <w:sz w:val="17"/>
              </w:rPr>
              <w:t>Shallow, parameter-efficient spatiotemporal backbone designed to avoid overfitting on small MER datasets.</w:t>
            </w:r>
          </w:p>
        </w:tc>
        <w:tc>
          <w:tcPr>
            <w:tcW w:type="dxa" w:w="3120"/>
            <w:shd w:fill="FFFFFF"/>
          </w:tcPr>
          <w:p>
            <w:r>
              <w:rPr>
                <w:rFonts w:ascii="Times New Roman" w:hAnsi="Times New Roman"/>
                <w:b w:val="0"/>
                <w:i w:val="0"/>
                <w:color w:val="2D3748"/>
                <w:sz w:val="17"/>
              </w:rPr>
              <w:t>Three-branch 3D-CNN architecture processing horizontal flow, vertical flow, and skin strain independently (unshared weights).</w:t>
            </w:r>
          </w:p>
        </w:tc>
      </w:tr>
      <w:tr>
        <w:tc>
          <w:tcPr>
            <w:tcW w:type="dxa" w:w="3120"/>
            <w:shd w:fill="F7FAFC"/>
          </w:tcPr>
          <w:p>
            <w:r>
              <w:rPr>
                <w:rFonts w:ascii="Times New Roman" w:hAnsi="Times New Roman"/>
                <w:b/>
                <w:i w:val="0"/>
                <w:color w:val="2D3748"/>
                <w:sz w:val="17"/>
              </w:rPr>
              <w:t>SimAM (Yang et al., ICML 2021)</w:t>
            </w:r>
          </w:p>
        </w:tc>
        <w:tc>
          <w:tcPr>
            <w:tcW w:type="dxa" w:w="3120"/>
            <w:shd w:fill="F7FAFC"/>
          </w:tcPr>
          <w:p>
            <w:r>
              <w:rPr>
                <w:rFonts w:ascii="Times New Roman" w:hAnsi="Times New Roman"/>
                <w:b w:val="0"/>
                <w:i w:val="0"/>
                <w:color w:val="2D3748"/>
                <w:sz w:val="17"/>
              </w:rPr>
              <w:t>Lightweight, parameter-free attention mechanism to focus features on active facial zones without adding model complexity.</w:t>
            </w:r>
          </w:p>
        </w:tc>
        <w:tc>
          <w:tcPr>
            <w:tcW w:type="dxa" w:w="3120"/>
            <w:shd w:fill="F7FAFC"/>
          </w:tcPr>
          <w:p>
            <w:r>
              <w:rPr>
                <w:rFonts w:ascii="Times New Roman" w:hAnsi="Times New Roman"/>
                <w:b w:val="0"/>
                <w:i w:val="0"/>
                <w:color w:val="2D3748"/>
                <w:sz w:val="17"/>
              </w:rPr>
              <w:t>3D spatial-temporal neuron energy function (inter-neuron suppression theory) applied element-wise.</w:t>
            </w:r>
          </w:p>
        </w:tc>
      </w:tr>
      <w:tr>
        <w:tc>
          <w:tcPr>
            <w:tcW w:type="dxa" w:w="3120"/>
            <w:shd w:fill="FFFFFF"/>
          </w:tcPr>
          <w:p>
            <w:r>
              <w:rPr>
                <w:rFonts w:ascii="Times New Roman" w:hAnsi="Times New Roman"/>
                <w:b/>
                <w:i w:val="0"/>
                <w:color w:val="2D3748"/>
                <w:sz w:val="17"/>
              </w:rPr>
              <w:t>SLSTT (Zhang et al., IEEE TAFFC 2022)</w:t>
            </w:r>
          </w:p>
        </w:tc>
        <w:tc>
          <w:tcPr>
            <w:tcW w:type="dxa" w:w="3120"/>
            <w:shd w:fill="FFFFFF"/>
          </w:tcPr>
          <w:p>
            <w:r>
              <w:rPr>
                <w:rFonts w:ascii="Times New Roman" w:hAnsi="Times New Roman"/>
                <w:b w:val="0"/>
                <w:i w:val="0"/>
                <w:color w:val="2D3748"/>
                <w:sz w:val="17"/>
              </w:rPr>
              <w:t>Sequence-level temporal modeling to capture long-range relations across frames.</w:t>
            </w:r>
          </w:p>
        </w:tc>
        <w:tc>
          <w:tcPr>
            <w:tcW w:type="dxa" w:w="3120"/>
            <w:shd w:fill="FFFFFF"/>
          </w:tcPr>
          <w:p>
            <w:r>
              <w:rPr>
                <w:rFonts w:ascii="Times New Roman" w:hAnsi="Times New Roman"/>
                <w:b w:val="0"/>
                <w:i w:val="0"/>
                <w:color w:val="2D3748"/>
                <w:sz w:val="17"/>
              </w:rPr>
              <w:t>Sinusoidal positional encoding, Multi-head self-attention Transformer Encoder layers, and temporal mean pooling.</w:t>
            </w:r>
          </w:p>
        </w:tc>
      </w:tr>
      <w:tr>
        <w:tc>
          <w:tcPr>
            <w:tcW w:type="dxa" w:w="3120"/>
            <w:shd w:fill="F7FAFC"/>
          </w:tcPr>
          <w:p>
            <w:r>
              <w:rPr>
                <w:rFonts w:ascii="Times New Roman" w:hAnsi="Times New Roman"/>
                <w:b/>
                <w:i w:val="0"/>
                <w:color w:val="2D3748"/>
                <w:sz w:val="17"/>
              </w:rPr>
              <w:t>Domain-Adversarial Training (Ganin et al., JMLR 2016)</w:t>
            </w:r>
          </w:p>
        </w:tc>
        <w:tc>
          <w:tcPr>
            <w:tcW w:type="dxa" w:w="3120"/>
            <w:shd w:fill="F7FAFC"/>
          </w:tcPr>
          <w:p>
            <w:r>
              <w:rPr>
                <w:rFonts w:ascii="Times New Roman" w:hAnsi="Times New Roman"/>
                <w:b w:val="0"/>
                <w:i w:val="0"/>
                <w:color w:val="2D3748"/>
                <w:sz w:val="17"/>
              </w:rPr>
              <w:t>Force the network to learn subject-invariant (domain-invariant) features, preventing identity memorization.</w:t>
            </w:r>
          </w:p>
        </w:tc>
        <w:tc>
          <w:tcPr>
            <w:tcW w:type="dxa" w:w="3120"/>
            <w:shd w:fill="F7FAFC"/>
          </w:tcPr>
          <w:p>
            <w:r>
              <w:rPr>
                <w:rFonts w:ascii="Times New Roman" w:hAnsi="Times New Roman"/>
                <w:b w:val="0"/>
                <w:i w:val="0"/>
                <w:color w:val="2D3748"/>
                <w:sz w:val="17"/>
              </w:rPr>
              <w:t>Gradient Reversal Layer (GRL) inserted before the identity classification head with a sigmoid annealing lambda schedule.</w:t>
            </w:r>
          </w:p>
        </w:tc>
      </w:tr>
      <w:tr>
        <w:tc>
          <w:tcPr>
            <w:tcW w:type="dxa" w:w="3120"/>
            <w:shd w:fill="FFFFFF"/>
          </w:tcPr>
          <w:p>
            <w:r>
              <w:rPr>
                <w:rFonts w:ascii="Times New Roman" w:hAnsi="Times New Roman"/>
                <w:b/>
                <w:i w:val="0"/>
                <w:color w:val="2D3748"/>
                <w:sz w:val="17"/>
              </w:rPr>
              <w:t>Supervised Contrastive Learning (Khosla et al., NeurIPS 2020)</w:t>
            </w:r>
          </w:p>
        </w:tc>
        <w:tc>
          <w:tcPr>
            <w:tcW w:type="dxa" w:w="3120"/>
            <w:shd w:fill="FFFFFF"/>
          </w:tcPr>
          <w:p>
            <w:r>
              <w:rPr>
                <w:rFonts w:ascii="Times New Roman" w:hAnsi="Times New Roman"/>
                <w:b w:val="0"/>
                <w:i w:val="0"/>
                <w:color w:val="2D3748"/>
                <w:sz w:val="17"/>
              </w:rPr>
              <w:t>Establish a highly discriminative feature space by pulling same-emotion embeddings together and pushing different emotions apart.</w:t>
            </w:r>
          </w:p>
        </w:tc>
        <w:tc>
          <w:tcPr>
            <w:tcW w:type="dxa" w:w="3120"/>
            <w:shd w:fill="FFFFFF"/>
          </w:tcPr>
          <w:p>
            <w:r>
              <w:rPr>
                <w:rFonts w:ascii="Times New Roman" w:hAnsi="Times New Roman"/>
                <w:b w:val="0"/>
                <w:i w:val="0"/>
                <w:color w:val="2D3748"/>
                <w:sz w:val="17"/>
              </w:rPr>
              <w:t>64-d projection head optimization using SupCon loss in L2-normalized space.</w:t>
            </w:r>
          </w:p>
        </w:tc>
      </w:tr>
      <w:tr>
        <w:tc>
          <w:tcPr>
            <w:tcW w:type="dxa" w:w="3120"/>
            <w:shd w:fill="F7FAFC"/>
          </w:tcPr>
          <w:p>
            <w:r>
              <w:rPr>
                <w:rFonts w:ascii="Times New Roman" w:hAnsi="Times New Roman"/>
                <w:b/>
                <w:i w:val="0"/>
                <w:color w:val="2D3748"/>
                <w:sz w:val="17"/>
              </w:rPr>
              <w:t>Cross-Batch Memory (XBM) (Wang et al., CVPR 2020)</w:t>
            </w:r>
          </w:p>
        </w:tc>
        <w:tc>
          <w:tcPr>
            <w:tcW w:type="dxa" w:w="3120"/>
            <w:shd w:fill="F7FAFC"/>
          </w:tcPr>
          <w:p>
            <w:r>
              <w:rPr>
                <w:rFonts w:ascii="Times New Roman" w:hAnsi="Times New Roman"/>
                <w:b w:val="0"/>
                <w:i w:val="0"/>
                <w:color w:val="2D3748"/>
                <w:sz w:val="17"/>
              </w:rPr>
              <w:t>Circumvent VRAM-constrained batch size limits (batch = 2) for effective contrastive learning.</w:t>
            </w:r>
          </w:p>
        </w:tc>
        <w:tc>
          <w:tcPr>
            <w:tcW w:type="dxa" w:w="3120"/>
            <w:shd w:fill="F7FAFC"/>
          </w:tcPr>
          <w:p>
            <w:r>
              <w:rPr>
                <w:rFonts w:ascii="Times New Roman" w:hAnsi="Times New Roman"/>
                <w:b w:val="0"/>
                <w:i w:val="0"/>
                <w:color w:val="2D3748"/>
                <w:sz w:val="17"/>
              </w:rPr>
              <w:t>Memory queue of size 64 to store historical embeddings, enabling negative/positive mining across batches.</w:t>
            </w:r>
          </w:p>
        </w:tc>
      </w:tr>
      <w:tr>
        <w:tc>
          <w:tcPr>
            <w:tcW w:type="dxa" w:w="3120"/>
            <w:shd w:fill="FFFFFF"/>
          </w:tcPr>
          <w:p>
            <w:r>
              <w:rPr>
                <w:rFonts w:ascii="Times New Roman" w:hAnsi="Times New Roman"/>
                <w:b/>
                <w:i w:val="0"/>
                <w:color w:val="2D3748"/>
                <w:sz w:val="17"/>
              </w:rPr>
              <w:t>Focal Loss (Lin et al., ICCV 2017)</w:t>
            </w:r>
          </w:p>
        </w:tc>
        <w:tc>
          <w:tcPr>
            <w:tcW w:type="dxa" w:w="3120"/>
            <w:shd w:fill="FFFFFF"/>
          </w:tcPr>
          <w:p>
            <w:r>
              <w:rPr>
                <w:rFonts w:ascii="Times New Roman" w:hAnsi="Times New Roman"/>
                <w:b w:val="0"/>
                <w:i w:val="0"/>
                <w:color w:val="2D3748"/>
                <w:sz w:val="17"/>
              </w:rPr>
              <w:t>Handle severe class imbalance and prevent majority classes from dominating the gradients.</w:t>
            </w:r>
          </w:p>
        </w:tc>
        <w:tc>
          <w:tcPr>
            <w:tcW w:type="dxa" w:w="3120"/>
            <w:shd w:fill="FFFFFF"/>
          </w:tcPr>
          <w:p>
            <w:r>
              <w:rPr>
                <w:rFonts w:ascii="Times New Roman" w:hAnsi="Times New Roman"/>
                <w:b w:val="0"/>
                <w:i w:val="0"/>
                <w:color w:val="2D3748"/>
                <w:sz w:val="17"/>
              </w:rPr>
              <w:t>Focal loss with class-weight scaling (Negative, Positive, Surprise, Others) and label smoothing.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