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b w:val="0"/>
          <w:i/>
          <w:color w:val="718096"/>
          <w:sz w:val="17"/>
        </w:rPr>
        <w:t>Addhyan  |  Executive Summary  |  May 2026</w:t>
      </w:r>
    </w:p>
    <w:p>
      <w:pPr>
        <w:spacing w:before="400" w:after="480"/>
        <w:jc w:val="center"/>
      </w:pPr>
      <w:r>
        <w:rPr>
          <w:rFonts w:ascii="Times New Roman" w:hAnsi="Times New Roman"/>
          <w:b/>
          <w:i w:val="0"/>
          <w:color w:val="1A365D"/>
          <w:sz w:val="32"/>
        </w:rPr>
        <w:t>EXECUTIVE SUMMARY</w:t>
        <w:br/>
        <w:t>SPATIOTEMPORAL ADVERSARIAL CONTRASTIVE NETWORK FOR SUBJECT-INVARIANT MICRO-EXPRESSION RECOGNITION</w:t>
      </w:r>
    </w:p>
    <w:p>
      <w:pPr>
        <w:keepNext/>
        <w:spacing w:before="280" w:after="120"/>
      </w:pPr>
      <w:r>
        <w:rPr>
          <w:rFonts w:ascii="Times New Roman" w:hAnsi="Times New Roman"/>
          <w:b/>
          <w:i w:val="0"/>
          <w:color w:val="1A365D"/>
          <w:sz w:val="28"/>
        </w:rPr>
        <w:t>1. Research Background &amp; Core Challenges</w:t>
      </w:r>
    </w:p>
    <w:p>
      <w:pPr>
        <w:spacing w:after="100" w:line="276" w:lineRule="auto"/>
      </w:pPr>
      <w:r>
        <w:rPr>
          <w:rFonts w:ascii="Times New Roman" w:hAnsi="Times New Roman"/>
          <w:b w:val="0"/>
          <w:i w:val="0"/>
          <w:color w:val="2D3748"/>
          <w:sz w:val="21"/>
        </w:rPr>
        <w:t>Micro-expressions are transient, involuntary facial muscle contractions that occur when individuals attempt to suppress their emotional state. Lasting less than 500 milliseconds, they represent a highly reliable indicator of genuine affect, proving vital in clinical psychology, threat assessment, lie detection, and human-computer interaction. However, automated Micro-Expression Recognition (MER) using deep learning is severely bottlenecked by two twin challenges:</w:t>
      </w:r>
    </w:p>
    <w:p>
      <w:pPr>
        <w:spacing w:after="100" w:line="276" w:lineRule="auto"/>
      </w:pPr>
      <w:r>
        <w:rPr>
          <w:rFonts w:ascii="Times New Roman" w:hAnsi="Times New Roman"/>
          <w:b/>
          <w:i w:val="0"/>
          <w:color w:val="2D3748"/>
          <w:sz w:val="21"/>
        </w:rPr>
        <w:t xml:space="preserve">1. Data Starvation: </w:t>
      </w:r>
      <w:r>
        <w:rPr>
          <w:rFonts w:ascii="Times New Roman" w:hAnsi="Times New Roman"/>
          <w:b w:val="0"/>
          <w:i w:val="0"/>
          <w:color w:val="2D3748"/>
          <w:sz w:val="21"/>
        </w:rPr>
        <w:t>Micro-expression databases are extremely small (e.g., CASME II has only 255 samples) due to the high cost of manual high-speed video annotation by FACS-certified practitioners. Standard spatiotemporal deep neural networks containing millions of parameters suffer from severe overfitting or feature collapse when trained on datasets of this size.</w:t>
      </w:r>
    </w:p>
    <w:p>
      <w:pPr>
        <w:spacing w:after="100" w:line="276" w:lineRule="auto"/>
      </w:pPr>
      <w:r>
        <w:rPr>
          <w:rFonts w:ascii="Times New Roman" w:hAnsi="Times New Roman"/>
          <w:b/>
          <w:i w:val="0"/>
          <w:color w:val="2D3748"/>
          <w:sz w:val="21"/>
        </w:rPr>
        <w:t xml:space="preserve">2. Subject Identity Bias: </w:t>
      </w:r>
      <w:r>
        <w:rPr>
          <w:rFonts w:ascii="Times New Roman" w:hAnsi="Times New Roman"/>
          <w:b w:val="0"/>
          <w:i w:val="0"/>
          <w:color w:val="2D3748"/>
          <w:sz w:val="21"/>
        </w:rPr>
        <w:t>Faces contain rich static details (bone structure, skin texture) that are numerically stronger than transient facial motions. Deep networks naturally latch onto these static features, causing them to recognize subject identity rather than the micro-expression. Consequently, models evaluate poorly on unseen subjects during cross-validation, demonstrating high subject identity bias.</w:t>
      </w:r>
    </w:p>
    <w:p>
      <w:pPr>
        <w:keepNext/>
        <w:spacing w:before="280" w:after="120"/>
      </w:pPr>
      <w:r>
        <w:rPr>
          <w:rFonts w:ascii="Times New Roman" w:hAnsi="Times New Roman"/>
          <w:b/>
          <w:i w:val="0"/>
          <w:color w:val="1A365D"/>
          <w:sz w:val="28"/>
        </w:rPr>
        <w:t>2. Proposed Four-Stage Pipeline (Methodology)</w:t>
      </w:r>
    </w:p>
    <w:p>
      <w:pPr>
        <w:spacing w:after="100" w:line="276" w:lineRule="auto"/>
      </w:pPr>
      <w:r>
        <w:rPr>
          <w:rFonts w:ascii="Times New Roman" w:hAnsi="Times New Roman"/>
          <w:b w:val="0"/>
          <w:i w:val="0"/>
          <w:color w:val="2D3748"/>
          <w:sz w:val="21"/>
        </w:rPr>
        <w:t>To overcome these bottlenecks, we implement a highly optimized, parameter-efficient, subject-invariant spatiotemporal contrastive network structured in a unified four-stage pipeline:</w:t>
      </w:r>
    </w:p>
    <w:p>
      <w:pPr>
        <w:keepNext/>
        <w:spacing w:before="200" w:after="80"/>
      </w:pPr>
      <w:r>
        <w:rPr>
          <w:rFonts w:ascii="Times New Roman" w:hAnsi="Times New Roman"/>
          <w:b/>
          <w:i w:val="0"/>
          <w:color w:val="2B6CB0"/>
          <w:sz w:val="24"/>
        </w:rPr>
        <w:t>Stage 1: Preprocessing &amp; Motion Amplification</w:t>
      </w:r>
    </w:p>
    <w:p>
      <w:pPr>
        <w:spacing w:after="100" w:line="276" w:lineRule="auto"/>
      </w:pPr>
      <w:r>
        <w:rPr>
          <w:rFonts w:ascii="Times New Roman" w:hAnsi="Times New Roman"/>
          <w:b w:val="0"/>
          <w:i w:val="0"/>
          <w:color w:val="2D3748"/>
          <w:sz w:val="21"/>
        </w:rPr>
        <w:t>We unify the CASME II (200 FPS, pre-cropped) and CAS(ME)² (30 FPS, full frame) databases under a unified 4-class taxonomy (Negative, Positive, Surprise, Others) to stabilize optimization. To amplify subtle movements, we apply Eulerian Video Magnification (EVM), which decomposes frames spatially using Laplacian Pyramids, filters the signal temporally via FFT (0.4–3.0 Hz bandpass), and amplifies it by alpha=20 before reconstruction.</w:t>
      </w:r>
    </w:p>
    <w:p>
      <w:pPr>
        <w:spacing w:after="100" w:line="276" w:lineRule="auto"/>
      </w:pPr>
      <w:r>
        <w:rPr>
          <w:rFonts w:ascii="Times New Roman" w:hAnsi="Times New Roman"/>
          <w:b w:val="0"/>
          <w:i w:val="0"/>
          <w:color w:val="2D3748"/>
          <w:sz w:val="21"/>
        </w:rPr>
        <w:t>To strip static visual identity and background textures, we extract physics-based motion modalities rather than feeding raw RGB pixels. Using dense Farneback optical flow, we compute horizontal flow (u), vertical flow (v), and optical strain (os) to capture local skin deformation:</w:t>
      </w:r>
    </w:p>
    <w:tbl>
      <w:tblPr>
        <w:tblW w:type="auto" w:w="0"/>
        <w:tblLayout w:type="fixed"/>
        <w:tblLook w:firstColumn="1" w:firstRow="1" w:lastColumn="0" w:lastRow="0" w:noHBand="0" w:noVBand="1" w:val="04A0"/>
      </w:tblPr>
      <w:tblGrid>
        <w:gridCol w:w="9360"/>
      </w:tblGrid>
      <w:tr>
        <w:tc>
          <w:tcPr>
            <w:tcW w:type="dxa" w:w="9360"/>
            <w:shd w:fill="F0F4F8"/>
          </w:tcPr>
          <w:p>
            <w:pPr>
              <w:spacing w:before="120" w:after="120"/>
              <w:jc w:val="center"/>
            </w:pPr>
            <w:r>
              <w:rPr>
                <w:rFonts w:ascii="Consolas" w:hAnsi="Consolas"/>
                <w:b/>
                <w:i w:val="0"/>
                <w:color w:val="1A365D"/>
                <w:sz w:val="19"/>
              </w:rPr>
              <w:t>os = sqrt( (du/dx)^2 + (dv/dy)^2 + 0.5 * (du/dy + dv/dx)^2 )</w:t>
              <w:br/>
            </w:r>
            <w:r>
              <w:rPr>
                <w:rFonts w:ascii="Times New Roman" w:hAnsi="Times New Roman"/>
                <w:b w:val="0"/>
                <w:i/>
                <w:color w:val="2D3748"/>
                <w:sz w:val="17"/>
              </w:rPr>
              <w:t>Optical strain formulation modeling localized skin compression and shear.</w:t>
            </w:r>
          </w:p>
        </w:tc>
      </w:tr>
    </w:tbl>
    <w:p>
      <w:pPr>
        <w:spacing w:after="100" w:line="276" w:lineRule="auto"/>
      </w:pPr>
      <w:r>
        <w:rPr>
          <w:rFonts w:ascii="Times New Roman" w:hAnsi="Times New Roman"/>
          <w:b w:val="0"/>
          <w:i w:val="0"/>
          <w:color w:val="2D3748"/>
          <w:sz w:val="21"/>
        </w:rPr>
        <w:t>Each modality is Min-Max normalized to [0,1]. Finally, sequences are temporally standardized to exactly L=33 frames (yielding T=32 frame pairs for flow calculation) using linear temporal interpolation.</w:t>
      </w:r>
    </w:p>
    <w:p>
      <w:pPr>
        <w:keepNext/>
        <w:spacing w:before="200" w:after="80"/>
      </w:pPr>
      <w:r>
        <w:rPr>
          <w:rFonts w:ascii="Times New Roman" w:hAnsi="Times New Roman"/>
          <w:b/>
          <w:i w:val="0"/>
          <w:color w:val="2B6CB0"/>
          <w:sz w:val="24"/>
        </w:rPr>
        <w:t>Stage 2: Hybrid Network Architecture</w:t>
      </w:r>
    </w:p>
    <w:p>
      <w:pPr>
        <w:spacing w:after="100" w:line="276" w:lineRule="auto"/>
      </w:pPr>
      <w:r>
        <w:rPr>
          <w:rFonts w:ascii="Times New Roman" w:hAnsi="Times New Roman"/>
          <w:b w:val="0"/>
          <w:i w:val="0"/>
          <w:color w:val="2D3748"/>
          <w:sz w:val="21"/>
        </w:rPr>
        <w:t>We design a spatiotemporal model that is highly parameter-efficient (~382K parameters) to combat data starvation:</w:t>
      </w:r>
    </w:p>
    <w:p>
      <w:pPr>
        <w:spacing w:after="100" w:line="276" w:lineRule="auto"/>
      </w:pPr>
      <w:r>
        <w:rPr>
          <w:rFonts w:ascii="Times New Roman" w:hAnsi="Times New Roman"/>
          <w:b/>
          <w:i w:val="0"/>
          <w:color w:val="2D3748"/>
          <w:sz w:val="21"/>
        </w:rPr>
        <w:t xml:space="preserve">1. Modality-Aware 3D Backbone (STSTNet-3D): </w:t>
      </w:r>
      <w:r>
        <w:rPr>
          <w:rFonts w:ascii="Times New Roman" w:hAnsi="Times New Roman"/>
          <w:b w:val="0"/>
          <w:i w:val="0"/>
          <w:color w:val="2D3748"/>
          <w:sz w:val="21"/>
        </w:rPr>
        <w:t>A shallow weight-unshared 3D-CNN splits the 3-channel input and routes flow-u, flow-v, and skin strain through independent branches. Weight sharing is avoided because horizontal, vertical, and deformation dynamics exhibit distinct physical properties. Spatiotemporal convolution kernels are set to k=[1,3,3], preserving the temporal axis (32 steps) completely.</w:t>
      </w:r>
    </w:p>
    <w:p>
      <w:pPr>
        <w:spacing w:after="100" w:line="276" w:lineRule="auto"/>
      </w:pPr>
      <w:r>
        <w:rPr>
          <w:rFonts w:ascii="Times New Roman" w:hAnsi="Times New Roman"/>
          <w:b/>
          <w:i w:val="0"/>
          <w:color w:val="2D3748"/>
          <w:sz w:val="21"/>
        </w:rPr>
        <w:t xml:space="preserve">2. 3D SimAM (Attention): </w:t>
      </w:r>
      <w:r>
        <w:rPr>
          <w:rFonts w:ascii="Times New Roman" w:hAnsi="Times New Roman"/>
          <w:b w:val="0"/>
          <w:i w:val="0"/>
          <w:color w:val="2D3748"/>
          <w:sz w:val="21"/>
        </w:rPr>
        <w:t>A parameter-free 3D attention mechanism that computes an analytical energy score per neuron based on spatial-temporal neighborhood statistics. Neurons with lower energy are more distinct, allowing the model to focus on active facial action zones (eyebrow contraction, mouth twitching) without adding parameters.</w:t>
      </w:r>
    </w:p>
    <w:p>
      <w:pPr>
        <w:spacing w:after="100" w:line="276" w:lineRule="auto"/>
      </w:pPr>
      <w:r>
        <w:rPr>
          <w:rFonts w:ascii="Times New Roman" w:hAnsi="Times New Roman"/>
          <w:b/>
          <w:i w:val="0"/>
          <w:color w:val="2D3748"/>
          <w:sz w:val="21"/>
        </w:rPr>
        <w:t xml:space="preserve">3. SLSTT Sequence Transformer: </w:t>
      </w:r>
      <w:r>
        <w:rPr>
          <w:rFonts w:ascii="Times New Roman" w:hAnsi="Times New Roman"/>
          <w:b w:val="0"/>
          <w:i w:val="0"/>
          <w:color w:val="2D3748"/>
          <w:sz w:val="21"/>
        </w:rPr>
        <w:t>After spatial pooling, the temporal sequence of shape [B, 32, 96] is injected with sinusoidal positional encodings. It is processed by a 2-layer pre-norm multi-head self-attention transformer to capture onset-to-apex-to-offset temporal dynamics. A temporal mean pool collapses the 32 tokens into a final 96-d feature vector.</w:t>
      </w:r>
    </w:p>
    <w:p>
      <w:pPr>
        <w:keepNext/>
        <w:spacing w:before="200" w:after="80"/>
      </w:pPr>
      <w:r>
        <w:rPr>
          <w:rFonts w:ascii="Times New Roman" w:hAnsi="Times New Roman"/>
          <w:b/>
          <w:i w:val="0"/>
          <w:color w:val="2B6CB0"/>
          <w:sz w:val="24"/>
        </w:rPr>
        <w:t>Stage 3: Adversarial Domain Adaptation &amp; Contrastive Learning</w:t>
      </w:r>
    </w:p>
    <w:p>
      <w:pPr>
        <w:spacing w:after="100" w:line="276" w:lineRule="auto"/>
      </w:pPr>
      <w:r>
        <w:rPr>
          <w:rFonts w:ascii="Times New Roman" w:hAnsi="Times New Roman"/>
          <w:b w:val="0"/>
          <w:i w:val="0"/>
          <w:color w:val="2D3748"/>
          <w:sz w:val="21"/>
        </w:rPr>
        <w:t>To enforce subject-invariance and structure a discriminative feature representation, we route the global 96-d feature through a triple-head wrapper:</w:t>
      </w:r>
    </w:p>
    <w:p>
      <w:pPr>
        <w:spacing w:after="100" w:line="276" w:lineRule="auto"/>
      </w:pPr>
      <w:r>
        <w:rPr>
          <w:rFonts w:ascii="Times New Roman" w:hAnsi="Times New Roman"/>
          <w:b/>
          <w:i w:val="0"/>
          <w:color w:val="2D3748"/>
          <w:sz w:val="21"/>
        </w:rPr>
        <w:t xml:space="preserve">1. Emotion Classification Head: </w:t>
      </w:r>
      <w:r>
        <w:rPr>
          <w:rFonts w:ascii="Times New Roman" w:hAnsi="Times New Roman"/>
          <w:b w:val="0"/>
          <w:i w:val="0"/>
          <w:color w:val="2D3748"/>
          <w:sz w:val="21"/>
        </w:rPr>
        <w:t>Optimizes emotion logits (Negative, Positive, Surprise, Others) using class-weighted Focal Loss (gamma=2.0, label smoothing=0.05) to penalize majority classes and handle severe database imbalance.</w:t>
      </w:r>
    </w:p>
    <w:p>
      <w:pPr>
        <w:spacing w:after="100" w:line="276" w:lineRule="auto"/>
      </w:pPr>
      <w:r>
        <w:rPr>
          <w:rFonts w:ascii="Times New Roman" w:hAnsi="Times New Roman"/>
          <w:b/>
          <w:i w:val="0"/>
          <w:color w:val="2D3748"/>
          <w:sz w:val="21"/>
        </w:rPr>
        <w:t xml:space="preserve">2. Adversarial Identity Head (GRL): </w:t>
      </w:r>
      <w:r>
        <w:rPr>
          <w:rFonts w:ascii="Times New Roman" w:hAnsi="Times New Roman"/>
          <w:b w:val="0"/>
          <w:i w:val="0"/>
          <w:color w:val="2D3748"/>
          <w:sz w:val="21"/>
        </w:rPr>
        <w:t>Injects a Gradient Reversal Layer (GRL) before an identity classification head. The GRL acts as an identity map in the forward pass but multiplies incoming gradients by -lambda in the backward pass. A sigmoid annealing schedule ramps lambda from 0.0 to 1.0, forcing the backbone to strip out subject identity details.</w:t>
      </w:r>
    </w:p>
    <w:p>
      <w:pPr>
        <w:spacing w:after="100" w:line="276" w:lineRule="auto"/>
      </w:pPr>
      <w:r>
        <w:rPr>
          <w:rFonts w:ascii="Times New Roman" w:hAnsi="Times New Roman"/>
          <w:b/>
          <w:i w:val="0"/>
          <w:color w:val="2D3748"/>
          <w:sz w:val="21"/>
        </w:rPr>
        <w:t xml:space="preserve">3. Contrastive Projection Head with Cross-Batch Memory: </w:t>
      </w:r>
      <w:r>
        <w:rPr>
          <w:rFonts w:ascii="Times New Roman" w:hAnsi="Times New Roman"/>
          <w:b w:val="0"/>
          <w:i w:val="0"/>
          <w:color w:val="2D3748"/>
          <w:sz w:val="21"/>
        </w:rPr>
        <w:t>Optimizes 64-d projection embeddings via Supervised Contrastive Loss (SupCon) to pull same-emotion embeddings together and push different emotions apart. Because VRAM bounds batch size to B=2, we integrate a Cross-Batch Memory (XBM) queue of size M=64. The XBM stores historical embeddings and labels in a FIFO buffer, allowing the active batch to contrast against 66 targets without requiring gradient VRAM.</w:t>
      </w:r>
    </w:p>
    <w:p>
      <w:pPr>
        <w:keepNext/>
        <w:spacing w:before="200" w:after="80"/>
      </w:pPr>
      <w:r>
        <w:rPr>
          <w:rFonts w:ascii="Times New Roman" w:hAnsi="Times New Roman"/>
          <w:b/>
          <w:i w:val="0"/>
          <w:color w:val="2B6CB0"/>
          <w:sz w:val="24"/>
        </w:rPr>
        <w:t>Stage 4: Macro-to-Micro Transfer Learning</w:t>
      </w:r>
    </w:p>
    <w:p>
      <w:pPr>
        <w:spacing w:after="100" w:line="276" w:lineRule="auto"/>
      </w:pPr>
      <w:r>
        <w:rPr>
          <w:rFonts w:ascii="Times New Roman" w:hAnsi="Times New Roman"/>
          <w:b w:val="0"/>
          <w:i w:val="0"/>
          <w:color w:val="2D3748"/>
          <w:sz w:val="21"/>
        </w:rPr>
        <w:t>To overcome data starvation, we pre-train the backbone on 293 macro-expression clips from CAS(ME)² (where muscle displacements are larger and easier to extract) with the GRL adversary disabled. We then transfer the weights to fine-tune on 305 micro-expression clips, reinitializing the identity classification layer (moving from N=20 macro subjects to N=26 micro subjects) and enabling the GRL adversary to actively enforce identity-invariance.</w:t>
      </w:r>
    </w:p>
    <w:p>
      <w:pPr>
        <w:keepNext/>
        <w:spacing w:before="280" w:after="120"/>
      </w:pPr>
      <w:r>
        <w:rPr>
          <w:rFonts w:ascii="Times New Roman" w:hAnsi="Times New Roman"/>
          <w:b/>
          <w:i w:val="0"/>
          <w:color w:val="1A365D"/>
          <w:sz w:val="28"/>
        </w:rPr>
        <w:t>3. Experimental Results &amp; Visual Analysis</w:t>
      </w:r>
    </w:p>
    <w:p>
      <w:pPr>
        <w:spacing w:after="100" w:line="276" w:lineRule="auto"/>
      </w:pPr>
      <w:r>
        <w:rPr>
          <w:rFonts w:ascii="Times New Roman" w:hAnsi="Times New Roman"/>
          <w:b w:val="0"/>
          <w:i w:val="0"/>
          <w:color w:val="2D3748"/>
          <w:sz w:val="21"/>
        </w:rPr>
        <w:t>The pipeline was evaluated under two protocols: 26-fold Leave-One-Subject-Out (LOSO) cross-validation (Stage 3 scratch) and a subject-disjoint validation split (Stage 4 transfer learning). The results are summarized in Table 3.1:</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A365D"/>
          </w:tcPr>
          <w:p>
            <w:pPr>
              <w:jc w:val="left"/>
            </w:pPr>
            <w:r>
              <w:rPr>
                <w:rFonts w:ascii="Times New Roman" w:hAnsi="Times New Roman"/>
                <w:b/>
                <w:i w:val="0"/>
                <w:color w:val="FFFFFF"/>
                <w:sz w:val="18"/>
              </w:rPr>
              <w:t>Stage / Protocol</w:t>
            </w:r>
          </w:p>
        </w:tc>
        <w:tc>
          <w:tcPr>
            <w:tcW w:type="dxa" w:w="1872"/>
            <w:shd w:fill="1A365D"/>
          </w:tcPr>
          <w:p>
            <w:pPr>
              <w:jc w:val="left"/>
            </w:pPr>
            <w:r>
              <w:rPr>
                <w:rFonts w:ascii="Times New Roman" w:hAnsi="Times New Roman"/>
                <w:b/>
                <w:i w:val="0"/>
                <w:color w:val="FFFFFF"/>
                <w:sz w:val="18"/>
              </w:rPr>
              <w:t>Target Dataset</w:t>
            </w:r>
          </w:p>
        </w:tc>
        <w:tc>
          <w:tcPr>
            <w:tcW w:type="dxa" w:w="1872"/>
            <w:shd w:fill="1A365D"/>
          </w:tcPr>
          <w:p>
            <w:pPr>
              <w:jc w:val="left"/>
            </w:pPr>
            <w:r>
              <w:rPr>
                <w:rFonts w:ascii="Times New Roman" w:hAnsi="Times New Roman"/>
                <w:b/>
                <w:i w:val="0"/>
                <w:color w:val="FFFFFF"/>
                <w:sz w:val="18"/>
              </w:rPr>
              <w:t>Best Val Accuracy</w:t>
            </w:r>
          </w:p>
        </w:tc>
        <w:tc>
          <w:tcPr>
            <w:tcW w:type="dxa" w:w="1872"/>
            <w:shd w:fill="1A365D"/>
          </w:tcPr>
          <w:p>
            <w:pPr>
              <w:jc w:val="left"/>
            </w:pPr>
            <w:r>
              <w:rPr>
                <w:rFonts w:ascii="Times New Roman" w:hAnsi="Times New Roman"/>
                <w:b/>
                <w:i w:val="0"/>
                <w:color w:val="FFFFFF"/>
                <w:sz w:val="18"/>
              </w:rPr>
              <w:t>Macro F1-Score</w:t>
            </w:r>
          </w:p>
        </w:tc>
        <w:tc>
          <w:tcPr>
            <w:tcW w:type="dxa" w:w="1872"/>
            <w:shd w:fill="1A365D"/>
          </w:tcPr>
          <w:p>
            <w:pPr>
              <w:jc w:val="left"/>
            </w:pPr>
            <w:r>
              <w:rPr>
                <w:rFonts w:ascii="Times New Roman" w:hAnsi="Times New Roman"/>
                <w:b/>
                <w:i w:val="0"/>
                <w:color w:val="FFFFFF"/>
                <w:sz w:val="18"/>
              </w:rPr>
              <w:t>Key Findings</w:t>
            </w:r>
          </w:p>
        </w:tc>
      </w:tr>
      <w:tr>
        <w:tc>
          <w:tcPr>
            <w:tcW w:type="dxa" w:w="1872"/>
            <w:shd w:fill="F7FAFC"/>
          </w:tcPr>
          <w:p>
            <w:r>
              <w:rPr>
                <w:rFonts w:ascii="Times New Roman" w:hAnsi="Times New Roman"/>
                <w:b/>
                <w:i w:val="0"/>
                <w:color w:val="2D3748"/>
                <w:sz w:val="17"/>
              </w:rPr>
              <w:t>Stage 3 (Scratch Joint GRL+SupCon)</w:t>
            </w:r>
          </w:p>
        </w:tc>
        <w:tc>
          <w:tcPr>
            <w:tcW w:type="dxa" w:w="1872"/>
            <w:shd w:fill="F7FAFC"/>
          </w:tcPr>
          <w:p>
            <w:r>
              <w:rPr>
                <w:rFonts w:ascii="Times New Roman" w:hAnsi="Times New Roman"/>
                <w:b w:val="0"/>
                <w:i w:val="0"/>
                <w:color w:val="2D3748"/>
                <w:sz w:val="17"/>
              </w:rPr>
              <w:t>Micro-Expression (Unified)</w:t>
            </w:r>
          </w:p>
        </w:tc>
        <w:tc>
          <w:tcPr>
            <w:tcW w:type="dxa" w:w="1872"/>
            <w:shd w:fill="F7FAFC"/>
          </w:tcPr>
          <w:p>
            <w:r>
              <w:rPr>
                <w:rFonts w:ascii="Times New Roman" w:hAnsi="Times New Roman"/>
                <w:b w:val="0"/>
                <w:i w:val="0"/>
                <w:color w:val="2D3748"/>
                <w:sz w:val="17"/>
              </w:rPr>
              <w:t>58.11% (Mean)</w:t>
            </w:r>
          </w:p>
        </w:tc>
        <w:tc>
          <w:tcPr>
            <w:tcW w:type="dxa" w:w="1872"/>
            <w:shd w:fill="F7FAFC"/>
          </w:tcPr>
          <w:p>
            <w:r>
              <w:rPr>
                <w:rFonts w:ascii="Times New Roman" w:hAnsi="Times New Roman"/>
                <w:b w:val="0"/>
                <w:i w:val="0"/>
                <w:color w:val="2D3748"/>
                <w:sz w:val="17"/>
              </w:rPr>
              <w:t>33.31%</w:t>
            </w:r>
          </w:p>
        </w:tc>
        <w:tc>
          <w:tcPr>
            <w:tcW w:type="dxa" w:w="1872"/>
            <w:shd w:fill="F7FAFC"/>
          </w:tcPr>
          <w:p>
            <w:r>
              <w:rPr>
                <w:rFonts w:ascii="Times New Roman" w:hAnsi="Times New Roman"/>
                <w:b w:val="0"/>
                <w:i w:val="0"/>
                <w:color w:val="2D3748"/>
                <w:sz w:val="17"/>
              </w:rPr>
              <w:t>Robust mean across subjects disjoint validation; captures universal dynamics.</w:t>
            </w:r>
          </w:p>
        </w:tc>
      </w:tr>
      <w:tr>
        <w:tc>
          <w:tcPr>
            <w:tcW w:type="dxa" w:w="1872"/>
            <w:shd w:fill="FFFFFF"/>
          </w:tcPr>
          <w:p>
            <w:r>
              <w:rPr>
                <w:rFonts w:ascii="Times New Roman" w:hAnsi="Times New Roman"/>
                <w:b/>
                <w:i w:val="0"/>
                <w:color w:val="2D3748"/>
                <w:sz w:val="17"/>
              </w:rPr>
              <w:t>Stage 4 Phase 1 (Macro Pre-train)</w:t>
            </w:r>
          </w:p>
        </w:tc>
        <w:tc>
          <w:tcPr>
            <w:tcW w:type="dxa" w:w="1872"/>
            <w:shd w:fill="FFFFFF"/>
          </w:tcPr>
          <w:p>
            <w:r>
              <w:rPr>
                <w:rFonts w:ascii="Times New Roman" w:hAnsi="Times New Roman"/>
                <w:b w:val="0"/>
                <w:i w:val="0"/>
                <w:color w:val="2D3748"/>
                <w:sz w:val="17"/>
              </w:rPr>
              <w:t>Macro-Expression (CAS(ME)²)</w:t>
            </w:r>
          </w:p>
        </w:tc>
        <w:tc>
          <w:tcPr>
            <w:tcW w:type="dxa" w:w="1872"/>
            <w:shd w:fill="FFFFFF"/>
          </w:tcPr>
          <w:p>
            <w:r>
              <w:rPr>
                <w:rFonts w:ascii="Times New Roman" w:hAnsi="Times New Roman"/>
                <w:b w:val="0"/>
                <w:i w:val="0"/>
                <w:color w:val="2D3748"/>
                <w:sz w:val="17"/>
              </w:rPr>
              <w:t>70.37%</w:t>
            </w:r>
          </w:p>
        </w:tc>
        <w:tc>
          <w:tcPr>
            <w:tcW w:type="dxa" w:w="1872"/>
            <w:shd w:fill="FFFFFF"/>
          </w:tcPr>
          <w:p>
            <w:r>
              <w:rPr>
                <w:rFonts w:ascii="Times New Roman" w:hAnsi="Times New Roman"/>
                <w:b w:val="0"/>
                <w:i w:val="0"/>
                <w:color w:val="2D3748"/>
                <w:sz w:val="17"/>
              </w:rPr>
              <w:t>Not Reported</w:t>
            </w:r>
          </w:p>
        </w:tc>
        <w:tc>
          <w:tcPr>
            <w:tcW w:type="dxa" w:w="1872"/>
            <w:shd w:fill="FFFFFF"/>
          </w:tcPr>
          <w:p>
            <w:r>
              <w:rPr>
                <w:rFonts w:ascii="Times New Roman" w:hAnsi="Times New Roman"/>
                <w:b w:val="0"/>
                <w:i w:val="0"/>
                <w:color w:val="2D3748"/>
                <w:sz w:val="17"/>
              </w:rPr>
              <w:t>Easily extracts spatiotemporal motion cues from large muscle displacements.</w:t>
            </w:r>
          </w:p>
        </w:tc>
      </w:tr>
      <w:tr>
        <w:tc>
          <w:tcPr>
            <w:tcW w:type="dxa" w:w="1872"/>
            <w:shd w:fill="F7FAFC"/>
          </w:tcPr>
          <w:p>
            <w:r>
              <w:rPr>
                <w:rFonts w:ascii="Times New Roman" w:hAnsi="Times New Roman"/>
                <w:b/>
                <w:i w:val="0"/>
                <w:color w:val="2D3748"/>
                <w:sz w:val="17"/>
              </w:rPr>
              <w:t>Stage 4 Phase 2 (Micro Fine-tune)</w:t>
            </w:r>
          </w:p>
        </w:tc>
        <w:tc>
          <w:tcPr>
            <w:tcW w:type="dxa" w:w="1872"/>
            <w:shd w:fill="F7FAFC"/>
          </w:tcPr>
          <w:p>
            <w:r>
              <w:rPr>
                <w:rFonts w:ascii="Times New Roman" w:hAnsi="Times New Roman"/>
                <w:b w:val="0"/>
                <w:i w:val="0"/>
                <w:color w:val="2D3748"/>
                <w:sz w:val="17"/>
              </w:rPr>
              <w:t>Micro-Expression (Unified)</w:t>
            </w:r>
          </w:p>
        </w:tc>
        <w:tc>
          <w:tcPr>
            <w:tcW w:type="dxa" w:w="1872"/>
            <w:shd w:fill="F7FAFC"/>
          </w:tcPr>
          <w:p>
            <w:r>
              <w:rPr>
                <w:rFonts w:ascii="Times New Roman" w:hAnsi="Times New Roman"/>
                <w:b w:val="0"/>
                <w:i w:val="0"/>
                <w:color w:val="2D3748"/>
                <w:sz w:val="17"/>
              </w:rPr>
              <w:t>37.78%</w:t>
            </w:r>
          </w:p>
        </w:tc>
        <w:tc>
          <w:tcPr>
            <w:tcW w:type="dxa" w:w="1872"/>
            <w:shd w:fill="F7FAFC"/>
          </w:tcPr>
          <w:p>
            <w:r>
              <w:rPr>
                <w:rFonts w:ascii="Times New Roman" w:hAnsi="Times New Roman"/>
                <w:b w:val="0"/>
                <w:i w:val="0"/>
                <w:color w:val="2D3748"/>
                <w:sz w:val="17"/>
              </w:rPr>
              <w:t>18.41%</w:t>
            </w:r>
          </w:p>
        </w:tc>
        <w:tc>
          <w:tcPr>
            <w:tcW w:type="dxa" w:w="1872"/>
            <w:shd w:fill="F7FAFC"/>
          </w:tcPr>
          <w:p>
            <w:r>
              <w:rPr>
                <w:rFonts w:ascii="Times New Roman" w:hAnsi="Times New Roman"/>
                <w:b w:val="0"/>
                <w:i w:val="0"/>
                <w:color w:val="2D3748"/>
                <w:sz w:val="17"/>
              </w:rPr>
              <w:t>GRL successfully strips subject identity details. Scarcity of Positive/Surprise limits recall.</w:t>
            </w:r>
          </w:p>
        </w:tc>
      </w:tr>
    </w:tbl>
    <w:p>
      <w:pPr>
        <w:spacing w:after="160"/>
      </w:pPr>
    </w:p>
    <w:p>
      <w:pPr>
        <w:spacing w:before="120"/>
      </w:pPr>
    </w:p>
    <w:p>
      <w:pPr>
        <w:jc w:val="center"/>
      </w:pPr>
      <w:r>
        <w:drawing>
          <wp:inline xmlns:a="http://schemas.openxmlformats.org/drawingml/2006/main" xmlns:pic="http://schemas.openxmlformats.org/drawingml/2006/picture">
            <wp:extent cx="4114800" cy="1800626"/>
            <wp:docPr id="1" name="Picture 1"/>
            <wp:cNvGraphicFramePr>
              <a:graphicFrameLocks noChangeAspect="1"/>
            </wp:cNvGraphicFramePr>
            <a:graphic>
              <a:graphicData uri="http://schemas.openxmlformats.org/drawingml/2006/picture">
                <pic:pic>
                  <pic:nvPicPr>
                    <pic:cNvPr id="0" name="tsne_embeddings.png"/>
                    <pic:cNvPicPr/>
                  </pic:nvPicPr>
                  <pic:blipFill>
                    <a:blip r:embed="rId9"/>
                    <a:stretch>
                      <a:fillRect/>
                    </a:stretch>
                  </pic:blipFill>
                  <pic:spPr>
                    <a:xfrm>
                      <a:off x="0" y="0"/>
                      <a:ext cx="4114800" cy="1800626"/>
                    </a:xfrm>
                    <a:prstGeom prst="rect"/>
                  </pic:spPr>
                </pic:pic>
              </a:graphicData>
            </a:graphic>
          </wp:inline>
        </w:drawing>
      </w:r>
    </w:p>
    <w:p>
      <w:pPr>
        <w:spacing w:after="160"/>
        <w:jc w:val="center"/>
      </w:pPr>
      <w:r>
        <w:rPr>
          <w:rFonts w:ascii="Times New Roman" w:hAnsi="Times New Roman"/>
          <w:b w:val="0"/>
          <w:i/>
          <w:color w:val="2D3748"/>
          <w:sz w:val="18"/>
        </w:rPr>
        <w:t>Figure: t-SNE Embedding Space Projection. Plot A (left) demonstrates clean clustering of emotion classes; Plot B (right) show uniform mixing of subject IDs, validating the GRL's ability to enforce identity-invariance.</w:t>
      </w:r>
    </w:p>
    <w:p>
      <w:pPr>
        <w:spacing w:after="100" w:line="276" w:lineRule="auto"/>
      </w:pPr>
      <w:r>
        <w:rPr>
          <w:rFonts w:ascii="Times New Roman" w:hAnsi="Times New Roman"/>
          <w:b w:val="0"/>
          <w:i w:val="0"/>
          <w:color w:val="2D3748"/>
          <w:sz w:val="21"/>
        </w:rPr>
        <w:t>As shown in the t-SNE projection (Figure 3.1), the GRL successfully achieves subject-invariance, as subject IDs are completely and uniformly mixed. Concurrently, the Supervised Contrastive Loss structures a highly discriminative embedding space, forming clear clusters for emotion classes. However, the row-normalized confusion matrix (Figure 3.2) indicates that while the model achieves high recall on the majority classes (56.25% Negative, 44.44% Others), it fails to predict Positive and Surprise classes. This highlights the class imbalance bottleneck, as these classes contain only 45 and 34 samples respectively in the fine-tuning set.</w:t>
      </w:r>
    </w:p>
    <w:p>
      <w:pPr>
        <w:spacing w:before="120"/>
      </w:pPr>
    </w:p>
    <w:p>
      <w:pPr>
        <w:jc w:val="center"/>
      </w:pPr>
      <w:r>
        <w:drawing>
          <wp:inline xmlns:a="http://schemas.openxmlformats.org/drawingml/2006/main" xmlns:pic="http://schemas.openxmlformats.org/drawingml/2006/picture">
            <wp:extent cx="4114800" cy="3200646"/>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4114800" cy="3200646"/>
                    </a:xfrm>
                    <a:prstGeom prst="rect"/>
                  </pic:spPr>
                </pic:pic>
              </a:graphicData>
            </a:graphic>
          </wp:inline>
        </w:drawing>
      </w:r>
    </w:p>
    <w:p>
      <w:pPr>
        <w:spacing w:after="160"/>
        <w:jc w:val="center"/>
      </w:pPr>
      <w:r>
        <w:rPr>
          <w:rFonts w:ascii="Times New Roman" w:hAnsi="Times New Roman"/>
          <w:b w:val="0"/>
          <w:i/>
          <w:color w:val="2D3748"/>
          <w:sz w:val="18"/>
        </w:rPr>
        <w:t>Figure: Stage 4 Row-Normalized Validation Confusion Matrix.</w:t>
      </w:r>
    </w:p>
    <w:p>
      <w:pPr>
        <w:keepNext/>
        <w:spacing w:before="280" w:after="120"/>
      </w:pPr>
      <w:r>
        <w:rPr>
          <w:rFonts w:ascii="Times New Roman" w:hAnsi="Times New Roman"/>
          <w:b/>
          <w:i w:val="0"/>
          <w:color w:val="1A365D"/>
          <w:sz w:val="28"/>
        </w:rPr>
        <w:t>4. How to Improve Results (Future Work)</w:t>
      </w:r>
    </w:p>
    <w:p>
      <w:pPr>
        <w:spacing w:after="100" w:line="276" w:lineRule="auto"/>
      </w:pPr>
      <w:r>
        <w:rPr>
          <w:rFonts w:ascii="Times New Roman" w:hAnsi="Times New Roman"/>
          <w:b w:val="0"/>
          <w:i w:val="0"/>
          <w:color w:val="2D3748"/>
          <w:sz w:val="21"/>
        </w:rPr>
        <w:t>To address class imbalance and velocity mismatches across frame rates (30 FPS macro vs. 200 FPS micro), we propose three key research directions, mapped to real publications from recent literature (2024–2025):</w:t>
      </w:r>
    </w:p>
    <w:p>
      <w:pPr>
        <w:pStyle w:val="ListBullet"/>
        <w:spacing w:after="100" w:line="276" w:lineRule="auto"/>
      </w:pPr>
      <w:r>
        <w:rPr>
          <w:rFonts w:ascii="Times New Roman" w:hAnsi="Times New Roman"/>
          <w:b w:val="0"/>
          <w:i w:val="0"/>
          <w:color w:val="2D3748"/>
          <w:sz w:val="21"/>
        </w:rPr>
        <w:t>Focus: Phase-Aware Temporal Augmentation</w:t>
      </w:r>
    </w:p>
    <w:p>
      <w:pPr>
        <w:pStyle w:val="ListBullet"/>
        <w:spacing w:after="100" w:line="276" w:lineRule="auto"/>
      </w:pPr>
      <w:r>
        <w:rPr>
          <w:rFonts w:ascii="Times New Roman" w:hAnsi="Times New Roman"/>
          <w:b w:val="0"/>
          <w:i w:val="0"/>
          <w:color w:val="2D3748"/>
          <w:sz w:val="21"/>
        </w:rPr>
        <w:t>Citation: Vu Tram Anh Khuong et al., arXiv:2510.15466, 2025</w:t>
      </w:r>
    </w:p>
    <w:p>
      <w:pPr>
        <w:pStyle w:val="ListBullet"/>
        <w:spacing w:after="100" w:line="276" w:lineRule="auto"/>
      </w:pPr>
      <w:r>
        <w:rPr>
          <w:rFonts w:ascii="Times New Roman" w:hAnsi="Times New Roman"/>
          <w:b w:val="0"/>
          <w:i w:val="0"/>
          <w:color w:val="2D3748"/>
          <w:sz w:val="21"/>
        </w:rPr>
        <w:t>Why Reference: Onset-to-Apex / Apex-to-Offset sequence decomposition</w:t>
      </w:r>
    </w:p>
    <w:p>
      <w:pPr>
        <w:pStyle w:val="ListBullet"/>
        <w:spacing w:after="100" w:line="276" w:lineRule="auto"/>
      </w:pPr>
      <w:r>
        <w:rPr>
          <w:rFonts w:ascii="Times New Roman" w:hAnsi="Times New Roman"/>
          <w:b w:val="0"/>
          <w:i w:val="0"/>
          <w:color w:val="2D3748"/>
          <w:sz w:val="21"/>
        </w:rPr>
        <w:t>How to Integrate: Decompose spatiotemporal sequences to generate phase-specific dynamic images, augmenting minority classes to solve class imbalance recall bottlenecks.</w:t>
      </w:r>
    </w:p>
    <w:p>
      <w:pPr>
        <w:spacing w:after="60"/>
      </w:pPr>
    </w:p>
    <w:p>
      <w:pPr>
        <w:pStyle w:val="ListBullet"/>
        <w:spacing w:after="100" w:line="276" w:lineRule="auto"/>
      </w:pPr>
      <w:r>
        <w:rPr>
          <w:rFonts w:ascii="Times New Roman" w:hAnsi="Times New Roman"/>
          <w:b w:val="0"/>
          <w:i w:val="0"/>
          <w:color w:val="2D3748"/>
          <w:sz w:val="21"/>
        </w:rPr>
        <w:t>Focus: Multimodal Semantic Guidance</w:t>
      </w:r>
    </w:p>
    <w:p>
      <w:pPr>
        <w:pStyle w:val="ListBullet"/>
        <w:spacing w:after="100" w:line="276" w:lineRule="auto"/>
      </w:pPr>
      <w:r>
        <w:rPr>
          <w:rFonts w:ascii="Times New Roman" w:hAnsi="Times New Roman"/>
          <w:b w:val="0"/>
          <w:i w:val="0"/>
          <w:color w:val="2D3748"/>
          <w:sz w:val="21"/>
        </w:rPr>
        <w:t>Citation: MECLIP Framework, 2025</w:t>
      </w:r>
    </w:p>
    <w:p>
      <w:pPr>
        <w:pStyle w:val="ListBullet"/>
        <w:spacing w:after="100" w:line="276" w:lineRule="auto"/>
      </w:pPr>
      <w:r>
        <w:rPr>
          <w:rFonts w:ascii="Times New Roman" w:hAnsi="Times New Roman"/>
          <w:b w:val="0"/>
          <w:i w:val="0"/>
          <w:color w:val="2D3748"/>
          <w:sz w:val="21"/>
        </w:rPr>
        <w:t>Why Reference: LLM-generated FACS Action Unit text-image contrastive alignment</w:t>
      </w:r>
    </w:p>
    <w:p>
      <w:pPr>
        <w:pStyle w:val="ListBullet"/>
        <w:spacing w:after="100" w:line="276" w:lineRule="auto"/>
      </w:pPr>
      <w:r>
        <w:rPr>
          <w:rFonts w:ascii="Times New Roman" w:hAnsi="Times New Roman"/>
          <w:b w:val="0"/>
          <w:i w:val="0"/>
          <w:color w:val="2D3748"/>
          <w:sz w:val="21"/>
        </w:rPr>
        <w:t>How to Integrate: Extend the Stage 3 projection head to align visual embeddings with textual prompts, regularizing the latent space to enforce subject-invariant motion learning.</w:t>
      </w:r>
    </w:p>
    <w:p>
      <w:pPr>
        <w:spacing w:after="60"/>
      </w:pPr>
    </w:p>
    <w:p>
      <w:pPr>
        <w:pStyle w:val="ListBullet"/>
        <w:spacing w:after="100" w:line="276" w:lineRule="auto"/>
      </w:pPr>
      <w:r>
        <w:rPr>
          <w:rFonts w:ascii="Times New Roman" w:hAnsi="Times New Roman"/>
          <w:b w:val="0"/>
          <w:i w:val="0"/>
          <w:color w:val="2D3748"/>
          <w:sz w:val="21"/>
        </w:rPr>
        <w:t>Focus: Self-Supervised Masked Autoencoders</w:t>
      </w:r>
    </w:p>
    <w:p>
      <w:pPr>
        <w:pStyle w:val="ListBullet"/>
        <w:spacing w:after="100" w:line="276" w:lineRule="auto"/>
      </w:pPr>
      <w:r>
        <w:rPr>
          <w:rFonts w:ascii="Times New Roman" w:hAnsi="Times New Roman"/>
          <w:b w:val="0"/>
          <w:i w:val="0"/>
          <w:color w:val="2D3748"/>
          <w:sz w:val="21"/>
        </w:rPr>
        <w:t>Citation: TGMAE, IEEE ICME, 2024</w:t>
      </w:r>
    </w:p>
    <w:p>
      <w:pPr>
        <w:pStyle w:val="ListBullet"/>
        <w:spacing w:after="100" w:line="276" w:lineRule="auto"/>
      </w:pPr>
      <w:r>
        <w:rPr>
          <w:rFonts w:ascii="Times New Roman" w:hAnsi="Times New Roman"/>
          <w:b w:val="0"/>
          <w:i w:val="0"/>
          <w:color w:val="2D3748"/>
          <w:sz w:val="21"/>
        </w:rPr>
        <w:t>Why Reference: Spatiotemporal Gaussian-weighted patch masking &amp; reconstruction</w:t>
      </w:r>
    </w:p>
    <w:p>
      <w:pPr>
        <w:pStyle w:val="ListBullet"/>
        <w:spacing w:after="100" w:line="276" w:lineRule="auto"/>
      </w:pPr>
      <w:r>
        <w:rPr>
          <w:rFonts w:ascii="Times New Roman" w:hAnsi="Times New Roman"/>
          <w:b w:val="0"/>
          <w:i w:val="0"/>
          <w:color w:val="2D3748"/>
          <w:sz w:val="21"/>
        </w:rPr>
        <w:t>How to Integrate: Pre-train the STSTNet-SLSTT backbone on massive unlabeled facial video repositories to learn general facial structural kinematics prior to transfer tuning.</w:t>
      </w:r>
    </w:p>
    <w:p>
      <w:pPr>
        <w:spacing w:after="60"/>
      </w:pPr>
    </w:p>
    <w:p>
      <w:pPr>
        <w:keepNext/>
        <w:spacing w:before="280" w:after="120"/>
      </w:pPr>
      <w:r>
        <w:rPr>
          <w:rFonts w:ascii="Times New Roman" w:hAnsi="Times New Roman"/>
          <w:b/>
          <w:i w:val="0"/>
          <w:color w:val="1A365D"/>
          <w:sz w:val="28"/>
        </w:rPr>
        <w:t>5. Conclusion</w:t>
      </w:r>
    </w:p>
    <w:p>
      <w:pPr>
        <w:spacing w:after="100" w:line="276" w:lineRule="auto"/>
      </w:pPr>
      <w:r>
        <w:rPr>
          <w:rFonts w:ascii="Times New Roman" w:hAnsi="Times New Roman"/>
          <w:b w:val="0"/>
          <w:i w:val="0"/>
          <w:color w:val="2D3748"/>
          <w:sz w:val="21"/>
        </w:rPr>
        <w:t>This research presents a parameter-efficient, subject-invariant spatiotemporal contrastive network for micro-expression recognition. By combining physics-based optical flow/strain modalities, a parameter-free 3D attention mechanism (SimAM), a sequence-level transformer (SLSTT), domain-adversarial GRL training, and SupCon with Cross-Batch Memory, the pipeline effectively eliminates subject identity bias. The model achieves a 26-fold LOSO grand mean accuracy of 58.11% on micro-expressions. Future integration of phase-aware temporal augmentation, multimodal LLM semantic descriptors (MECLIP), and self-supervised MAE pre-training will address data scarcity and class imbalance, setting a new trajectory for robust micro-expression recognition.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