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300"/>
        <w:tblBorders>
          <w:top w:val="none" w:color="FFFFFF" w:sz="0"/>
          <w:left w:val="none" w:color="FFFFFF" w:sz="0"/>
          <w:bottom w:val="single" w:color="ED8B00" w:sz="24"/>
          <w:right w:val="none" w:color="FFFFFF" w:sz="0"/>
          <w:insideH w:val="single" w:color="auto" w:sz="4"/>
          <w:insideV w:val="single" w:color="auto" w:sz="4"/>
        </w:tblBorders>
      </w:tblPr>
      <w:tblGrid>
        <w:gridCol w:w="8300"/>
      </w:tblGrid>
      <w:tr>
        <w:tc>
          <w:tcPr>
            <w:tcW w:type="dxa" w:w="8300"/>
            <w:shd w:fill="70002E" w:val="clear"/>
            <w:tcMar>
              <w:top w:type="dxa" w:w="260"/>
              <w:left w:type="dxa" w:w="260"/>
              <w:bottom w:type="dxa" w:w="260"/>
              <w:right w:type="dxa" w:w="260"/>
            </w:tcMar>
            <w:vAlign w:val="center"/>
          </w:tcPr>
          <w:p>
            <w:pPr>
              <w:spacing w:after="80"/>
            </w:pPr>
            <w:r>
              <w:rPr>
                <w:b/>
                <w:bCs/>
                <w:color w:val="FFFFFF"/>
                <w:spacing w:val="20"/>
                <w:sz w:val="20"/>
                <w:szCs w:val="20"/>
              </w:rPr>
              <w:t xml:space="preserve">UNIVERSITY OF MONTANA</w:t>
            </w:r>
          </w:p>
          <w:p>
            <w:pPr>
              <w:spacing w:after="80"/>
            </w:pPr>
            <w:r>
              <w:rPr>
                <w:b/>
                <w:bCs/>
                <w:color w:val="FFFFFF"/>
                <w:sz w:val="40"/>
                <w:szCs w:val="40"/>
              </w:rPr>
              <w:t xml:space="preserve">CSCI 391 – ST: Agentic Artificial Intelligence</w:t>
            </w:r>
          </w:p>
          <w:p>
            <w:r>
              <w:rPr>
                <w:b/>
                <w:bCs/>
                <w:color w:val="FFE9C7"/>
                <w:sz w:val="22"/>
                <w:szCs w:val="22"/>
              </w:rPr>
              <w:t xml:space="preserve">Autumn Semester 2026</w:t>
            </w:r>
          </w:p>
        </w:tc>
      </w:tr>
    </w:tbl>
    <w:p>
      <w:pPr>
        <w:spacing w:after="200"/>
      </w:pPr>
      <w:r>
        <w:t xml:space="preserve"/>
      </w:r>
    </w:p>
    <w:p>
      <w:pPr>
        <w:pStyle w:val="Heading1"/>
        <w:pBdr>
          <w:bottom w:val="single" w:color="ED8B00" w:sz="8" w:space="4"/>
        </w:pBdr>
        <w:spacing w:after="150" w:before="300"/>
      </w:pPr>
      <w:r>
        <w:rPr>
          <w:color w:val="70002E"/>
        </w:rPr>
        <w:t xml:space="preserve">General Course Information</w:t>
      </w:r>
    </w:p>
    <w:p>
      <w:pPr>
        <w:pStyle w:val="ListParagraph"/>
        <w:numPr>
          <w:ilvl w:val="0"/>
          <w:numId w:val="2"/>
        </w:numPr>
        <w:spacing w:after="120"/>
      </w:pPr>
      <w:r>
        <w:rPr>
          <w:b/>
          <w:bCs/>
        </w:rPr>
        <w:t xml:space="preserve">School Name: </w:t>
      </w:r>
      <w:r>
        <w:t xml:space="preserve">University of Montana</w:t>
      </w:r>
    </w:p>
    <w:p>
      <w:pPr>
        <w:pStyle w:val="ListParagraph"/>
        <w:numPr>
          <w:ilvl w:val="0"/>
          <w:numId w:val="2"/>
        </w:numPr>
        <w:spacing w:after="120"/>
      </w:pPr>
      <w:r>
        <w:rPr>
          <w:b/>
          <w:bCs/>
        </w:rPr>
        <w:t xml:space="preserve">Course Number: </w:t>
      </w:r>
      <w:r>
        <w:t xml:space="preserve">CSCI 391</w:t>
      </w:r>
    </w:p>
    <w:p>
      <w:pPr>
        <w:pStyle w:val="ListParagraph"/>
        <w:numPr>
          <w:ilvl w:val="0"/>
          <w:numId w:val="2"/>
        </w:numPr>
        <w:spacing w:after="120"/>
      </w:pPr>
      <w:r>
        <w:rPr>
          <w:b/>
          <w:bCs/>
        </w:rPr>
        <w:t xml:space="preserve">Course Title: </w:t>
      </w:r>
      <w:r>
        <w:t xml:space="preserve">Agentic Artificial Intelligence</w:t>
      </w:r>
    </w:p>
    <w:p>
      <w:pPr>
        <w:pStyle w:val="ListParagraph"/>
        <w:numPr>
          <w:ilvl w:val="0"/>
          <w:numId w:val="2"/>
        </w:numPr>
        <w:spacing w:after="120"/>
      </w:pPr>
      <w:r>
        <w:rPr>
          <w:b/>
          <w:bCs/>
        </w:rPr>
        <w:t xml:space="preserve">CRN: </w:t>
      </w:r>
      <w:r>
        <w:t xml:space="preserve">74616</w:t>
      </w:r>
    </w:p>
    <w:p>
      <w:pPr>
        <w:pStyle w:val="ListParagraph"/>
        <w:numPr>
          <w:ilvl w:val="0"/>
          <w:numId w:val="2"/>
        </w:numPr>
        <w:spacing w:after="120"/>
      </w:pPr>
      <w:r>
        <w:rPr>
          <w:b/>
          <w:bCs/>
        </w:rPr>
        <w:t xml:space="preserve">Credits: </w:t>
      </w:r>
      <w:r>
        <w:t xml:space="preserve">3</w:t>
      </w:r>
    </w:p>
    <w:p>
      <w:pPr>
        <w:pStyle w:val="ListParagraph"/>
        <w:numPr>
          <w:ilvl w:val="0"/>
          <w:numId w:val="2"/>
        </w:numPr>
        <w:spacing w:after="120"/>
      </w:pPr>
      <w:r>
        <w:rPr>
          <w:b/>
          <w:bCs/>
        </w:rPr>
        <w:t xml:space="preserve">Section Number: </w:t>
      </w:r>
      <w:r>
        <w:t xml:space="preserve">02</w:t>
      </w:r>
    </w:p>
    <w:p>
      <w:pPr>
        <w:pStyle w:val="ListParagraph"/>
        <w:numPr>
          <w:ilvl w:val="0"/>
          <w:numId w:val="2"/>
        </w:numPr>
        <w:spacing w:after="120"/>
      </w:pPr>
      <w:r>
        <w:rPr>
          <w:b/>
          <w:bCs/>
        </w:rPr>
        <w:t xml:space="preserve">Prerequisite(s): </w:t>
      </w:r>
      <w:r>
        <w:t xml:space="preserve">CSCI 232 (Data Structures and Algorithms) or instructor consent</w:t>
      </w:r>
    </w:p>
    <w:p>
      <w:pPr>
        <w:pStyle w:val="Heading1"/>
        <w:pBdr>
          <w:bottom w:val="single" w:color="ED8B00" w:sz="8" w:space="4"/>
        </w:pBdr>
        <w:spacing w:after="150" w:before="300"/>
      </w:pPr>
      <w:r>
        <w:rPr>
          <w:color w:val="70002E"/>
        </w:rPr>
        <w:t xml:space="preserve">Instructor Information</w:t>
      </w:r>
    </w:p>
    <w:p>
      <w:pPr>
        <w:pStyle w:val="ListParagraph"/>
        <w:numPr>
          <w:ilvl w:val="0"/>
          <w:numId w:val="2"/>
        </w:numPr>
        <w:spacing w:after="120"/>
      </w:pPr>
      <w:r>
        <w:rPr>
          <w:b/>
          <w:bCs/>
        </w:rPr>
        <w:t xml:space="preserve">Instructor: </w:t>
      </w:r>
      <w:r>
        <w:t xml:space="preserve">Addison Boyer</w:t>
      </w:r>
    </w:p>
    <w:p>
      <w:pPr>
        <w:pStyle w:val="ListParagraph"/>
        <w:numPr>
          <w:ilvl w:val="0"/>
          <w:numId w:val="2"/>
        </w:numPr>
        <w:spacing w:after="120"/>
      </w:pPr>
      <w:r>
        <w:rPr>
          <w:b/>
          <w:bCs/>
        </w:rPr>
        <w:t xml:space="preserve">Email: </w:t>
      </w:r>
      <w:hyperlink w:history="1" r:id="rIdnthoggddgooaxsd0djgwd">
        <w:r>
          <w:rPr>
            <w:rStyle w:val="Hyperlink"/>
          </w:rPr>
          <w:t xml:space="preserve">addison.boyer@mso.umt.edu</w:t>
        </w:r>
      </w:hyperlink>
    </w:p>
    <w:p>
      <w:pPr>
        <w:pStyle w:val="ListParagraph"/>
        <w:numPr>
          <w:ilvl w:val="0"/>
          <w:numId w:val="2"/>
        </w:numPr>
        <w:spacing w:after="120"/>
      </w:pPr>
      <w:r>
        <w:rPr>
          <w:b/>
          <w:bCs/>
        </w:rPr>
        <w:t xml:space="preserve">Office Location: </w:t>
      </w:r>
      <w:r>
        <w:t xml:space="preserve">Social Science 410</w:t>
      </w:r>
    </w:p>
    <w:p>
      <w:pPr>
        <w:pStyle w:val="ListParagraph"/>
        <w:numPr>
          <w:ilvl w:val="0"/>
          <w:numId w:val="2"/>
        </w:numPr>
        <w:spacing w:after="120"/>
      </w:pPr>
      <w:r>
        <w:rPr>
          <w:b/>
          <w:bCs/>
        </w:rPr>
        <w:t xml:space="preserve">Office Hours: </w:t>
      </w:r>
      <w:r>
        <w:t xml:space="preserve">Monday and Friday 11:00 a.m. – 12:00 p.m., or by appointment</w:t>
      </w:r>
    </w:p>
    <w:p>
      <w:pPr>
        <w:pStyle w:val="Heading1"/>
        <w:pBdr>
          <w:bottom w:val="single" w:color="ED8B00" w:sz="8" w:space="4"/>
        </w:pBdr>
        <w:spacing w:after="150" w:before="300"/>
      </w:pPr>
      <w:r>
        <w:rPr>
          <w:color w:val="70002E"/>
        </w:rPr>
        <w:t xml:space="preserve">Class Times &amp; Location</w:t>
      </w:r>
    </w:p>
    <w:p>
      <w:pPr>
        <w:pStyle w:val="ListParagraph"/>
        <w:numPr>
          <w:ilvl w:val="0"/>
          <w:numId w:val="2"/>
        </w:numPr>
        <w:spacing w:after="120"/>
      </w:pPr>
      <w:r>
        <w:rPr>
          <w:b/>
          <w:bCs/>
        </w:rPr>
        <w:t xml:space="preserve">Lecture / Implementation Lab: </w:t>
      </w:r>
      <w:r>
        <w:t xml:space="preserve">Tuesday &amp; Thursday 3:30 p.m. – 4:50 p.m.</w:t>
      </w:r>
    </w:p>
    <w:p>
      <w:pPr>
        <w:pStyle w:val="ListParagraph"/>
        <w:numPr>
          <w:ilvl w:val="0"/>
          <w:numId w:val="2"/>
        </w:numPr>
        <w:spacing w:after="120"/>
      </w:pPr>
      <w:r>
        <w:rPr>
          <w:b/>
          <w:bCs/>
        </w:rPr>
        <w:t xml:space="preserve">Location: </w:t>
      </w:r>
      <w:r>
        <w:t xml:space="preserve">Social Science 362</w:t>
      </w:r>
    </w:p>
    <w:p>
      <w:pPr>
        <w:pStyle w:val="ListParagraph"/>
        <w:numPr>
          <w:ilvl w:val="0"/>
          <w:numId w:val="2"/>
        </w:numPr>
        <w:spacing w:after="120"/>
      </w:pPr>
      <w:r>
        <w:rPr>
          <w:b/>
          <w:bCs/>
        </w:rPr>
        <w:t xml:space="preserve">Semester Dates: </w:t>
      </w:r>
      <w:r>
        <w:t xml:space="preserve">August 24, 2026 – December 11, 2026</w:t>
      </w:r>
    </w:p>
    <w:p>
      <w:pPr>
        <w:pStyle w:val="ListParagraph"/>
        <w:numPr>
          <w:ilvl w:val="0"/>
          <w:numId w:val="2"/>
        </w:numPr>
        <w:spacing w:after="120"/>
      </w:pPr>
      <w:r>
        <w:rPr>
          <w:b/>
          <w:bCs/>
        </w:rPr>
        <w:t xml:space="preserve">Virtual Classroom: </w:t>
      </w:r>
      <w:hyperlink w:history="1" r:id="rIdv77qpejxvhf1cnixwdo9-">
        <w:r>
          <w:rPr>
            <w:rStyle w:val="Hyperlink"/>
          </w:rPr>
          <w:t xml:space="preserve">Microsoft Teams</w:t>
        </w:r>
      </w:hyperlink>
    </w:p>
    <w:p>
      <w:pPr>
        <w:pStyle w:val="ListParagraph"/>
        <w:numPr>
          <w:ilvl w:val="0"/>
          <w:numId w:val="2"/>
        </w:numPr>
        <w:spacing w:after="120"/>
      </w:pPr>
      <w:r>
        <w:rPr>
          <w:b/>
          <w:bCs/>
        </w:rPr>
        <w:t xml:space="preserve">Virtual TA: </w:t>
      </w:r>
      <w:hyperlink w:history="1" r:id="rIdihavx3aa29ze0kuplcwx6">
        <w:r>
          <w:rPr>
            <w:rStyle w:val="Hyperlink"/>
          </w:rPr>
          <w:t xml:space="preserve">ChatMT.ai</w:t>
        </w:r>
      </w:hyperlink>
    </w:p>
    <w:p>
      <w:pPr>
        <w:pStyle w:val="ListParagraph"/>
        <w:numPr>
          <w:ilvl w:val="0"/>
          <w:numId w:val="2"/>
        </w:numPr>
        <w:spacing w:after="120"/>
      </w:pPr>
      <w:r>
        <w:rPr>
          <w:b/>
          <w:bCs/>
        </w:rPr>
        <w:t xml:space="preserve">Attendance: </w:t>
      </w:r>
      <w:r>
        <w:t xml:space="preserve">Regular attendance is strongly encouraged.</w:t>
      </w:r>
    </w:p>
    <w:p>
      <w:pPr>
        <w:pStyle w:val="Heading1"/>
        <w:pBdr>
          <w:bottom w:val="single" w:color="ED8B00" w:sz="8" w:space="4"/>
        </w:pBdr>
        <w:spacing w:after="150" w:before="300"/>
      </w:pPr>
      <w:r>
        <w:rPr>
          <w:color w:val="70002E"/>
        </w:rPr>
        <w:t xml:space="preserve">Course Description &amp; Objectives</w:t>
      </w:r>
    </w:p>
    <w:p>
      <w:pPr>
        <w:spacing w:after="160"/>
      </w:pPr>
      <w:r>
        <w:t xml:space="preserve">This course introduces students to the emerging field of Agentic Artificial Intelligence: AI systems capable of reasoning, planning, using tools, retrieving information, and autonomously completing tasks. Students will learn how modern AI agents are built using large language models (LLMs), orchestration frameworks, retrieval systems, memory architectures, evaluation frameworks, and external APIs.</w:t>
      </w:r>
    </w:p>
    <w:p>
      <w:pPr>
        <w:spacing w:after="160"/>
      </w:pPr>
      <w:r>
        <w:t xml:space="preserve">The course emphasizes practical engineering and hands-on system development over advanced mathematical theory. Through guided implementation labs and project-based learning, students will design, evaluate, and deploy AI-powered applications capable of interacting with users, tools, documents, and external systems.</w:t>
      </w:r>
    </w:p>
    <w:p>
      <w:pPr>
        <w:pStyle w:val="Heading1"/>
        <w:pBdr>
          <w:bottom w:val="single" w:color="ED8B00" w:sz="8" w:space="4"/>
        </w:pBdr>
        <w:spacing w:after="150" w:before="300"/>
      </w:pPr>
      <w:r>
        <w:rPr>
          <w:color w:val="70002E"/>
        </w:rPr>
        <w:t xml:space="preserve">Required Textbook</w:t>
      </w:r>
    </w:p>
    <w:p>
      <w:pPr>
        <w:spacing w:after="160"/>
      </w:pPr>
      <w:r>
        <w:t xml:space="preserve">Caldwell, Thomas R. </w:t>
      </w:r>
      <w:r>
        <w:rPr>
          <w:i/>
          <w:iCs/>
        </w:rPr>
        <w:t xml:space="preserve">The Agentic AI Bible: Building Autonomous AI Systems with Large Language Models, Tools, Memory, and Context.</w:t>
      </w:r>
      <w:r>
        <w:t xml:space="preserve"> Revised &amp; Expanded Edition, 2026.</w:t>
      </w:r>
    </w:p>
    <w:p>
      <w:pPr>
        <w:spacing w:after="160"/>
      </w:pPr>
      <w:r>
        <w:t xml:space="preserve">This textbook provides the primary foundation for the course and introduces the concepts, architectures, and engineering practices required to design and build modern agentic AI systems. Additional readings, documentation, and research papers may be provided throughout the semester to supplement the textbook and cover emerging developments in the field.</w:t>
      </w:r>
    </w:p>
    <w:p>
      <w:pPr>
        <w:spacing w:after="200"/>
      </w:pPr>
      <w:r>
        <w:rPr>
          <w:b/>
          <w:bCs/>
        </w:rPr>
        <w:t xml:space="preserve">Textbook Link: </w:t>
      </w:r>
      <w:hyperlink w:history="1" r:id="rIdti-oqddzze9kvar9m4eje">
        <w:r>
          <w:rPr>
            <w:rStyle w:val="Hyperlink"/>
          </w:rPr>
          <w:t xml:space="preserve">The Agentic AI Bible on Amazon</w:t>
        </w:r>
      </w:hyperlink>
    </w:p>
    <w:p>
      <w:pPr>
        <w:spacing w:after="200"/>
      </w:pPr>
      <w:r>
        <w:rPr>
          <w:b/>
          <w:bCs/>
        </w:rPr>
        <w:t xml:space="preserve">Bookstore Link: </w:t>
      </w:r>
      <w:hyperlink w:history="1" r:id="rId9re9dctv2rkd6orm2sb0v">
        <w:r>
          <w:rPr>
            <w:rStyle w:val="Hyperlink"/>
          </w:rPr>
          <w:t xml:space="preserve">UM Bookstore — Course Materials for CSCI 391</w:t>
        </w:r>
      </w:hyperlink>
    </w:p>
    <w:p>
      <w:pPr>
        <w:spacing w:after="80"/>
      </w:pPr>
      <w:r>
        <w:drawing>
          <wp:inline distT="0" distB="0" distL="0" distR="0">
            <wp:extent cx="12858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85875" cy="790575"/>
                    </a:xfrm>
                    <a:prstGeom prst="rect">
                      <a:avLst/>
                    </a:prstGeom>
                  </pic:spPr>
                </pic:pic>
              </a:graphicData>
            </a:graphic>
          </wp:inline>
        </w:drawing>
      </w:r>
    </w:p>
    <w:p>
      <w:pPr>
        <w:spacing w:after="200"/>
      </w:pPr>
      <w:r>
        <w:rPr>
          <w:i/>
          <w:iCs/>
          <w:color w:val="595959"/>
          <w:sz w:val="16"/>
          <w:szCs w:val="16"/>
        </w:rPr>
        <w:t xml:space="preserve">Scan to view course materials at the UM Bookstore</w:t>
      </w:r>
    </w:p>
    <w:p>
      <w:pPr>
        <w:pStyle w:val="Heading1"/>
        <w:pBdr>
          <w:bottom w:val="single" w:color="ED8B00" w:sz="8" w:space="4"/>
        </w:pBdr>
        <w:spacing w:after="150" w:before="300"/>
      </w:pPr>
      <w:r>
        <w:rPr>
          <w:color w:val="70002E"/>
        </w:rPr>
        <w:t xml:space="preserve">Student Learning Outcomes</w:t>
      </w:r>
    </w:p>
    <w:p>
      <w:pPr>
        <w:spacing w:after="160"/>
      </w:pPr>
      <w:r>
        <w:t xml:space="preserve">Upon successful completion of this course, students will be able to:</w:t>
      </w:r>
    </w:p>
    <w:p>
      <w:pPr>
        <w:pStyle w:val="ListParagraph"/>
        <w:numPr>
          <w:ilvl w:val="0"/>
          <w:numId w:val="2"/>
        </w:numPr>
        <w:spacing w:after="120"/>
      </w:pPr>
      <w:r>
        <w:t xml:space="preserve">Explain the core concepts behind agentic AI systems and large language models.</w:t>
      </w:r>
    </w:p>
    <w:p>
      <w:pPr>
        <w:pStyle w:val="ListParagraph"/>
        <w:numPr>
          <w:ilvl w:val="0"/>
          <w:numId w:val="2"/>
        </w:numPr>
        <w:spacing w:after="120"/>
      </w:pPr>
      <w:r>
        <w:t xml:space="preserve">Build conversational AI applications using modern LLM APIs.</w:t>
      </w:r>
    </w:p>
    <w:p>
      <w:pPr>
        <w:pStyle w:val="ListParagraph"/>
        <w:numPr>
          <w:ilvl w:val="0"/>
          <w:numId w:val="2"/>
        </w:numPr>
        <w:spacing w:after="120"/>
      </w:pPr>
      <w:r>
        <w:t xml:space="preserve">Explain the anatomy of AI agents and evaluate when agentic approaches are appropriate compared with traditional automation.</w:t>
      </w:r>
    </w:p>
    <w:p>
      <w:pPr>
        <w:pStyle w:val="ListParagraph"/>
        <w:numPr>
          <w:ilvl w:val="0"/>
          <w:numId w:val="2"/>
        </w:numPr>
        <w:spacing w:after="120"/>
      </w:pPr>
      <w:r>
        <w:t xml:space="preserve">Design AI agents capable of using external tools and APIs.</w:t>
      </w:r>
    </w:p>
    <w:p>
      <w:pPr>
        <w:pStyle w:val="ListParagraph"/>
        <w:numPr>
          <w:ilvl w:val="0"/>
          <w:numId w:val="2"/>
        </w:numPr>
        <w:spacing w:after="120"/>
      </w:pPr>
      <w:r>
        <w:t xml:space="preserve">Create retrieval-augmented generation (RAG) systems using vector databases.</w:t>
      </w:r>
    </w:p>
    <w:p>
      <w:pPr>
        <w:pStyle w:val="ListParagraph"/>
        <w:numPr>
          <w:ilvl w:val="0"/>
          <w:numId w:val="2"/>
        </w:numPr>
        <w:spacing w:after="120"/>
      </w:pPr>
      <w:r>
        <w:t xml:space="preserve">Develop memory-enabled AI applications.</w:t>
      </w:r>
    </w:p>
    <w:p>
      <w:pPr>
        <w:pStyle w:val="ListParagraph"/>
        <w:numPr>
          <w:ilvl w:val="0"/>
          <w:numId w:val="2"/>
        </w:numPr>
        <w:spacing w:after="120"/>
      </w:pPr>
      <w:r>
        <w:t xml:space="preserve">Construct workflow orchestration pipelines and human-agent collaboration systems.</w:t>
      </w:r>
    </w:p>
    <w:p>
      <w:pPr>
        <w:pStyle w:val="ListParagraph"/>
        <w:numPr>
          <w:ilvl w:val="0"/>
          <w:numId w:val="2"/>
        </w:numPr>
        <w:spacing w:after="120"/>
      </w:pPr>
      <w:r>
        <w:t xml:space="preserve">Evaluate AI system reliability, safety, cost, and performance using modern assessment techniques.</w:t>
      </w:r>
    </w:p>
    <w:p>
      <w:pPr>
        <w:pStyle w:val="ListParagraph"/>
        <w:numPr>
          <w:ilvl w:val="0"/>
          <w:numId w:val="2"/>
        </w:numPr>
        <w:spacing w:after="120"/>
      </w:pPr>
      <w:r>
        <w:t xml:space="preserve">Apply software engineering practices including testing, reproducibility, versioning, and deployment strategies for AI systems.</w:t>
      </w:r>
    </w:p>
    <w:p>
      <w:pPr>
        <w:pStyle w:val="ListParagraph"/>
        <w:numPr>
          <w:ilvl w:val="0"/>
          <w:numId w:val="2"/>
        </w:numPr>
        <w:spacing w:after="120"/>
      </w:pPr>
      <w:r>
        <w:t xml:space="preserve">Describe emerging trends and future directions in agentic AI and evaluate their potential impact on software development and intelligent applications.</w:t>
      </w:r>
    </w:p>
    <w:p>
      <w:pPr>
        <w:pStyle w:val="Heading1"/>
        <w:pBdr>
          <w:bottom w:val="single" w:color="ED8B00" w:sz="8" w:space="4"/>
        </w:pBdr>
        <w:spacing w:after="150" w:before="300"/>
      </w:pPr>
      <w:r>
        <w:rPr>
          <w:color w:val="70002E"/>
        </w:rPr>
        <w:t xml:space="preserve">Course Format</w:t>
      </w:r>
    </w:p>
    <w:p>
      <w:pPr>
        <w:pStyle w:val="Heading2"/>
        <w:spacing w:after="120" w:before="240"/>
      </w:pPr>
      <w:r>
        <w:rPr>
          <w:color w:val="70002E"/>
        </w:rPr>
        <w:t xml:space="preserve">Tuesday — Concepts &amp; Architecture</w:t>
      </w:r>
    </w:p>
    <w:p>
      <w:pPr>
        <w:spacing w:after="160"/>
      </w:pPr>
      <w:r>
        <w:t xml:space="preserve">Students will explore AI agent architectures, LLM concepts, orchestration patterns, system design, evaluation methodologies, ethical considerations, and industry case studies.</w:t>
      </w:r>
    </w:p>
    <w:p>
      <w:pPr>
        <w:pStyle w:val="Heading2"/>
        <w:spacing w:after="120" w:before="240"/>
      </w:pPr>
      <w:r>
        <w:rPr>
          <w:color w:val="70002E"/>
        </w:rPr>
        <w:t xml:space="preserve">Thursday — Guided Implementation Lab</w:t>
      </w:r>
    </w:p>
    <w:p>
      <w:pPr>
        <w:spacing w:after="160"/>
      </w:pPr>
      <w:r>
        <w:t xml:space="preserve">Students will take part in hands-on coding exercises, guided implementation labs, debugging workshops, and collaborative engineering activities.</w:t>
      </w:r>
    </w:p>
    <w:p>
      <w:pPr>
        <w:pStyle w:val="Heading1"/>
        <w:pBdr>
          <w:bottom w:val="single" w:color="ED8B00" w:sz="8" w:space="4"/>
        </w:pBdr>
        <w:spacing w:after="150" w:before="300"/>
      </w:pPr>
      <w:r>
        <w:rPr>
          <w:color w:val="70002E"/>
        </w:rPr>
        <w:t xml:space="preserve">Course Schedule (Tentative)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1800"/>
      </w:tblGrid>
      <w:tr>
        <w:trPr>
          <w:cantSplit/>
          <w:tblHeader/>
        </w:trPr>
        <w:tc>
          <w:tcPr>
            <w:tcW w:type="dxa" w:w="900"/>
            <w:shd w:fill="70002E" w:val="clear"/>
            <w:tcMar>
              <w:top w:type="dxa" w:w="80"/>
              <w:left w:type="dxa" w:w="100"/>
              <w:bottom w:type="dxa" w:w="80"/>
              <w:right w:type="dxa" w:w="100"/>
            </w:tcMar>
          </w:tcPr>
          <w:p>
            <w:r>
              <w:rPr>
                <w:b/>
                <w:bCs/>
                <w:color w:val="FFFFFF"/>
              </w:rPr>
              <w:t xml:space="preserve">Week</w:t>
            </w:r>
          </w:p>
        </w:tc>
        <w:tc>
          <w:tcPr>
            <w:tcW w:type="dxa" w:w="2800"/>
            <w:shd w:fill="70002E" w:val="clear"/>
            <w:tcMar>
              <w:top w:type="dxa" w:w="80"/>
              <w:left w:type="dxa" w:w="100"/>
              <w:bottom w:type="dxa" w:w="80"/>
              <w:right w:type="dxa" w:w="100"/>
            </w:tcMar>
          </w:tcPr>
          <w:p>
            <w:r>
              <w:rPr>
                <w:b/>
                <w:bCs/>
                <w:color w:val="FFFFFF"/>
              </w:rPr>
              <w:t xml:space="preserve">Tuesday (Lecture)</w:t>
            </w:r>
          </w:p>
        </w:tc>
        <w:tc>
          <w:tcPr>
            <w:tcW w:type="dxa" w:w="2800"/>
            <w:shd w:fill="70002E" w:val="clear"/>
            <w:tcMar>
              <w:top w:type="dxa" w:w="80"/>
              <w:left w:type="dxa" w:w="100"/>
              <w:bottom w:type="dxa" w:w="80"/>
              <w:right w:type="dxa" w:w="100"/>
            </w:tcMar>
          </w:tcPr>
          <w:p>
            <w:r>
              <w:rPr>
                <w:b/>
                <w:bCs/>
                <w:color w:val="FFFFFF"/>
              </w:rPr>
              <w:t xml:space="preserve">Thursday (Implementation Lab)</w:t>
            </w:r>
          </w:p>
        </w:tc>
        <w:tc>
          <w:tcPr>
            <w:tcW w:type="dxa" w:w="1800"/>
            <w:shd w:fill="70002E" w:val="clear"/>
            <w:tcMar>
              <w:top w:type="dxa" w:w="80"/>
              <w:left w:type="dxa" w:w="100"/>
              <w:bottom w:type="dxa" w:w="80"/>
              <w:right w:type="dxa" w:w="100"/>
            </w:tcMar>
          </w:tcPr>
          <w:p>
            <w:r>
              <w:rPr>
                <w:b/>
                <w:bCs/>
                <w:color w:val="FFFFFF"/>
              </w:rPr>
              <w:t xml:space="preserve">Assessments</w:t>
            </w:r>
          </w:p>
        </w:tc>
      </w:tr>
      <w:tr>
        <w:trPr>
          <w:cantSplit/>
          <w:tblHeader w:val="false"/>
        </w:trPr>
        <w:tc>
          <w:tcPr>
            <w:tcW w:type="dxa" w:w="900"/>
            <w:tcMar>
              <w:top w:type="dxa" w:w="80"/>
              <w:left w:type="dxa" w:w="100"/>
              <w:bottom w:type="dxa" w:w="80"/>
              <w:right w:type="dxa" w:w="100"/>
            </w:tcMar>
          </w:tcPr>
          <w:p>
            <w:r>
              <w:rPr>
                <w:b w:val="false"/>
                <w:bCs w:val="false"/>
              </w:rPr>
              <w:t xml:space="preserve">1</w:t>
            </w:r>
          </w:p>
        </w:tc>
        <w:tc>
          <w:tcPr>
            <w:tcW w:type="dxa" w:w="2800"/>
            <w:tcMar>
              <w:top w:type="dxa" w:w="80"/>
              <w:left w:type="dxa" w:w="100"/>
              <w:bottom w:type="dxa" w:w="80"/>
              <w:right w:type="dxa" w:w="100"/>
            </w:tcMar>
          </w:tcPr>
          <w:p>
            <w:r>
              <w:rPr>
                <w:b w:val="false"/>
                <w:bCs w:val="false"/>
              </w:rPr>
              <w:t xml:space="preserve">Introduction to Agentic AI</w:t>
            </w:r>
          </w:p>
        </w:tc>
        <w:tc>
          <w:tcPr>
            <w:tcW w:type="dxa" w:w="2800"/>
            <w:tcMar>
              <w:top w:type="dxa" w:w="80"/>
              <w:left w:type="dxa" w:w="100"/>
              <w:bottom w:type="dxa" w:w="80"/>
              <w:right w:type="dxa" w:w="100"/>
            </w:tcMar>
          </w:tcPr>
          <w:p>
            <w:r>
              <w:rPr>
                <w:b w:val="false"/>
                <w:bCs w:val="false"/>
              </w:rPr>
              <w:t xml:space="preserve">Environment Setup &amp; First Chatbot</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2</w:t>
            </w:r>
          </w:p>
        </w:tc>
        <w:tc>
          <w:tcPr>
            <w:tcW w:type="dxa" w:w="2800"/>
            <w:tcMar>
              <w:top w:type="dxa" w:w="80"/>
              <w:left w:type="dxa" w:w="100"/>
              <w:bottom w:type="dxa" w:w="80"/>
              <w:right w:type="dxa" w:w="100"/>
            </w:tcMar>
          </w:tcPr>
          <w:p>
            <w:r>
              <w:rPr>
                <w:b w:val="false"/>
                <w:bCs w:val="false"/>
              </w:rPr>
              <w:t xml:space="preserve">Agent Fundamentals</w:t>
            </w:r>
          </w:p>
        </w:tc>
        <w:tc>
          <w:tcPr>
            <w:tcW w:type="dxa" w:w="2800"/>
            <w:tcMar>
              <w:top w:type="dxa" w:w="80"/>
              <w:left w:type="dxa" w:w="100"/>
              <w:bottom w:type="dxa" w:w="80"/>
              <w:right w:type="dxa" w:w="100"/>
            </w:tcMar>
          </w:tcPr>
          <w:p>
            <w:r>
              <w:rPr>
                <w:b w:val="false"/>
                <w:bCs w:val="false"/>
              </w:rPr>
              <w:t xml:space="preserve">Agent Anatomy &amp; Automation</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3</w:t>
            </w:r>
          </w:p>
        </w:tc>
        <w:tc>
          <w:tcPr>
            <w:tcW w:type="dxa" w:w="2800"/>
            <w:tcMar>
              <w:top w:type="dxa" w:w="80"/>
              <w:left w:type="dxa" w:w="100"/>
              <w:bottom w:type="dxa" w:w="80"/>
              <w:right w:type="dxa" w:w="100"/>
            </w:tcMar>
          </w:tcPr>
          <w:p>
            <w:r>
              <w:rPr>
                <w:b w:val="false"/>
                <w:bCs w:val="false"/>
              </w:rPr>
              <w:t xml:space="preserve">Reasoning &amp; Structured Outputs</w:t>
            </w:r>
          </w:p>
        </w:tc>
        <w:tc>
          <w:tcPr>
            <w:tcW w:type="dxa" w:w="2800"/>
            <w:tcMar>
              <w:top w:type="dxa" w:w="80"/>
              <w:left w:type="dxa" w:w="100"/>
              <w:bottom w:type="dxa" w:w="80"/>
              <w:right w:type="dxa" w:w="100"/>
            </w:tcMar>
          </w:tcPr>
          <w:p>
            <w:r>
              <w:rPr>
                <w:b w:val="false"/>
                <w:bCs w:val="false"/>
              </w:rPr>
              <w:t xml:space="preserve">Task-Oriented Assistant</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4</w:t>
            </w:r>
          </w:p>
        </w:tc>
        <w:tc>
          <w:tcPr>
            <w:tcW w:type="dxa" w:w="2800"/>
            <w:tcMar>
              <w:top w:type="dxa" w:w="80"/>
              <w:left w:type="dxa" w:w="100"/>
              <w:bottom w:type="dxa" w:w="80"/>
              <w:right w:type="dxa" w:w="100"/>
            </w:tcMar>
          </w:tcPr>
          <w:p>
            <w:r>
              <w:rPr>
                <w:b w:val="false"/>
                <w:bCs w:val="false"/>
              </w:rPr>
              <w:t xml:space="preserve">Tool-Using AI Agents</w:t>
            </w:r>
          </w:p>
        </w:tc>
        <w:tc>
          <w:tcPr>
            <w:tcW w:type="dxa" w:w="2800"/>
            <w:tcMar>
              <w:top w:type="dxa" w:w="80"/>
              <w:left w:type="dxa" w:w="100"/>
              <w:bottom w:type="dxa" w:w="80"/>
              <w:right w:type="dxa" w:w="100"/>
            </w:tcMar>
          </w:tcPr>
          <w:p>
            <w:r>
              <w:rPr>
                <w:b w:val="false"/>
                <w:bCs w:val="false"/>
              </w:rPr>
              <w:t xml:space="preserve">API &amp; Tool Integration Lab</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5</w:t>
            </w:r>
          </w:p>
        </w:tc>
        <w:tc>
          <w:tcPr>
            <w:tcW w:type="dxa" w:w="2800"/>
            <w:tcMar>
              <w:top w:type="dxa" w:w="80"/>
              <w:left w:type="dxa" w:w="100"/>
              <w:bottom w:type="dxa" w:w="80"/>
              <w:right w:type="dxa" w:w="100"/>
            </w:tcMar>
          </w:tcPr>
          <w:p>
            <w:r>
              <w:rPr>
                <w:b w:val="false"/>
                <w:bCs w:val="false"/>
              </w:rPr>
              <w:t xml:space="preserve">Memory &amp; Context Management</w:t>
            </w:r>
          </w:p>
        </w:tc>
        <w:tc>
          <w:tcPr>
            <w:tcW w:type="dxa" w:w="2800"/>
            <w:tcMar>
              <w:top w:type="dxa" w:w="80"/>
              <w:left w:type="dxa" w:w="100"/>
              <w:bottom w:type="dxa" w:w="80"/>
              <w:right w:type="dxa" w:w="100"/>
            </w:tcMar>
          </w:tcPr>
          <w:p>
            <w:r>
              <w:rPr>
                <w:b w:val="false"/>
                <w:bCs w:val="false"/>
              </w:rPr>
              <w:t xml:space="preserve">Persistent Chat Memory</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6</w:t>
            </w:r>
          </w:p>
        </w:tc>
        <w:tc>
          <w:tcPr>
            <w:tcW w:type="dxa" w:w="2800"/>
            <w:tcMar>
              <w:top w:type="dxa" w:w="80"/>
              <w:left w:type="dxa" w:w="100"/>
              <w:bottom w:type="dxa" w:w="80"/>
              <w:right w:type="dxa" w:w="100"/>
            </w:tcMar>
          </w:tcPr>
          <w:p>
            <w:r>
              <w:rPr>
                <w:b w:val="false"/>
                <w:bCs w:val="false"/>
              </w:rPr>
              <w:t xml:space="preserve">Retrieval-Augmented Generation (RAG)</w:t>
            </w:r>
          </w:p>
        </w:tc>
        <w:tc>
          <w:tcPr>
            <w:tcW w:type="dxa" w:w="2800"/>
            <w:tcMar>
              <w:top w:type="dxa" w:w="80"/>
              <w:left w:type="dxa" w:w="100"/>
              <w:bottom w:type="dxa" w:w="80"/>
              <w:right w:type="dxa" w:w="100"/>
            </w:tcMar>
          </w:tcPr>
          <w:p>
            <w:r>
              <w:rPr>
                <w:b w:val="false"/>
                <w:bCs w:val="false"/>
              </w:rPr>
              <w:t xml:space="preserve">Document QA System</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7</w:t>
            </w:r>
          </w:p>
        </w:tc>
        <w:tc>
          <w:tcPr>
            <w:tcW w:type="dxa" w:w="2800"/>
            <w:tcMar>
              <w:top w:type="dxa" w:w="80"/>
              <w:left w:type="dxa" w:w="100"/>
              <w:bottom w:type="dxa" w:w="80"/>
              <w:right w:type="dxa" w:w="100"/>
            </w:tcMar>
          </w:tcPr>
          <w:p>
            <w:r>
              <w:rPr>
                <w:b w:val="false"/>
                <w:bCs w:val="false"/>
              </w:rPr>
              <w:t xml:space="preserve">Workflow Orchestration &amp; Agent Architecture Patterns</w:t>
            </w:r>
          </w:p>
        </w:tc>
        <w:tc>
          <w:tcPr>
            <w:tcW w:type="dxa" w:w="2800"/>
            <w:tcMar>
              <w:top w:type="dxa" w:w="80"/>
              <w:left w:type="dxa" w:w="100"/>
              <w:bottom w:type="dxa" w:w="80"/>
              <w:right w:type="dxa" w:w="100"/>
            </w:tcMar>
          </w:tcPr>
          <w:p>
            <w:r>
              <w:rPr>
                <w:b w:val="false"/>
                <w:bCs w:val="false"/>
              </w:rPr>
              <w:t xml:space="preserve">Midterm Project Workshop</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8</w:t>
            </w:r>
          </w:p>
        </w:tc>
        <w:tc>
          <w:tcPr>
            <w:tcW w:type="dxa" w:w="2800"/>
            <w:tcMar>
              <w:top w:type="dxa" w:w="80"/>
              <w:left w:type="dxa" w:w="100"/>
              <w:bottom w:type="dxa" w:w="80"/>
              <w:right w:type="dxa" w:w="100"/>
            </w:tcMar>
          </w:tcPr>
          <w:p>
            <w:r>
              <w:rPr>
                <w:b w:val="false"/>
                <w:bCs w:val="false"/>
              </w:rPr>
              <w:t xml:space="preserve">Human-Agent Collaboration &amp; Applied Multi-Agent Systems</w:t>
            </w:r>
          </w:p>
        </w:tc>
        <w:tc>
          <w:tcPr>
            <w:tcW w:type="dxa" w:w="2800"/>
            <w:tcMar>
              <w:top w:type="dxa" w:w="80"/>
              <w:left w:type="dxa" w:w="100"/>
              <w:bottom w:type="dxa" w:w="80"/>
              <w:right w:type="dxa" w:w="100"/>
            </w:tcMar>
          </w:tcPr>
          <w:p>
            <w:r>
              <w:rPr>
                <w:b w:val="false"/>
                <w:bCs w:val="false"/>
              </w:rPr>
              <w:t xml:space="preserve">LangChain / LangGraph Lab</w:t>
            </w:r>
          </w:p>
        </w:tc>
        <w:tc>
          <w:tcPr>
            <w:tcW w:type="dxa" w:w="1800"/>
            <w:tcMar>
              <w:top w:type="dxa" w:w="80"/>
              <w:left w:type="dxa" w:w="100"/>
              <w:bottom w:type="dxa" w:w="80"/>
              <w:right w:type="dxa" w:w="100"/>
            </w:tcMar>
          </w:tcPr>
          <w:p>
            <w:r>
              <w:rPr>
                <w:b w:val="false"/>
                <w:bCs w:val="false"/>
              </w:rPr>
              <w:t xml:space="preserve">Midterm Project Due</w:t>
            </w:r>
          </w:p>
        </w:tc>
      </w:tr>
      <w:tr>
        <w:trPr>
          <w:cantSplit/>
          <w:tblHeader w:val="false"/>
        </w:trPr>
        <w:tc>
          <w:tcPr>
            <w:tcW w:type="dxa" w:w="900"/>
            <w:tcMar>
              <w:top w:type="dxa" w:w="80"/>
              <w:left w:type="dxa" w:w="100"/>
              <w:bottom w:type="dxa" w:w="80"/>
              <w:right w:type="dxa" w:w="100"/>
            </w:tcMar>
          </w:tcPr>
          <w:p>
            <w:r>
              <w:rPr>
                <w:b w:val="false"/>
                <w:bCs w:val="false"/>
              </w:rPr>
              <w:t xml:space="preserve">9</w:t>
            </w:r>
          </w:p>
        </w:tc>
        <w:tc>
          <w:tcPr>
            <w:tcW w:type="dxa" w:w="2800"/>
            <w:tcMar>
              <w:top w:type="dxa" w:w="80"/>
              <w:left w:type="dxa" w:w="100"/>
              <w:bottom w:type="dxa" w:w="80"/>
              <w:right w:type="dxa" w:w="100"/>
            </w:tcMar>
          </w:tcPr>
          <w:p>
            <w:r>
              <w:rPr>
                <w:b w:val="false"/>
                <w:bCs w:val="false"/>
              </w:rPr>
              <w:t xml:space="preserve">Testing &amp; Debugging</w:t>
            </w:r>
          </w:p>
        </w:tc>
        <w:tc>
          <w:tcPr>
            <w:tcW w:type="dxa" w:w="2800"/>
            <w:tcMar>
              <w:top w:type="dxa" w:w="80"/>
              <w:left w:type="dxa" w:w="100"/>
              <w:bottom w:type="dxa" w:w="80"/>
              <w:right w:type="dxa" w:w="100"/>
            </w:tcMar>
          </w:tcPr>
          <w:p>
            <w:r>
              <w:rPr>
                <w:b w:val="false"/>
                <w:bCs w:val="false"/>
              </w:rPr>
              <w:t xml:space="preserve">Midterm Project Workshop</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10</w:t>
            </w:r>
          </w:p>
        </w:tc>
        <w:tc>
          <w:tcPr>
            <w:tcW w:type="dxa" w:w="2800"/>
            <w:tcMar>
              <w:top w:type="dxa" w:w="80"/>
              <w:left w:type="dxa" w:w="100"/>
              <w:bottom w:type="dxa" w:w="80"/>
              <w:right w:type="dxa" w:w="100"/>
            </w:tcMar>
          </w:tcPr>
          <w:p>
            <w:r>
              <w:rPr>
                <w:b w:val="false"/>
                <w:bCs w:val="false"/>
              </w:rPr>
              <w:t xml:space="preserve">Evaluation, Observability &amp; Tracing</w:t>
            </w:r>
          </w:p>
        </w:tc>
        <w:tc>
          <w:tcPr>
            <w:tcW w:type="dxa" w:w="2800"/>
            <w:tcMar>
              <w:top w:type="dxa" w:w="80"/>
              <w:left w:type="dxa" w:w="100"/>
              <w:bottom w:type="dxa" w:w="80"/>
              <w:right w:type="dxa" w:w="100"/>
            </w:tcMar>
          </w:tcPr>
          <w:p>
            <w:r>
              <w:rPr>
                <w:b w:val="false"/>
                <w:bCs w:val="false"/>
              </w:rPr>
              <w:t xml:space="preserve">Evaluation Harnesses and Benchmarking</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11</w:t>
            </w:r>
          </w:p>
        </w:tc>
        <w:tc>
          <w:tcPr>
            <w:tcW w:type="dxa" w:w="2800"/>
            <w:tcMar>
              <w:top w:type="dxa" w:w="80"/>
              <w:left w:type="dxa" w:w="100"/>
              <w:bottom w:type="dxa" w:w="80"/>
              <w:right w:type="dxa" w:w="100"/>
            </w:tcMar>
          </w:tcPr>
          <w:p>
            <w:r>
              <w:rPr>
                <w:b w:val="false"/>
                <w:bCs w:val="false"/>
              </w:rPr>
              <w:t xml:space="preserve">Security, Safety &amp; Ethics</w:t>
            </w:r>
          </w:p>
        </w:tc>
        <w:tc>
          <w:tcPr>
            <w:tcW w:type="dxa" w:w="2800"/>
            <w:tcMar>
              <w:top w:type="dxa" w:w="80"/>
              <w:left w:type="dxa" w:w="100"/>
              <w:bottom w:type="dxa" w:w="80"/>
              <w:right w:type="dxa" w:w="100"/>
            </w:tcMar>
          </w:tcPr>
          <w:p>
            <w:r>
              <w:rPr>
                <w:b w:val="false"/>
                <w:bCs w:val="false"/>
              </w:rPr>
              <w:t xml:space="preserve">Prompt Injection Lab</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12</w:t>
            </w:r>
          </w:p>
        </w:tc>
        <w:tc>
          <w:tcPr>
            <w:tcW w:type="dxa" w:w="2800"/>
            <w:tcMar>
              <w:top w:type="dxa" w:w="80"/>
              <w:left w:type="dxa" w:w="100"/>
              <w:bottom w:type="dxa" w:w="80"/>
              <w:right w:type="dxa" w:w="100"/>
            </w:tcMar>
          </w:tcPr>
          <w:p>
            <w:r>
              <w:rPr>
                <w:b w:val="false"/>
                <w:bCs w:val="false"/>
              </w:rPr>
              <w:t xml:space="preserve">AI-Native Applications, Deployment &amp; Reliability</w:t>
            </w:r>
          </w:p>
        </w:tc>
        <w:tc>
          <w:tcPr>
            <w:tcW w:type="dxa" w:w="2800"/>
            <w:tcMar>
              <w:top w:type="dxa" w:w="80"/>
              <w:left w:type="dxa" w:w="100"/>
              <w:bottom w:type="dxa" w:w="80"/>
              <w:right w:type="dxa" w:w="100"/>
            </w:tcMar>
          </w:tcPr>
          <w:p>
            <w:r>
              <w:rPr>
                <w:b w:val="false"/>
                <w:bCs w:val="false"/>
              </w:rPr>
              <w:t xml:space="preserve">Streamlit / FastAPI Deployment and CI/CD Concepts</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13</w:t>
            </w:r>
          </w:p>
        </w:tc>
        <w:tc>
          <w:tcPr>
            <w:tcW w:type="dxa" w:w="2800"/>
            <w:tcMar>
              <w:top w:type="dxa" w:w="80"/>
              <w:left w:type="dxa" w:w="100"/>
              <w:bottom w:type="dxa" w:w="80"/>
              <w:right w:type="dxa" w:w="100"/>
            </w:tcMar>
          </w:tcPr>
          <w:p>
            <w:r>
              <w:rPr>
                <w:b w:val="false"/>
                <w:bCs w:val="false"/>
              </w:rPr>
              <w:t xml:space="preserve">AI Coding &amp; Data Agents</w:t>
            </w:r>
          </w:p>
        </w:tc>
        <w:tc>
          <w:tcPr>
            <w:tcW w:type="dxa" w:w="2800"/>
            <w:tcMar>
              <w:top w:type="dxa" w:w="80"/>
              <w:left w:type="dxa" w:w="100"/>
              <w:bottom w:type="dxa" w:w="80"/>
              <w:right w:type="dxa" w:w="100"/>
            </w:tcMar>
          </w:tcPr>
          <w:p>
            <w:r>
              <w:rPr>
                <w:b w:val="false"/>
                <w:bCs w:val="false"/>
              </w:rPr>
              <w:t xml:space="preserve">Coding Assistant Lab</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14</w:t>
            </w:r>
          </w:p>
        </w:tc>
        <w:tc>
          <w:tcPr>
            <w:tcW w:type="dxa" w:w="2800"/>
            <w:tcMar>
              <w:top w:type="dxa" w:w="80"/>
              <w:left w:type="dxa" w:w="100"/>
              <w:bottom w:type="dxa" w:w="80"/>
              <w:right w:type="dxa" w:w="100"/>
            </w:tcMar>
          </w:tcPr>
          <w:p>
            <w:r>
              <w:rPr>
                <w:b w:val="false"/>
                <w:bCs w:val="false"/>
              </w:rPr>
              <w:t xml:space="preserve">Future of Agentic AI</w:t>
            </w:r>
          </w:p>
        </w:tc>
        <w:tc>
          <w:tcPr>
            <w:tcW w:type="dxa" w:w="2800"/>
            <w:tcMar>
              <w:top w:type="dxa" w:w="80"/>
              <w:left w:type="dxa" w:w="100"/>
              <w:bottom w:type="dxa" w:w="80"/>
              <w:right w:type="dxa" w:w="100"/>
            </w:tcMar>
          </w:tcPr>
          <w:p>
            <w:r>
              <w:rPr>
                <w:b w:val="false"/>
                <w:bCs w:val="false"/>
              </w:rPr>
              <w:t xml:space="preserve">Final Project Work Session</w:t>
            </w:r>
          </w:p>
        </w:tc>
        <w:tc>
          <w:tcPr>
            <w:tcW w:type="dxa" w:w="1800"/>
            <w:tcMar>
              <w:top w:type="dxa" w:w="80"/>
              <w:left w:type="dxa" w:w="100"/>
              <w:bottom w:type="dxa" w:w="80"/>
              <w:right w:type="dxa" w:w="100"/>
            </w:tcMar>
          </w:tcPr>
          <w:p>
            <w:r>
              <w:rPr>
                <w:b w:val="false"/>
                <w:bCs w:val="false"/>
              </w:rPr>
              <w:t xml:space="preserve"/>
            </w:r>
          </w:p>
        </w:tc>
      </w:tr>
      <w:tr>
        <w:trPr>
          <w:cantSplit/>
          <w:tblHeader w:val="false"/>
        </w:trPr>
        <w:tc>
          <w:tcPr>
            <w:tcW w:type="dxa" w:w="900"/>
            <w:tcMar>
              <w:top w:type="dxa" w:w="80"/>
              <w:left w:type="dxa" w:w="100"/>
              <w:bottom w:type="dxa" w:w="80"/>
              <w:right w:type="dxa" w:w="100"/>
            </w:tcMar>
          </w:tcPr>
          <w:p>
            <w:r>
              <w:rPr>
                <w:b w:val="false"/>
                <w:bCs w:val="false"/>
              </w:rPr>
              <w:t xml:space="preserve">15</w:t>
            </w:r>
          </w:p>
        </w:tc>
        <w:tc>
          <w:tcPr>
            <w:tcW w:type="dxa" w:w="2800"/>
            <w:tcMar>
              <w:top w:type="dxa" w:w="80"/>
              <w:left w:type="dxa" w:w="100"/>
              <w:bottom w:type="dxa" w:w="80"/>
              <w:right w:type="dxa" w:w="100"/>
            </w:tcMar>
          </w:tcPr>
          <w:p>
            <w:r>
              <w:rPr>
                <w:b w:val="false"/>
                <w:bCs w:val="false"/>
              </w:rPr>
              <w:t xml:space="preserve">Final Presentations</w:t>
            </w:r>
          </w:p>
        </w:tc>
        <w:tc>
          <w:tcPr>
            <w:tcW w:type="dxa" w:w="2800"/>
            <w:tcMar>
              <w:top w:type="dxa" w:w="80"/>
              <w:left w:type="dxa" w:w="100"/>
              <w:bottom w:type="dxa" w:w="80"/>
              <w:right w:type="dxa" w:w="100"/>
            </w:tcMar>
          </w:tcPr>
          <w:p>
            <w:r>
              <w:rPr>
                <w:b w:val="false"/>
                <w:bCs w:val="false"/>
              </w:rPr>
              <w:t xml:space="preserve">Final Presentations</w:t>
            </w:r>
          </w:p>
        </w:tc>
        <w:tc>
          <w:tcPr>
            <w:tcW w:type="dxa" w:w="1800"/>
            <w:tcMar>
              <w:top w:type="dxa" w:w="80"/>
              <w:left w:type="dxa" w:w="100"/>
              <w:bottom w:type="dxa" w:w="80"/>
              <w:right w:type="dxa" w:w="100"/>
            </w:tcMar>
          </w:tcPr>
          <w:p>
            <w:r>
              <w:rPr>
                <w:b w:val="false"/>
                <w:bCs w:val="false"/>
              </w:rPr>
              <w:t xml:space="preserve">Final Project Due</w:t>
            </w:r>
          </w:p>
        </w:tc>
      </w:tr>
    </w:tbl>
    <w:p>
      <w:pPr>
        <w:spacing w:after="200"/>
      </w:pPr>
      <w:r>
        <w:t xml:space="preserve"/>
      </w:r>
    </w:p>
    <w:p>
      <w:pPr>
        <w:pStyle w:val="Heading1"/>
        <w:pBdr>
          <w:bottom w:val="single" w:color="ED8B00" w:sz="8" w:space="4"/>
        </w:pBdr>
        <w:spacing w:after="150" w:before="300"/>
      </w:pPr>
      <w:r>
        <w:rPr>
          <w:color w:val="70002E"/>
        </w:rPr>
        <w:t xml:space="preserve">Grading Information</w:t>
      </w:r>
    </w:p>
    <w:p>
      <w:pPr>
        <w:pStyle w:val="ListParagraph"/>
        <w:numPr>
          <w:ilvl w:val="0"/>
          <w:numId w:val="2"/>
        </w:numPr>
        <w:spacing w:after="120"/>
      </w:pPr>
      <w:r>
        <w:rPr>
          <w:b/>
          <w:bCs/>
        </w:rPr>
        <w:t xml:space="preserve">Weekly Labs &amp; Assignments: </w:t>
      </w:r>
      <w:r>
        <w:t xml:space="preserve">35%</w:t>
      </w:r>
    </w:p>
    <w:p>
      <w:pPr>
        <w:pStyle w:val="ListParagraph"/>
        <w:numPr>
          <w:ilvl w:val="0"/>
          <w:numId w:val="2"/>
        </w:numPr>
        <w:spacing w:after="120"/>
      </w:pPr>
      <w:r>
        <w:rPr>
          <w:b/>
          <w:bCs/>
        </w:rPr>
        <w:t xml:space="preserve">Quizzes: </w:t>
      </w:r>
      <w:r>
        <w:t xml:space="preserve">20%</w:t>
      </w:r>
    </w:p>
    <w:p>
      <w:pPr>
        <w:pStyle w:val="ListParagraph"/>
        <w:numPr>
          <w:ilvl w:val="0"/>
          <w:numId w:val="2"/>
        </w:numPr>
        <w:spacing w:after="120"/>
      </w:pPr>
      <w:r>
        <w:rPr>
          <w:b/>
          <w:bCs/>
        </w:rPr>
        <w:t xml:space="preserve">Midterm Project: </w:t>
      </w:r>
      <w:r>
        <w:t xml:space="preserve">20%</w:t>
      </w:r>
    </w:p>
    <w:p>
      <w:pPr>
        <w:pStyle w:val="ListParagraph"/>
        <w:numPr>
          <w:ilvl w:val="0"/>
          <w:numId w:val="2"/>
        </w:numPr>
        <w:spacing w:after="120"/>
      </w:pPr>
      <w:r>
        <w:rPr>
          <w:b/>
          <w:bCs/>
        </w:rPr>
        <w:t xml:space="preserve">Final Capstone Project: </w:t>
      </w:r>
      <w:r>
        <w:t xml:space="preserve">25%</w:t>
      </w:r>
    </w:p>
    <w:p>
      <w:pPr>
        <w:pStyle w:val="Heading1"/>
        <w:pBdr>
          <w:bottom w:val="single" w:color="ED8B00" w:sz="8" w:space="4"/>
        </w:pBdr>
        <w:spacing w:after="150" w:before="300"/>
      </w:pPr>
      <w:r>
        <w:rPr>
          <w:color w:val="70002E"/>
        </w:rPr>
        <w:t xml:space="preserve">Policies &amp; Expectations</w:t>
      </w:r>
    </w:p>
    <w:p>
      <w:pPr>
        <w:pStyle w:val="Heading2"/>
        <w:spacing w:after="120" w:before="240"/>
      </w:pPr>
      <w:r>
        <w:rPr>
          <w:color w:val="70002E"/>
        </w:rPr>
        <w:t xml:space="preserve">Attendance &amp; Quizzes</w:t>
      </w:r>
    </w:p>
    <w:p>
      <w:pPr>
        <w:spacing w:after="160"/>
      </w:pPr>
      <w:r>
        <w:t xml:space="preserve">Attendance is strongly encouraged for both lecture and implementation sessions. Attendance is not strictly required; however, unannounced quizzes will be given randomly during class throughout the semester.</w:t>
      </w:r>
    </w:p>
    <w:p>
      <w:pPr>
        <w:spacing w:after="160"/>
      </w:pPr>
      <w:r>
        <w:t xml:space="preserve">If you are absent on a day when a quiz is administered, you will receive a 0 for that quiz. Because quizzes are intentionally administered randomly, there will not be advance notice of which class sessions will include a quiz.</w:t>
      </w:r>
    </w:p>
    <w:p>
      <w:pPr>
        <w:spacing w:after="200"/>
      </w:pPr>
      <w:r>
        <w:rPr>
          <w:b/>
          <w:bCs/>
        </w:rPr>
        <w:t xml:space="preserve">Quiz makeups will not be permitted except under documented extenuating circumstances.</w:t>
      </w:r>
    </w:p>
    <w:p>
      <w:pPr>
        <w:pStyle w:val="Heading2"/>
        <w:spacing w:after="120" w:before="240"/>
      </w:pPr>
      <w:r>
        <w:rPr>
          <w:color w:val="70002E"/>
        </w:rPr>
        <w:t xml:space="preserve">Late Assignments</w:t>
      </w:r>
    </w:p>
    <w:p>
      <w:pPr>
        <w:spacing w:after="160"/>
      </w:pPr>
      <w:r>
        <w:t xml:space="preserve">Each student may use </w:t>
      </w:r>
      <w:r>
        <w:rPr>
          <w:b/>
          <w:bCs/>
        </w:rPr>
        <w:t xml:space="preserve">one late pass</w:t>
      </w:r>
      <w:r>
        <w:t xml:space="preserve"> during the semester to submit </w:t>
      </w:r>
      <w:r>
        <w:rPr>
          <w:b/>
          <w:bCs/>
        </w:rPr>
        <w:t xml:space="preserve">one assignment</w:t>
      </w:r>
      <w:r>
        <w:t xml:space="preserve"> late without penalty. The late pass </w:t>
      </w:r>
      <w:r>
        <w:rPr>
          <w:b/>
          <w:bCs/>
        </w:rPr>
        <w:t xml:space="preserve">does not apply to projects</w:t>
      </w:r>
      <w:r>
        <w:t xml:space="preserve">.</w:t>
      </w:r>
    </w:p>
    <w:p>
      <w:pPr>
        <w:spacing w:after="160"/>
      </w:pPr>
      <w:r>
        <w:t xml:space="preserve">A late assignment submitted using the late pass must be turned in by the due date of the next assignment, unless otherwise specified.</w:t>
      </w:r>
    </w:p>
    <w:p>
      <w:pPr>
        <w:spacing w:after="200"/>
      </w:pPr>
      <w:r>
        <w:rPr>
          <w:b/>
          <w:bCs/>
        </w:rPr>
        <w:t xml:space="preserve">Please notify the instructor when you are using your late pass for a late assignment submission.</w:t>
      </w:r>
    </w:p>
    <w:p>
      <w:pPr>
        <w:pStyle w:val="Heading2"/>
        <w:spacing w:after="120" w:before="240"/>
      </w:pPr>
      <w:r>
        <w:rPr>
          <w:color w:val="70002E"/>
        </w:rPr>
        <w:t xml:space="preserve">Time Commitment</w:t>
      </w:r>
    </w:p>
    <w:p>
      <w:pPr>
        <w:spacing w:after="200"/>
      </w:pPr>
      <w:r>
        <w:t xml:space="preserve">Students should expect to spend approximately </w:t>
      </w:r>
      <w:r>
        <w:rPr>
          <w:b/>
          <w:bCs/>
        </w:rPr>
        <w:t xml:space="preserve">6–9 hours per week</w:t>
      </w:r>
      <w:r>
        <w:t xml:space="preserve"> outside of class completing readings, assignments, labs, projects, studying, and other course activities.</w:t>
      </w:r>
    </w:p>
    <w:p>
      <w:pPr>
        <w:pStyle w:val="Heading2"/>
        <w:spacing w:after="120" w:before="240"/>
      </w:pPr>
      <w:r>
        <w:rPr>
          <w:color w:val="70002E"/>
        </w:rPr>
        <w:t xml:space="preserve">Use of AI Tools</w:t>
      </w:r>
    </w:p>
    <w:p>
      <w:pPr>
        <w:spacing w:after="160"/>
      </w:pPr>
      <w:r>
        <w:t xml:space="preserve">Unless an assignment </w:t>
      </w:r>
      <w:r>
        <w:rPr>
          <w:b/>
          <w:bCs/>
        </w:rPr>
        <w:t xml:space="preserve">explicitly states otherwise, students should assume that the use of public AI tools is prohibited</w:t>
      </w:r>
      <w:r>
        <w:t xml:space="preserve">.</w:t>
      </w:r>
    </w:p>
    <w:p>
      <w:pPr>
        <w:spacing w:after="160"/>
      </w:pPr>
      <w:r>
        <w:t xml:space="preserve">When AI use is authorized for an assignment, the assignment will identify the permitted tools, acceptable uses, and any applicable restrictions. Students are responsible for following the AI-use requirements specified for each assignment.</w:t>
      </w:r>
    </w:p>
    <w:p>
      <w:pPr>
        <w:spacing w:after="160"/>
      </w:pPr>
      <w:r>
        <w:t xml:space="preserve">When AI use is explicitly authorized, approved tools may include:</w:t>
      </w:r>
    </w:p>
    <w:p>
      <w:pPr>
        <w:pStyle w:val="ListParagraph"/>
        <w:numPr>
          <w:ilvl w:val="0"/>
          <w:numId w:val="2"/>
        </w:numPr>
        <w:spacing w:after="120"/>
      </w:pPr>
      <w:hyperlink w:history="1" r:id="rIdkfhhgs27ot7tkmdd3mihf">
        <w:r>
          <w:rPr>
            <w:rStyle w:val="Hyperlink"/>
          </w:rPr>
          <w:t xml:space="preserve">Models available through OpenRouter</w:t>
        </w:r>
      </w:hyperlink>
    </w:p>
    <w:p>
      <w:pPr>
        <w:pStyle w:val="ListParagraph"/>
        <w:numPr>
          <w:ilvl w:val="0"/>
          <w:numId w:val="2"/>
        </w:numPr>
        <w:spacing w:after="120"/>
      </w:pPr>
      <w:r>
        <w:t xml:space="preserve">Libraries and tools included in the approved GitHub code examples and course labs</w:t>
      </w:r>
    </w:p>
    <w:p>
      <w:pPr>
        <w:pStyle w:val="ListParagraph"/>
        <w:numPr>
          <w:ilvl w:val="0"/>
          <w:numId w:val="2"/>
        </w:numPr>
        <w:spacing w:after="120"/>
      </w:pPr>
      <w:r>
        <w:t xml:space="preserve">The course's </w:t>
      </w:r>
      <w:r>
        <w:rPr>
          <w:b/>
          <w:bCs/>
        </w:rPr>
        <w:t xml:space="preserve">Agentic TA</w:t>
      </w:r>
      <w:r>
        <w:t xml:space="preserve"> available through </w:t>
      </w:r>
      <w:hyperlink w:history="1" r:id="rIdlpet1aoyjrzlknzvwpsxb">
        <w:r>
          <w:rPr>
            <w:rStyle w:val="Hyperlink"/>
          </w:rPr>
          <w:t xml:space="preserve">ChatMT.ai</w:t>
        </w:r>
      </w:hyperlink>
    </w:p>
    <w:p>
      <w:pPr>
        <w:spacing w:after="160"/>
      </w:pPr>
      <w:r>
        <w:t xml:space="preserve">The fact that a tool is technically available does not mean it is permitted for every assignment. Students should always follow the specific AI-use policy provided with the assignment.</w:t>
      </w:r>
    </w:p>
    <w:p>
      <w:pPr>
        <w:pStyle w:val="Heading1"/>
        <w:pBdr>
          <w:bottom w:val="single" w:color="ED8B00" w:sz="8" w:space="4"/>
        </w:pBdr>
        <w:spacing w:after="150" w:before="300"/>
      </w:pPr>
      <w:r>
        <w:rPr>
          <w:color w:val="70002E"/>
        </w:rPr>
        <w:t xml:space="preserve">Inclusion &amp; Accessibility</w:t>
      </w:r>
    </w:p>
    <w:p>
      <w:pPr>
        <w:spacing w:after="160"/>
      </w:pPr>
      <w:r>
        <w:t xml:space="preserve">The University of Montana is committed to supporting an inclusive, respectful, and accessible learning environment for all students.</w:t>
      </w:r>
    </w:p>
    <w:p>
      <w:pPr>
        <w:spacing w:after="160"/>
      </w:pPr>
      <w:r>
        <w:t xml:space="preserve">Students who require accommodations or accessibility support are encouraged to communicate with the instructor and work with the appropriate University resources to ensure they can fully participate in the course.</w:t>
      </w:r>
    </w:p>
    <w:p>
      <w:pPr>
        <w:pStyle w:val="Heading1"/>
        <w:pBdr>
          <w:bottom w:val="single" w:color="ED8B00" w:sz="8" w:space="4"/>
        </w:pBdr>
        <w:spacing w:after="150" w:before="300"/>
      </w:pPr>
      <w:r>
        <w:rPr>
          <w:color w:val="70002E"/>
        </w:rPr>
        <w:t xml:space="preserve">Course Resources</w:t>
      </w:r>
    </w:p>
    <w:p>
      <w:pPr>
        <w:pStyle w:val="ListParagraph"/>
        <w:numPr>
          <w:ilvl w:val="0"/>
          <w:numId w:val="2"/>
        </w:numPr>
        <w:spacing w:after="120"/>
      </w:pPr>
      <w:r>
        <w:rPr>
          <w:b/>
          <w:bCs/>
        </w:rPr>
        <w:t xml:space="preserve">Microsoft Teams: </w:t>
      </w:r>
      <w:r>
        <w:t xml:space="preserve">Primary virtual classroom and course communication platform.</w:t>
      </w:r>
    </w:p>
    <w:p>
      <w:pPr>
        <w:pStyle w:val="ListParagraph"/>
        <w:numPr>
          <w:ilvl w:val="0"/>
          <w:numId w:val="2"/>
        </w:numPr>
        <w:spacing w:after="120"/>
      </w:pPr>
      <w:r>
        <w:rPr>
          <w:b/>
          <w:bCs/>
        </w:rPr>
        <w:t xml:space="preserve">ChatMT.ai Agentic TA: </w:t>
      </w:r>
      <w:r>
        <w:t xml:space="preserve">Course virtual teaching assistant available for questions and guidance when appropriate.</w:t>
      </w:r>
    </w:p>
    <w:p>
      <w:pPr>
        <w:pStyle w:val="ListParagraph"/>
        <w:numPr>
          <w:ilvl w:val="0"/>
          <w:numId w:val="2"/>
        </w:numPr>
        <w:spacing w:after="120"/>
      </w:pPr>
      <w:r>
        <w:rPr>
          <w:b/>
          <w:bCs/>
        </w:rPr>
        <w:t xml:space="preserve">OpenRouter: </w:t>
      </w:r>
      <w:r>
        <w:t xml:space="preserve">Approved AI model access platform for assignments where AI use is explicitly authorized.</w:t>
      </w:r>
    </w:p>
    <w:p>
      <w:pPr>
        <w:pStyle w:val="ListParagraph"/>
        <w:numPr>
          <w:ilvl w:val="0"/>
          <w:numId w:val="2"/>
        </w:numPr>
        <w:spacing w:after="120"/>
      </w:pPr>
      <w:r>
        <w:rPr>
          <w:b/>
          <w:bCs/>
        </w:rPr>
        <w:t xml:space="preserve">Course GitHub Repository: </w:t>
      </w:r>
      <w:r>
        <w:t xml:space="preserve">Course code examples, labs, and other implementation resources.</w:t>
      </w: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8B00" w:sz="6" w:space="4"/>
      </w:pBdr>
      <w:jc w:val="center"/>
    </w:pPr>
    <w:r>
      <w:rPr>
        <w:color w:val="595959"/>
        <w:sz w:val="16"/>
        <w:szCs w:val="16"/>
      </w:rPr>
      <w:t xml:space="preserve">University of Montana  |  CSCI 391 – Agentic Artificial Intelligence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8B00" w:sz="6" w:space="4"/>
      </w:pBdr>
      <w:tabs>
        <w:tab w:val="right" w:pos="9360"/>
      </w:tabs>
      <w:spacing w:after="0"/>
    </w:pPr>
    <w:r>
      <w:rPr>
        <w:b/>
        <w:bCs/>
        <w:color w:val="70002E"/>
        <w:sz w:val="16"/>
        <w:szCs w:val="16"/>
      </w:rPr>
      <w:t xml:space="preserve">University of Montana</w:t>
    </w:r>
    <w:r>
      <w:rPr>
        <w:color w:val="595959"/>
        <w:sz w:val="16"/>
        <w:szCs w:val="16"/>
      </w:rPr>
      <w:t xml:space="preserve">	CSCI 391 – Agentic Artificial Intelligence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nthoggddgooaxsd0djgwd" Type="http://schemas.openxmlformats.org/officeDocument/2006/relationships/hyperlink" Target="mailto:addison.boyer@mso.umt.edu" TargetMode="External"/><Relationship Id="rIdv77qpejxvhf1cnixwdo9-" Type="http://schemas.openxmlformats.org/officeDocument/2006/relationships/hyperlink" Target="https://teams.microsoft.com/l/team/19%3ABdg_IwHMZ9fc00o2xXEaFXtaOoDF8NR-2RfTBU2kzjc1%40thread.tacv2/conversations?groupId=3ab4259d-11fa-4d14-95ca-7c3b42495e55&amp;tenantId=68407ce5-03da-49ff-af0a-724be0d37c9d" TargetMode="External"/><Relationship Id="rIdihavx3aa29ze0kuplcwx6" Type="http://schemas.openxmlformats.org/officeDocument/2006/relationships/hyperlink" Target="https://my.chatmt.ai/c/new?agent_id=agent_rSH19dlHjAHwn-56ONwR8" TargetMode="External"/><Relationship Id="rIdti-oqddzze9kvar9m4eje" Type="http://schemas.openxmlformats.org/officeDocument/2006/relationships/hyperlink" Target="https://www.amazon.com/dp/B0H1VQLDTK" TargetMode="External"/><Relationship Id="rId9re9dctv2rkd6orm2sb0v" Type="http://schemas.openxmlformats.org/officeDocument/2006/relationships/hyperlink" Target="https://www.bkstr.com/gogrizstore/course-materials-results?shopBy=course&amp;divisionDisplayName=&amp;departmentDisplayName=CSCI&amp;courseDisplayName=391&amp;sectionDisplayName=02&amp;programId=5244&amp;termId=100093389&amp;utm_medium=email&amp;utm_source=follett&amp;utm_campaign=rush_fall-2026-syllabus" TargetMode="External"/><Relationship Id="rIdkfhhgs27ot7tkmdd3mihf" Type="http://schemas.openxmlformats.org/officeDocument/2006/relationships/hyperlink" Target="https://openrouter.ai/" TargetMode="External"/><Relationship Id="rIdlpet1aoyjrzlknzvwpsxb" Type="http://schemas.openxmlformats.org/officeDocument/2006/relationships/hyperlink" Target="https://my.chatmt.ai/c/new?agent_id=agent_rSH19dlHjAHwn-56ONwR8" TargetMode="External"/><Relationship Id="rId10" Type="http://schemas.openxmlformats.org/officeDocument/2006/relationships/image" Target="media/6fa4488c0c87e750a4a84356c2429f5e8675ec6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2026-08-21T23:40:59.373Z</dcterms:created>
  <dcterms:modified xsi:type="dcterms:W3CDTF">2026-08-21T23:40:59.373Z</dcterms:modified>
</cp:coreProperties>
</file>

<file path=docProps/custom.xml><?xml version="1.0" encoding="utf-8"?>
<Properties xmlns="http://schemas.openxmlformats.org/officeDocument/2006/custom-properties" xmlns:vt="http://schemas.openxmlformats.org/officeDocument/2006/docPropsVTypes"/>
</file>