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CA" w:rsidRDefault="00F77833">
      <w:r>
        <w:t>Обоснование практики (введение)</w:t>
      </w:r>
    </w:p>
    <w:p w:rsidR="00F77833" w:rsidRDefault="00F77833" w:rsidP="00F77833">
      <w:pPr>
        <w:rPr>
          <w:color w:val="000000"/>
          <w:sz w:val="21"/>
          <w:szCs w:val="21"/>
          <w:shd w:val="clear" w:color="auto" w:fill="FFFFFF"/>
        </w:rPr>
      </w:pPr>
      <w:r>
        <w:rPr>
          <w:rStyle w:val="a5"/>
          <w:color w:val="000000"/>
          <w:sz w:val="21"/>
          <w:szCs w:val="21"/>
          <w:shd w:val="clear" w:color="auto" w:fill="FFFFFF"/>
        </w:rPr>
        <w:t>Кластерный подход</w:t>
      </w:r>
      <w:r>
        <w:rPr>
          <w:rStyle w:val="apple-converted-space"/>
          <w:color w:val="000000"/>
          <w:sz w:val="21"/>
          <w:szCs w:val="21"/>
          <w:shd w:val="clear" w:color="auto" w:fill="FFFFFF"/>
        </w:rPr>
        <w:t> </w:t>
      </w:r>
      <w:r>
        <w:rPr>
          <w:color w:val="000000"/>
          <w:sz w:val="21"/>
          <w:szCs w:val="21"/>
          <w:shd w:val="clear" w:color="auto" w:fill="FFFFFF"/>
        </w:rPr>
        <w:t xml:space="preserve">– это лексикографическое описание всех входящих в кластер лексем с параллельным установлением всех связей каждого слова с остальными словами, представляющими один и тот же </w:t>
      </w:r>
      <w:proofErr w:type="spellStart"/>
      <w:r>
        <w:rPr>
          <w:color w:val="000000"/>
          <w:sz w:val="21"/>
          <w:szCs w:val="21"/>
          <w:shd w:val="clear" w:color="auto" w:fill="FFFFFF"/>
        </w:rPr>
        <w:t>фрагмен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картины </w:t>
      </w:r>
      <w:proofErr w:type="spellStart"/>
      <w:proofErr w:type="gramStart"/>
      <w:r>
        <w:rPr>
          <w:color w:val="000000"/>
          <w:sz w:val="21"/>
          <w:szCs w:val="21"/>
          <w:shd w:val="clear" w:color="auto" w:fill="FFFFFF"/>
        </w:rPr>
        <w:t>мира.У</w:t>
      </w:r>
      <w:proofErr w:type="spellEnd"/>
      <w:proofErr w:type="gramEnd"/>
      <w:r>
        <w:rPr>
          <w:color w:val="000000"/>
          <w:sz w:val="21"/>
          <w:szCs w:val="21"/>
          <w:shd w:val="clear" w:color="auto" w:fill="FFFFFF"/>
        </w:rPr>
        <w:t xml:space="preserve"> кластерного подхода обнаруживаются значительные эвристические возможности. Он помогает толковать слова, находящиеся за пределами литературного языка и не отмеченные диалектологическими словарями, интерпретировать т.н. «темные» слова, создает благодатное исследовательское поле для специалистов по морфологии и словообразованию и т.д.</w:t>
      </w:r>
    </w:p>
    <w:p w:rsidR="00942DA6" w:rsidRDefault="00942DA6" w:rsidP="00F77833">
      <w:pPr>
        <w:rPr>
          <w:color w:val="000000"/>
          <w:sz w:val="21"/>
          <w:szCs w:val="21"/>
          <w:shd w:val="clear" w:color="auto" w:fill="FFFFFF"/>
        </w:rPr>
      </w:pPr>
    </w:p>
    <w:p w:rsidR="00942DA6" w:rsidRPr="001D493C" w:rsidRDefault="00942DA6" w:rsidP="00F77833">
      <w:r>
        <w:rPr>
          <w:rFonts w:ascii="TimesNewRoman" w:hAnsi="TimesNewRoman"/>
          <w:color w:val="000000"/>
          <w:sz w:val="18"/>
          <w:szCs w:val="18"/>
        </w:rPr>
        <w:t>Кластерный анализ в лингвистике широкого</w:t>
      </w:r>
      <w:r>
        <w:rPr>
          <w:rFonts w:ascii="TimesNewRoman" w:hAnsi="TimesNewRoman"/>
          <w:color w:val="000000"/>
          <w:sz w:val="18"/>
          <w:szCs w:val="18"/>
        </w:rPr>
        <w:br/>
        <w:t>применения пока не нашел</w:t>
      </w:r>
      <w:r>
        <w:rPr>
          <w:rFonts w:ascii="Times-Roman" w:hAnsi="Times-Roman"/>
          <w:color w:val="000000"/>
          <w:sz w:val="18"/>
          <w:szCs w:val="18"/>
        </w:rPr>
        <w:t xml:space="preserve">, </w:t>
      </w:r>
      <w:r>
        <w:rPr>
          <w:rFonts w:ascii="TimesNewRoman" w:hAnsi="TimesNewRoman"/>
          <w:color w:val="000000"/>
          <w:sz w:val="18"/>
          <w:szCs w:val="18"/>
        </w:rPr>
        <w:t>но</w:t>
      </w:r>
      <w:r>
        <w:rPr>
          <w:rFonts w:ascii="Times-Roman" w:hAnsi="Times-Roman"/>
          <w:color w:val="000000"/>
          <w:sz w:val="18"/>
          <w:szCs w:val="18"/>
        </w:rPr>
        <w:t xml:space="preserve">, </w:t>
      </w:r>
      <w:r>
        <w:rPr>
          <w:rFonts w:ascii="TimesNewRoman" w:hAnsi="TimesNewRoman"/>
          <w:color w:val="000000"/>
          <w:sz w:val="18"/>
          <w:szCs w:val="18"/>
        </w:rPr>
        <w:t>по нашему мнению</w:t>
      </w:r>
      <w:r>
        <w:rPr>
          <w:rFonts w:ascii="Times-Roman" w:hAnsi="Times-Roman"/>
          <w:color w:val="000000"/>
          <w:sz w:val="18"/>
          <w:szCs w:val="18"/>
        </w:rPr>
        <w:t>,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Fonts w:ascii="TimesNewRoman" w:hAnsi="TimesNewRoman"/>
          <w:color w:val="000000"/>
          <w:sz w:val="18"/>
          <w:szCs w:val="18"/>
        </w:rPr>
        <w:t>данный статистический метод имеет большой по</w:t>
      </w:r>
      <w:r>
        <w:rPr>
          <w:rFonts w:ascii="Times-Roman" w:hAnsi="Times-Roman"/>
          <w:color w:val="000000"/>
          <w:sz w:val="18"/>
          <w:szCs w:val="18"/>
        </w:rPr>
        <w:t>-</w:t>
      </w:r>
      <w:r>
        <w:rPr>
          <w:rFonts w:ascii="Times-Roman" w:hAnsi="Times-Roman"/>
          <w:color w:val="000000"/>
          <w:sz w:val="18"/>
          <w:szCs w:val="18"/>
        </w:rPr>
        <w:br/>
      </w:r>
      <w:proofErr w:type="spellStart"/>
      <w:r>
        <w:rPr>
          <w:rFonts w:ascii="TimesNewRoman" w:hAnsi="TimesNewRoman"/>
          <w:color w:val="000000"/>
          <w:sz w:val="18"/>
          <w:szCs w:val="18"/>
        </w:rPr>
        <w:t>тенциал</w:t>
      </w:r>
      <w:proofErr w:type="spellEnd"/>
      <w:r>
        <w:rPr>
          <w:rFonts w:ascii="TimesNewRoman" w:hAnsi="TimesNewRoman"/>
          <w:color w:val="000000"/>
          <w:sz w:val="18"/>
          <w:szCs w:val="18"/>
        </w:rPr>
        <w:t xml:space="preserve"> для создания новых лингвистических от</w:t>
      </w:r>
      <w:r>
        <w:rPr>
          <w:rFonts w:ascii="Times-Roman" w:hAnsi="Times-Roman"/>
          <w:color w:val="000000"/>
          <w:sz w:val="18"/>
          <w:szCs w:val="18"/>
        </w:rPr>
        <w:t>-</w:t>
      </w:r>
      <w:r>
        <w:rPr>
          <w:rFonts w:ascii="Times-Roman" w:hAnsi="Times-Roman"/>
          <w:color w:val="000000"/>
          <w:sz w:val="18"/>
          <w:szCs w:val="18"/>
        </w:rPr>
        <w:br/>
      </w:r>
      <w:proofErr w:type="spellStart"/>
      <w:r>
        <w:rPr>
          <w:rFonts w:ascii="TimesNewRoman" w:hAnsi="TimesNewRoman"/>
          <w:color w:val="000000"/>
          <w:sz w:val="18"/>
          <w:szCs w:val="18"/>
        </w:rPr>
        <w:t>крытий</w:t>
      </w:r>
      <w:proofErr w:type="spellEnd"/>
      <w:r>
        <w:rPr>
          <w:rFonts w:ascii="Times-Roman" w:hAnsi="Times-Roman"/>
          <w:color w:val="000000"/>
          <w:sz w:val="18"/>
          <w:szCs w:val="18"/>
        </w:rPr>
        <w:t xml:space="preserve">. </w:t>
      </w:r>
      <w:r>
        <w:rPr>
          <w:rFonts w:ascii="TimesNewRoman" w:hAnsi="TimesNewRoman"/>
          <w:color w:val="000000"/>
          <w:sz w:val="18"/>
          <w:szCs w:val="18"/>
        </w:rPr>
        <w:t>К примеру</w:t>
      </w:r>
      <w:r>
        <w:rPr>
          <w:rFonts w:ascii="Times-Roman" w:hAnsi="Times-Roman"/>
          <w:color w:val="000000"/>
          <w:sz w:val="18"/>
          <w:szCs w:val="18"/>
        </w:rPr>
        <w:t xml:space="preserve">, </w:t>
      </w:r>
      <w:r>
        <w:rPr>
          <w:rFonts w:ascii="TimesNewRoman" w:hAnsi="TimesNewRoman"/>
          <w:color w:val="000000"/>
          <w:sz w:val="18"/>
          <w:szCs w:val="18"/>
        </w:rPr>
        <w:t xml:space="preserve">кластерный анализ может </w:t>
      </w:r>
      <w:proofErr w:type="spellStart"/>
      <w:r>
        <w:rPr>
          <w:rFonts w:ascii="TimesNewRoman" w:hAnsi="TimesNewRoman"/>
          <w:color w:val="000000"/>
          <w:sz w:val="18"/>
          <w:szCs w:val="18"/>
        </w:rPr>
        <w:t>слу</w:t>
      </w:r>
      <w:proofErr w:type="spellEnd"/>
      <w:r>
        <w:rPr>
          <w:rFonts w:ascii="Times-Roman" w:hAnsi="Times-Roman"/>
          <w:color w:val="000000"/>
          <w:sz w:val="18"/>
          <w:szCs w:val="18"/>
        </w:rPr>
        <w:t>-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Fonts w:ascii="TimesNewRoman" w:hAnsi="TimesNewRoman"/>
          <w:color w:val="000000"/>
          <w:sz w:val="18"/>
          <w:szCs w:val="18"/>
        </w:rPr>
        <w:t>жить средством создания новых классификаций</w:t>
      </w:r>
      <w:r>
        <w:rPr>
          <w:rFonts w:ascii="Times-Roman" w:hAnsi="Times-Roman"/>
          <w:color w:val="000000"/>
          <w:sz w:val="18"/>
          <w:szCs w:val="18"/>
        </w:rPr>
        <w:t xml:space="preserve">, </w:t>
      </w:r>
      <w:r>
        <w:rPr>
          <w:rFonts w:ascii="TimesNewRoman" w:hAnsi="TimesNewRoman"/>
          <w:color w:val="000000"/>
          <w:sz w:val="18"/>
          <w:szCs w:val="18"/>
        </w:rPr>
        <w:t>оп</w:t>
      </w:r>
      <w:r>
        <w:rPr>
          <w:rFonts w:ascii="Times-Roman" w:hAnsi="Times-Roman"/>
          <w:color w:val="000000"/>
          <w:sz w:val="18"/>
          <w:szCs w:val="18"/>
        </w:rPr>
        <w:t>-</w:t>
      </w:r>
      <w:r>
        <w:rPr>
          <w:rFonts w:ascii="Times-Roman" w:hAnsi="Times-Roman"/>
          <w:color w:val="000000"/>
          <w:sz w:val="18"/>
          <w:szCs w:val="18"/>
        </w:rPr>
        <w:br/>
      </w:r>
      <w:proofErr w:type="spellStart"/>
      <w:r>
        <w:rPr>
          <w:rFonts w:ascii="TimesNewRoman" w:hAnsi="TimesNewRoman"/>
          <w:color w:val="000000"/>
          <w:sz w:val="18"/>
          <w:szCs w:val="18"/>
        </w:rPr>
        <w:t>ределения</w:t>
      </w:r>
      <w:proofErr w:type="spellEnd"/>
      <w:r>
        <w:rPr>
          <w:rFonts w:ascii="TimesNewRoman" w:hAnsi="TimesNewRoman"/>
          <w:color w:val="000000"/>
          <w:sz w:val="18"/>
          <w:szCs w:val="18"/>
        </w:rPr>
        <w:t xml:space="preserve"> моделей развития лексем и поиска общих</w:t>
      </w:r>
      <w:r>
        <w:rPr>
          <w:rFonts w:ascii="TimesNewRoman" w:hAnsi="TimesNewRoman"/>
          <w:color w:val="000000"/>
          <w:sz w:val="18"/>
          <w:szCs w:val="18"/>
        </w:rPr>
        <w:br/>
        <w:t>закономерностей развития целых групп лексем</w:t>
      </w:r>
      <w:r>
        <w:rPr>
          <w:rFonts w:ascii="Times-Roman" w:hAnsi="Times-Roman"/>
          <w:color w:val="000000"/>
          <w:sz w:val="18"/>
          <w:szCs w:val="18"/>
        </w:rPr>
        <w:t>.</w:t>
      </w:r>
      <w:r>
        <w:rPr>
          <w:rFonts w:ascii="Times-Roman" w:hAnsi="Times-Roman"/>
          <w:color w:val="000000"/>
          <w:sz w:val="18"/>
          <w:szCs w:val="18"/>
        </w:rPr>
        <w:t xml:space="preserve">          ХУРГАЛИЕВА</w:t>
      </w:r>
      <w:bookmarkStart w:id="0" w:name="_GoBack"/>
      <w:bookmarkEnd w:id="0"/>
    </w:p>
    <w:p w:rsidR="00F77833" w:rsidRDefault="00F77833"/>
    <w:sectPr w:rsidR="00F778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33"/>
    <w:rsid w:val="00043AAF"/>
    <w:rsid w:val="00054C94"/>
    <w:rsid w:val="000E3636"/>
    <w:rsid w:val="00170054"/>
    <w:rsid w:val="0018028C"/>
    <w:rsid w:val="00187F28"/>
    <w:rsid w:val="001B21C6"/>
    <w:rsid w:val="002010EE"/>
    <w:rsid w:val="0020753D"/>
    <w:rsid w:val="002650A3"/>
    <w:rsid w:val="00271E7E"/>
    <w:rsid w:val="002B4607"/>
    <w:rsid w:val="002D191D"/>
    <w:rsid w:val="002E266B"/>
    <w:rsid w:val="00390DF2"/>
    <w:rsid w:val="003A6CE3"/>
    <w:rsid w:val="003B4C2B"/>
    <w:rsid w:val="003D429D"/>
    <w:rsid w:val="003E6BD2"/>
    <w:rsid w:val="00403EB0"/>
    <w:rsid w:val="00412D59"/>
    <w:rsid w:val="00432BEE"/>
    <w:rsid w:val="00477A21"/>
    <w:rsid w:val="0048137B"/>
    <w:rsid w:val="00485CD6"/>
    <w:rsid w:val="004908B9"/>
    <w:rsid w:val="005618A4"/>
    <w:rsid w:val="005C054E"/>
    <w:rsid w:val="006112AB"/>
    <w:rsid w:val="006718C7"/>
    <w:rsid w:val="00671A38"/>
    <w:rsid w:val="006B7F28"/>
    <w:rsid w:val="0070702E"/>
    <w:rsid w:val="00714C22"/>
    <w:rsid w:val="0075647E"/>
    <w:rsid w:val="00762A00"/>
    <w:rsid w:val="00782183"/>
    <w:rsid w:val="007D53A1"/>
    <w:rsid w:val="007E4DC7"/>
    <w:rsid w:val="00823411"/>
    <w:rsid w:val="00867352"/>
    <w:rsid w:val="008A5705"/>
    <w:rsid w:val="008E5AA4"/>
    <w:rsid w:val="00924E27"/>
    <w:rsid w:val="00942DA6"/>
    <w:rsid w:val="009631ED"/>
    <w:rsid w:val="009954AE"/>
    <w:rsid w:val="009D781D"/>
    <w:rsid w:val="00A0107F"/>
    <w:rsid w:val="00A20BCA"/>
    <w:rsid w:val="00AA1304"/>
    <w:rsid w:val="00AD5611"/>
    <w:rsid w:val="00AE2D44"/>
    <w:rsid w:val="00AE7455"/>
    <w:rsid w:val="00B32FCA"/>
    <w:rsid w:val="00B37F28"/>
    <w:rsid w:val="00B45976"/>
    <w:rsid w:val="00B50DF2"/>
    <w:rsid w:val="00C632DE"/>
    <w:rsid w:val="00CD7772"/>
    <w:rsid w:val="00CF575D"/>
    <w:rsid w:val="00D30269"/>
    <w:rsid w:val="00D43F23"/>
    <w:rsid w:val="00D440B9"/>
    <w:rsid w:val="00DB44F0"/>
    <w:rsid w:val="00DE712D"/>
    <w:rsid w:val="00E241C7"/>
    <w:rsid w:val="00E24C7E"/>
    <w:rsid w:val="00E41320"/>
    <w:rsid w:val="00E567C2"/>
    <w:rsid w:val="00F276CC"/>
    <w:rsid w:val="00F27E94"/>
    <w:rsid w:val="00F35196"/>
    <w:rsid w:val="00F77833"/>
    <w:rsid w:val="00F94411"/>
    <w:rsid w:val="00FA6340"/>
    <w:rsid w:val="00F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6871"/>
  <w15:chartTrackingRefBased/>
  <w15:docId w15:val="{99E51A97-27DE-44FC-9975-560D86D0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6112AB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иплом Знак"/>
    <w:basedOn w:val="a0"/>
    <w:link w:val="a3"/>
    <w:rsid w:val="006112AB"/>
    <w:rPr>
      <w:rFonts w:ascii="Times New Roman" w:hAnsi="Times New Roman"/>
      <w:color w:val="000000" w:themeColor="text1"/>
      <w:sz w:val="28"/>
    </w:rPr>
  </w:style>
  <w:style w:type="character" w:customStyle="1" w:styleId="apple-converted-space">
    <w:name w:val="apple-converted-space"/>
    <w:basedOn w:val="a0"/>
    <w:rsid w:val="00F77833"/>
  </w:style>
  <w:style w:type="character" w:styleId="a5">
    <w:name w:val="Strong"/>
    <w:basedOn w:val="a0"/>
    <w:uiPriority w:val="22"/>
    <w:qFormat/>
    <w:rsid w:val="00F77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2</cp:revision>
  <dcterms:created xsi:type="dcterms:W3CDTF">2016-05-01T13:38:00Z</dcterms:created>
  <dcterms:modified xsi:type="dcterms:W3CDTF">2016-05-02T18:22:00Z</dcterms:modified>
</cp:coreProperties>
</file>