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83A" w:rsidRPr="0010583A" w:rsidRDefault="0010583A" w:rsidP="0010583A">
      <w:pPr>
        <w:rPr>
          <w:b/>
          <w:bCs/>
          <w:color w:val="0070C0"/>
          <w:sz w:val="24"/>
          <w:szCs w:val="24"/>
        </w:rPr>
      </w:pPr>
      <w:bookmarkStart w:id="0" w:name="_GoBack"/>
      <w:r w:rsidRPr="0010583A">
        <w:rPr>
          <w:b/>
          <w:bCs/>
          <w:color w:val="0070C0"/>
          <w:sz w:val="24"/>
          <w:szCs w:val="24"/>
        </w:rPr>
        <w:t>PROJET FI LISTE #2</w:t>
      </w:r>
    </w:p>
    <w:bookmarkEnd w:id="0"/>
    <w:p w:rsidR="0010583A" w:rsidRPr="0010583A" w:rsidRDefault="009F3A41" w:rsidP="0010583A">
      <w:pPr>
        <w:rPr>
          <w:sz w:val="20"/>
          <w:szCs w:val="20"/>
        </w:rPr>
      </w:pPr>
      <w:r w:rsidRPr="0010583A">
        <w:rPr>
          <w:sz w:val="24"/>
          <w:szCs w:val="24"/>
        </w:rPr>
        <w:t>Liste de sujets de recherche à la confluence de l'ingénierie, de la finance digitale et de la gestion du risque international, spécialement conçus pour un niveau intermédiaire. Ces sujets invitent à la modélisation, au développement de prototypes et à l'analyse quantitative.</w:t>
      </w:r>
      <w:r w:rsidR="0010583A" w:rsidRPr="0010583A">
        <w:rPr>
          <w:sz w:val="24"/>
          <w:szCs w:val="24"/>
        </w:rPr>
        <w:t xml:space="preserve"> </w:t>
      </w:r>
      <w:r w:rsidR="0010583A" w:rsidRPr="0010583A">
        <w:rPr>
          <w:sz w:val="24"/>
          <w:szCs w:val="24"/>
        </w:rPr>
        <w:t>Ces sujets offrent un équilibre entre la théorie financière, la compréhension des enjeux business et la mise en œuvre technique, parfaits pour un ingénieur en finance digitale de niveau intermédiaire.</w:t>
      </w:r>
    </w:p>
    <w:p w:rsidR="0010583A" w:rsidRDefault="0010583A" w:rsidP="0010583A"/>
    <w:p w:rsidR="009F3A41" w:rsidRPr="009F3A41" w:rsidRDefault="0010583A" w:rsidP="0010583A">
      <w:pPr>
        <w:rPr>
          <w:lang w:val="en-US"/>
        </w:rPr>
      </w:pPr>
      <w:r>
        <w:rPr>
          <w:sz w:val="28"/>
          <w:szCs w:val="28"/>
        </w:rPr>
        <w:t xml:space="preserve"> </w:t>
      </w:r>
      <w:r>
        <w:rPr>
          <w:lang w:val="en-US"/>
        </w:rPr>
        <w:pict>
          <v:rect id="_x0000_i1025" style="width:0;height:.75pt" o:hralign="center" o:hrstd="t" o:hr="t" fillcolor="#a0a0a0" stroked="f"/>
        </w:pict>
      </w:r>
    </w:p>
    <w:p w:rsidR="009F3A41" w:rsidRPr="009F3A41" w:rsidRDefault="009F3A41" w:rsidP="009F3A41">
      <w:pPr>
        <w:rPr>
          <w:b/>
          <w:bCs/>
          <w:color w:val="0070C0"/>
          <w:sz w:val="24"/>
          <w:szCs w:val="24"/>
        </w:rPr>
      </w:pPr>
      <w:r w:rsidRPr="009F3A41">
        <w:rPr>
          <w:b/>
          <w:bCs/>
          <w:color w:val="0070C0"/>
          <w:sz w:val="24"/>
          <w:szCs w:val="24"/>
        </w:rPr>
        <w:t>Thème 1 : Management du risque et financement des entreprises à l'international</w:t>
      </w:r>
    </w:p>
    <w:p w:rsidR="009F3A41" w:rsidRPr="009F3A41" w:rsidRDefault="009F3A41" w:rsidP="009F3A41">
      <w:r w:rsidRPr="009F3A41">
        <w:t>Ces sujets explorent comment les nouvelles technologies transforment la gestion des risques de marché (taux d'intérêt, prix des matières premières) et le financement pour les grandes entreprises.</w:t>
      </w:r>
    </w:p>
    <w:p w:rsidR="009F3A41" w:rsidRPr="009F3A41" w:rsidRDefault="009F3A41" w:rsidP="009F3A41">
      <w:pPr>
        <w:numPr>
          <w:ilvl w:val="0"/>
          <w:numId w:val="1"/>
        </w:numPr>
      </w:pPr>
      <w:r w:rsidRPr="009F3A41">
        <w:rPr>
          <w:b/>
          <w:bCs/>
        </w:rPr>
        <w:t xml:space="preserve">Conception d'un Smart </w:t>
      </w:r>
      <w:proofErr w:type="spellStart"/>
      <w:r w:rsidRPr="009F3A41">
        <w:rPr>
          <w:b/>
          <w:bCs/>
        </w:rPr>
        <w:t>Contract</w:t>
      </w:r>
      <w:proofErr w:type="spellEnd"/>
      <w:r w:rsidRPr="009F3A41">
        <w:rPr>
          <w:b/>
          <w:bCs/>
        </w:rPr>
        <w:t xml:space="preserve"> pour l'émission et la gestion d'obligations </w:t>
      </w:r>
      <w:proofErr w:type="spellStart"/>
      <w:r w:rsidRPr="009F3A41">
        <w:rPr>
          <w:b/>
          <w:bCs/>
        </w:rPr>
        <w:t>tokenisées</w:t>
      </w:r>
      <w:proofErr w:type="spellEnd"/>
      <w:r w:rsidRPr="009F3A41">
        <w:rPr>
          <w:b/>
          <w:bCs/>
        </w:rPr>
        <w:t xml:space="preserve"> (Security </w:t>
      </w:r>
      <w:proofErr w:type="spellStart"/>
      <w:r w:rsidRPr="009F3A41">
        <w:rPr>
          <w:b/>
          <w:bCs/>
        </w:rPr>
        <w:t>Tokens</w:t>
      </w:r>
      <w:proofErr w:type="spellEnd"/>
      <w:r w:rsidRPr="009F3A41">
        <w:rPr>
          <w:b/>
          <w:bCs/>
        </w:rPr>
        <w:t>) avec couverture intégrée contre le risque de taux.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t>Problématique :</w:t>
      </w:r>
      <w:r w:rsidRPr="009F3A41">
        <w:t> Comment automatiser les flux de paiement d'une obligation (coupons, remboursement) et y intégrer directement une stratégie de couverture (</w:t>
      </w:r>
      <w:proofErr w:type="gramStart"/>
      <w:r w:rsidRPr="009F3A41">
        <w:t>ex:</w:t>
      </w:r>
      <w:proofErr w:type="gramEnd"/>
      <w:r w:rsidRPr="009F3A41">
        <w:t xml:space="preserve"> swap de taux d'intérêt) via une </w:t>
      </w:r>
      <w:proofErr w:type="spellStart"/>
      <w:r w:rsidRPr="009F3A41">
        <w:t>blockchain</w:t>
      </w:r>
      <w:proofErr w:type="spellEnd"/>
      <w:r w:rsidRPr="009F3A41">
        <w:t xml:space="preserve"> </w:t>
      </w:r>
      <w:proofErr w:type="spellStart"/>
      <w:r w:rsidRPr="009F3A41">
        <w:t>permissionnée</w:t>
      </w:r>
      <w:proofErr w:type="spellEnd"/>
      <w:r w:rsidRPr="009F3A41">
        <w:t xml:space="preserve"> ?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t>Axes de recherche :</w:t>
      </w:r>
      <w:r w:rsidRPr="009F3A41">
        <w:t xml:space="preserve"> Développement d'un smart </w:t>
      </w:r>
      <w:proofErr w:type="spellStart"/>
      <w:r w:rsidRPr="009F3A41">
        <w:t>contract</w:t>
      </w:r>
      <w:proofErr w:type="spellEnd"/>
      <w:r w:rsidRPr="009F3A41">
        <w:t xml:space="preserve"> (</w:t>
      </w:r>
      <w:proofErr w:type="spellStart"/>
      <w:r w:rsidRPr="009F3A41">
        <w:t>Solidity</w:t>
      </w:r>
      <w:proofErr w:type="spellEnd"/>
      <w:r w:rsidRPr="009F3A41">
        <w:t xml:space="preserve"> sur </w:t>
      </w:r>
      <w:proofErr w:type="spellStart"/>
      <w:r w:rsidRPr="009F3A41">
        <w:t>Ethereum</w:t>
      </w:r>
      <w:proofErr w:type="spellEnd"/>
      <w:r w:rsidRPr="009F3A41">
        <w:t xml:space="preserve"> ou sur une </w:t>
      </w:r>
      <w:proofErr w:type="spellStart"/>
      <w:r w:rsidRPr="009F3A41">
        <w:t>blockchain</w:t>
      </w:r>
      <w:proofErr w:type="spellEnd"/>
      <w:r w:rsidRPr="009F3A41">
        <w:t xml:space="preserve"> d'entreprise) ; modélisation du mécanisme de coupon ; interface avec un oracle (</w:t>
      </w:r>
      <w:proofErr w:type="gramStart"/>
      <w:r w:rsidRPr="009F3A41">
        <w:t>ex:</w:t>
      </w:r>
      <w:proofErr w:type="gramEnd"/>
      <w:r w:rsidRPr="009F3A41">
        <w:t xml:space="preserve"> </w:t>
      </w:r>
      <w:proofErr w:type="spellStart"/>
      <w:r w:rsidRPr="009F3A41">
        <w:t>Chainlink</w:t>
      </w:r>
      <w:proofErr w:type="spellEnd"/>
      <w:r w:rsidRPr="009F3A41">
        <w:t>) pour obtenir les données de taux de référence ; modélisation d'un swap simplifié.</w:t>
      </w:r>
    </w:p>
    <w:p w:rsidR="009F3A41" w:rsidRPr="009F3A41" w:rsidRDefault="009F3A41" w:rsidP="009F3A41">
      <w:pPr>
        <w:numPr>
          <w:ilvl w:val="0"/>
          <w:numId w:val="1"/>
        </w:numPr>
      </w:pPr>
      <w:r w:rsidRPr="009F3A41">
        <w:rPr>
          <w:b/>
          <w:bCs/>
        </w:rPr>
        <w:t>Plateforme de simulation des risques de crédit des contreparties (</w:t>
      </w:r>
      <w:proofErr w:type="spellStart"/>
      <w:r w:rsidRPr="009F3A41">
        <w:rPr>
          <w:b/>
          <w:bCs/>
        </w:rPr>
        <w:t>Counterparty</w:t>
      </w:r>
      <w:proofErr w:type="spellEnd"/>
      <w:r w:rsidRPr="009F3A41">
        <w:rPr>
          <w:b/>
          <w:bCs/>
        </w:rPr>
        <w:t xml:space="preserve"> </w:t>
      </w:r>
      <w:proofErr w:type="spellStart"/>
      <w:r w:rsidRPr="009F3A41">
        <w:rPr>
          <w:b/>
          <w:bCs/>
        </w:rPr>
        <w:t>Credit</w:t>
      </w:r>
      <w:proofErr w:type="spellEnd"/>
      <w:r w:rsidRPr="009F3A41">
        <w:rPr>
          <w:b/>
          <w:bCs/>
        </w:rPr>
        <w:t xml:space="preserve"> </w:t>
      </w:r>
      <w:proofErr w:type="spellStart"/>
      <w:r w:rsidRPr="009F3A41">
        <w:rPr>
          <w:b/>
          <w:bCs/>
        </w:rPr>
        <w:t>Risk</w:t>
      </w:r>
      <w:proofErr w:type="spellEnd"/>
      <w:r w:rsidRPr="009F3A41">
        <w:rPr>
          <w:b/>
          <w:bCs/>
        </w:rPr>
        <w:t>) dans les dérivés OTC utilisant l'Analyse de Réseaux et le Machine Learning.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t>Problématique :</w:t>
      </w:r>
      <w:r w:rsidRPr="009F3A41">
        <w:t> Comment visualiser et quantifier le risque systémique lié à l'interconnexion des entreprises via les contrats de dérivés (swaps, options) ? Comment prédire la défaillance d'une contrepartie en intégrant des données non-structurelles ?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t>Axes de recherche :</w:t>
      </w:r>
      <w:r w:rsidRPr="009F3A41">
        <w:t> Construction d'un graphe de réseau des contreparties ; calcul de l'exposition potentielle future (PFE) ; utilisation de modèles de ML (</w:t>
      </w:r>
      <w:proofErr w:type="spellStart"/>
      <w:r w:rsidRPr="009F3A41">
        <w:t>Random</w:t>
      </w:r>
      <w:proofErr w:type="spellEnd"/>
      <w:r w:rsidRPr="009F3A41">
        <w:t xml:space="preserve"> Forest, GBM) pour affiner la probabilité de défaut en intégrant des données alternatives (news, données sectorielles).</w:t>
      </w:r>
    </w:p>
    <w:p w:rsidR="009F3A41" w:rsidRPr="009F3A41" w:rsidRDefault="009F3A41" w:rsidP="009F3A41">
      <w:pPr>
        <w:numPr>
          <w:ilvl w:val="0"/>
          <w:numId w:val="1"/>
        </w:numPr>
      </w:pPr>
      <w:r w:rsidRPr="009F3A41">
        <w:rPr>
          <w:b/>
          <w:bCs/>
        </w:rPr>
        <w:t>Optimisation de la trésorerie internationale et de la couverture des risques de change grâce à l'IA pour les groupes multinationaux.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t>Problématique :</w:t>
      </w:r>
      <w:r w:rsidRPr="009F3A41">
        <w:t> Comment un algorithme peut-il centraliser la vision des flux de trésorerie en multiples devises d'un groupe et recommander des stratégies de couverture (</w:t>
      </w:r>
      <w:proofErr w:type="spellStart"/>
      <w:r w:rsidRPr="009F3A41">
        <w:t>forwards</w:t>
      </w:r>
      <w:proofErr w:type="spellEnd"/>
      <w:r w:rsidRPr="009F3A41">
        <w:t>, options) optimales en temps quasi-réel ?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lastRenderedPageBreak/>
        <w:t>Axes de recherche :</w:t>
      </w:r>
      <w:r w:rsidRPr="009F3A41">
        <w:t> Conception d'un algorithme de regroupement (</w:t>
      </w:r>
      <w:proofErr w:type="spellStart"/>
      <w:r w:rsidRPr="009F3A41">
        <w:t>netting</w:t>
      </w:r>
      <w:proofErr w:type="spellEnd"/>
      <w:r w:rsidRPr="009F3A41">
        <w:t xml:space="preserve">) des flux inter-filiales ; modélisation des objectifs de couverture (coût vs. </w:t>
      </w:r>
      <w:proofErr w:type="gramStart"/>
      <w:r w:rsidRPr="009F3A41">
        <w:t>protection</w:t>
      </w:r>
      <w:proofErr w:type="gramEnd"/>
      <w:r w:rsidRPr="009F3A41">
        <w:t xml:space="preserve">) ; utilisation de techniques d'optimisation sous contraintes et de </w:t>
      </w:r>
      <w:proofErr w:type="spellStart"/>
      <w:r w:rsidRPr="009F3A41">
        <w:t>reinforcement</w:t>
      </w:r>
      <w:proofErr w:type="spellEnd"/>
      <w:r w:rsidRPr="009F3A41">
        <w:t xml:space="preserve"> </w:t>
      </w:r>
      <w:proofErr w:type="spellStart"/>
      <w:r w:rsidRPr="009F3A41">
        <w:t>learning</w:t>
      </w:r>
      <w:proofErr w:type="spellEnd"/>
      <w:r w:rsidRPr="009F3A41">
        <w:t xml:space="preserve"> pour la stratégie.</w:t>
      </w:r>
    </w:p>
    <w:p w:rsidR="009F3A41" w:rsidRPr="009F3A41" w:rsidRDefault="009F3A41" w:rsidP="009F3A41">
      <w:pPr>
        <w:numPr>
          <w:ilvl w:val="0"/>
          <w:numId w:val="1"/>
        </w:numPr>
      </w:pPr>
      <w:r w:rsidRPr="009F3A41">
        <w:rPr>
          <w:b/>
          <w:bCs/>
        </w:rPr>
        <w:t>Développement d'un prototype de Marketplace de Financement Commercial (</w:t>
      </w:r>
      <w:proofErr w:type="spellStart"/>
      <w:r w:rsidRPr="009F3A41">
        <w:rPr>
          <w:b/>
          <w:bCs/>
        </w:rPr>
        <w:t>Supply</w:t>
      </w:r>
      <w:proofErr w:type="spellEnd"/>
      <w:r w:rsidRPr="009F3A41">
        <w:rPr>
          <w:b/>
          <w:bCs/>
        </w:rPr>
        <w:t xml:space="preserve"> Chain Finance) basé sur une MDBC (</w:t>
      </w:r>
      <w:proofErr w:type="spellStart"/>
      <w:r w:rsidRPr="009F3A41">
        <w:rPr>
          <w:b/>
          <w:bCs/>
        </w:rPr>
        <w:t>Blockchain</w:t>
      </w:r>
      <w:proofErr w:type="spellEnd"/>
      <w:r w:rsidRPr="009F3A41">
        <w:rPr>
          <w:b/>
          <w:bCs/>
        </w:rPr>
        <w:t>).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t>Problématique :</w:t>
      </w:r>
      <w:r w:rsidRPr="009F3A41">
        <w:t xml:space="preserve"> Comment une </w:t>
      </w:r>
      <w:proofErr w:type="spellStart"/>
      <w:r w:rsidRPr="009F3A41">
        <w:t>blockchain</w:t>
      </w:r>
      <w:proofErr w:type="spellEnd"/>
      <w:r w:rsidRPr="009F3A41">
        <w:t xml:space="preserve"> peut-elle fluidifier et sécuriser le financement des fournisseurs (escompte de factures, affacturage) en </w:t>
      </w:r>
      <w:proofErr w:type="spellStart"/>
      <w:r w:rsidRPr="009F3A41">
        <w:t>tokenisant</w:t>
      </w:r>
      <w:proofErr w:type="spellEnd"/>
      <w:r w:rsidRPr="009F3A41">
        <w:t xml:space="preserve"> les créances commerciales et en rendant le processus transparent et infalsifiable ?</w:t>
      </w:r>
    </w:p>
    <w:p w:rsidR="009F3A41" w:rsidRPr="009F3A41" w:rsidRDefault="009F3A41" w:rsidP="009F3A41">
      <w:pPr>
        <w:numPr>
          <w:ilvl w:val="1"/>
          <w:numId w:val="1"/>
        </w:numPr>
      </w:pPr>
      <w:r w:rsidRPr="009F3A41">
        <w:rPr>
          <w:b/>
          <w:bCs/>
        </w:rPr>
        <w:t>Axes de recherche :</w:t>
      </w:r>
      <w:r w:rsidRPr="009F3A41">
        <w:t xml:space="preserve"> Modélisation des acteurs (acheteur, fournisseur, banque) et des flux sur une </w:t>
      </w:r>
      <w:proofErr w:type="spellStart"/>
      <w:r w:rsidRPr="009F3A41">
        <w:t>blockchain</w:t>
      </w:r>
      <w:proofErr w:type="spellEnd"/>
      <w:r w:rsidRPr="009F3A41">
        <w:t xml:space="preserve"> ; </w:t>
      </w:r>
      <w:proofErr w:type="spellStart"/>
      <w:r w:rsidRPr="009F3A41">
        <w:t>tokenisation</w:t>
      </w:r>
      <w:proofErr w:type="spellEnd"/>
      <w:r w:rsidRPr="009F3A41">
        <w:t xml:space="preserve"> de la facture comme NFT ou </w:t>
      </w:r>
      <w:proofErr w:type="spellStart"/>
      <w:r w:rsidRPr="009F3A41">
        <w:t>token</w:t>
      </w:r>
      <w:proofErr w:type="spellEnd"/>
      <w:r w:rsidRPr="009F3A41">
        <w:t xml:space="preserve"> fongible ; étude des impacts sur le risque de crédit et le besoin en fonds de roulement (BFR).</w:t>
      </w:r>
    </w:p>
    <w:p w:rsidR="009F3A41" w:rsidRPr="009F3A41" w:rsidRDefault="0010583A" w:rsidP="009F3A41">
      <w:pPr>
        <w:rPr>
          <w:lang w:val="en-US"/>
        </w:rPr>
      </w:pPr>
      <w:r>
        <w:rPr>
          <w:lang w:val="en-US"/>
        </w:rPr>
        <w:pict>
          <v:rect id="_x0000_i1026" style="width:0;height:.75pt" o:hralign="center" o:hrstd="t" o:hr="t" fillcolor="#a0a0a0" stroked="f"/>
        </w:pict>
      </w:r>
    </w:p>
    <w:p w:rsidR="009F3A41" w:rsidRPr="009F3A41" w:rsidRDefault="009F3A41" w:rsidP="009F3A41">
      <w:pPr>
        <w:rPr>
          <w:b/>
          <w:bCs/>
        </w:rPr>
      </w:pPr>
      <w:r w:rsidRPr="009F3A41">
        <w:rPr>
          <w:b/>
          <w:bCs/>
        </w:rPr>
        <w:t>Thème 2 : Management du risque et financement des échanges internationaux</w:t>
      </w:r>
    </w:p>
    <w:p w:rsidR="009F3A41" w:rsidRPr="009F3A41" w:rsidRDefault="009F3A41" w:rsidP="009F3A41">
      <w:r w:rsidRPr="009F3A41">
        <w:t>Ces sujets se concentrent sur le commerce transfrontalier de biens et services, en modernisant des instruments traditionnels comme le crédit documentaire.</w:t>
      </w:r>
    </w:p>
    <w:p w:rsidR="009F3A41" w:rsidRPr="009F3A41" w:rsidRDefault="009F3A41" w:rsidP="009F3A41">
      <w:pPr>
        <w:numPr>
          <w:ilvl w:val="0"/>
          <w:numId w:val="2"/>
        </w:numPr>
      </w:pPr>
      <w:r w:rsidRPr="009F3A41">
        <w:rPr>
          <w:b/>
          <w:bCs/>
        </w:rPr>
        <w:t xml:space="preserve">Automatisation du crédit documentaire (Lettre de Crédit - L/C) et du cautionnement via des Smart </w:t>
      </w:r>
      <w:proofErr w:type="spellStart"/>
      <w:r w:rsidRPr="009F3A41">
        <w:rPr>
          <w:b/>
          <w:bCs/>
        </w:rPr>
        <w:t>Contracts</w:t>
      </w:r>
      <w:proofErr w:type="spellEnd"/>
      <w:r w:rsidRPr="009F3A41">
        <w:rPr>
          <w:b/>
          <w:bCs/>
        </w:rPr>
        <w:t xml:space="preserve"> et des Oracles.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Problématique :</w:t>
      </w:r>
      <w:r w:rsidRPr="009F3A41">
        <w:t> Comment remplacer le processus papier, lent et coûteux, du crédit documentaire par un processus dématérialisé et automatique qui déclenche les paiements sur la base de preuves vérifiables (</w:t>
      </w:r>
      <w:proofErr w:type="gramStart"/>
      <w:r w:rsidRPr="009F3A41">
        <w:t>ex:</w:t>
      </w:r>
      <w:proofErr w:type="gramEnd"/>
      <w:r w:rsidRPr="009F3A41">
        <w:t xml:space="preserve"> réception des marchandises attestée par un capteur </w:t>
      </w:r>
      <w:proofErr w:type="spellStart"/>
      <w:r w:rsidRPr="009F3A41">
        <w:t>IoT</w:t>
      </w:r>
      <w:proofErr w:type="spellEnd"/>
      <w:r w:rsidRPr="009F3A41">
        <w:t>) ?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Axes de recherche :</w:t>
      </w:r>
      <w:r w:rsidRPr="009F3A41">
        <w:t xml:space="preserve"> Modélisation du workflow L/C en smart </w:t>
      </w:r>
      <w:proofErr w:type="spellStart"/>
      <w:r w:rsidRPr="009F3A41">
        <w:t>contracts</w:t>
      </w:r>
      <w:proofErr w:type="spellEnd"/>
      <w:r w:rsidRPr="009F3A41">
        <w:t xml:space="preserve"> ; intégration d'oracles pour les données </w:t>
      </w:r>
      <w:proofErr w:type="spellStart"/>
      <w:r w:rsidRPr="009F3A41">
        <w:t>IoT</w:t>
      </w:r>
      <w:proofErr w:type="spellEnd"/>
      <w:r w:rsidRPr="009F3A41">
        <w:t xml:space="preserve"> (géolocalisation, température) ou les documents numériques (e-BL) ; analyse des gains d'efficacité et de réduction des fraudes.</w:t>
      </w:r>
    </w:p>
    <w:p w:rsidR="009F3A41" w:rsidRPr="009F3A41" w:rsidRDefault="009F3A41" w:rsidP="009F3A41">
      <w:pPr>
        <w:numPr>
          <w:ilvl w:val="0"/>
          <w:numId w:val="2"/>
        </w:numPr>
      </w:pPr>
      <w:r w:rsidRPr="009F3A41">
        <w:rPr>
          <w:b/>
          <w:bCs/>
        </w:rPr>
        <w:t xml:space="preserve">Application de la </w:t>
      </w:r>
      <w:proofErr w:type="spellStart"/>
      <w:r w:rsidRPr="009F3A41">
        <w:rPr>
          <w:b/>
          <w:bCs/>
        </w:rPr>
        <w:t>Tokenisation</w:t>
      </w:r>
      <w:proofErr w:type="spellEnd"/>
      <w:r w:rsidRPr="009F3A41">
        <w:rPr>
          <w:b/>
          <w:bCs/>
        </w:rPr>
        <w:t xml:space="preserve"> des Droits de Propriété (Real-World </w:t>
      </w:r>
      <w:proofErr w:type="spellStart"/>
      <w:r w:rsidRPr="009F3A41">
        <w:rPr>
          <w:b/>
          <w:bCs/>
        </w:rPr>
        <w:t>Assets</w:t>
      </w:r>
      <w:proofErr w:type="spellEnd"/>
      <w:r w:rsidRPr="009F3A41">
        <w:rPr>
          <w:b/>
          <w:bCs/>
        </w:rPr>
        <w:t xml:space="preserve"> - RWA) pour le financement du commerce de matières premières.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Problématique :</w:t>
      </w:r>
      <w:r w:rsidRPr="009F3A41">
        <w:t xml:space="preserve"> Comment </w:t>
      </w:r>
      <w:proofErr w:type="spellStart"/>
      <w:r w:rsidRPr="009F3A41">
        <w:t>tokeniser</w:t>
      </w:r>
      <w:proofErr w:type="spellEnd"/>
      <w:r w:rsidRPr="009F3A41">
        <w:t xml:space="preserve"> un stock de matières premières (blé, pétrole, métaux) dans un </w:t>
      </w:r>
      <w:proofErr w:type="spellStart"/>
      <w:r w:rsidRPr="009F3A41">
        <w:t>entrepot</w:t>
      </w:r>
      <w:proofErr w:type="spellEnd"/>
      <w:r w:rsidRPr="009F3A41">
        <w:t xml:space="preserve"> certifié pour </w:t>
      </w:r>
      <w:proofErr w:type="gramStart"/>
      <w:r w:rsidRPr="009F3A41">
        <w:t>le utiliser</w:t>
      </w:r>
      <w:proofErr w:type="gramEnd"/>
      <w:r w:rsidRPr="009F3A41">
        <w:t xml:space="preserve"> comme collatéral liquide et programmable pour des </w:t>
      </w:r>
      <w:proofErr w:type="spellStart"/>
      <w:r w:rsidRPr="009F3A41">
        <w:t>prats</w:t>
      </w:r>
      <w:proofErr w:type="spellEnd"/>
      <w:r w:rsidRPr="009F3A41">
        <w:t xml:space="preserve"> commerciaux ou pour émettre des </w:t>
      </w:r>
      <w:proofErr w:type="spellStart"/>
      <w:r w:rsidRPr="009F3A41">
        <w:t>stablecoins</w:t>
      </w:r>
      <w:proofErr w:type="spellEnd"/>
      <w:r w:rsidRPr="009F3A41">
        <w:t xml:space="preserve"> adossés à des actifs physiques ?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Axes de recherche :</w:t>
      </w:r>
      <w:r w:rsidRPr="009F3A41">
        <w:t xml:space="preserve"> Étude du processus de </w:t>
      </w:r>
      <w:proofErr w:type="spellStart"/>
      <w:r w:rsidRPr="009F3A41">
        <w:t>tokenisation</w:t>
      </w:r>
      <w:proofErr w:type="spellEnd"/>
      <w:r w:rsidRPr="009F3A41">
        <w:t xml:space="preserve"> (liaison actif physique / jeton) ; rôle des auditeurs et des gardiens (</w:t>
      </w:r>
      <w:proofErr w:type="spellStart"/>
      <w:r w:rsidRPr="009F3A41">
        <w:t>custodians</w:t>
      </w:r>
      <w:proofErr w:type="spellEnd"/>
      <w:r w:rsidRPr="009F3A41">
        <w:t>) ; impact sur la liquidité et le financement des stocks ; gestion du risque légal et de contrepartie.</w:t>
      </w:r>
    </w:p>
    <w:p w:rsidR="009F3A41" w:rsidRPr="009F3A41" w:rsidRDefault="009F3A41" w:rsidP="009F3A41">
      <w:pPr>
        <w:numPr>
          <w:ilvl w:val="0"/>
          <w:numId w:val="2"/>
        </w:numPr>
      </w:pPr>
      <w:r w:rsidRPr="009F3A41">
        <w:rPr>
          <w:b/>
          <w:bCs/>
        </w:rPr>
        <w:t xml:space="preserve">Cadre d'évaluation et de gestion des risques des </w:t>
      </w:r>
      <w:proofErr w:type="spellStart"/>
      <w:r w:rsidRPr="009F3A41">
        <w:rPr>
          <w:b/>
          <w:bCs/>
        </w:rPr>
        <w:t>stablecoins</w:t>
      </w:r>
      <w:proofErr w:type="spellEnd"/>
      <w:r w:rsidRPr="009F3A41">
        <w:rPr>
          <w:b/>
          <w:bCs/>
        </w:rPr>
        <w:t xml:space="preserve"> utilisés comme moyen de paiement dans le commerce international.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lastRenderedPageBreak/>
        <w:t>Problématique :</w:t>
      </w:r>
      <w:r w:rsidRPr="009F3A41">
        <w:t xml:space="preserve"> Les </w:t>
      </w:r>
      <w:proofErr w:type="spellStart"/>
      <w:r w:rsidRPr="009F3A41">
        <w:t>stablecoins</w:t>
      </w:r>
      <w:proofErr w:type="spellEnd"/>
      <w:r w:rsidRPr="009F3A41">
        <w:t xml:space="preserve"> (</w:t>
      </w:r>
      <w:proofErr w:type="gramStart"/>
      <w:r w:rsidRPr="009F3A41">
        <w:t>ex:</w:t>
      </w:r>
      <w:proofErr w:type="gramEnd"/>
      <w:r w:rsidRPr="009F3A41">
        <w:t xml:space="preserve"> USDC) promettent des règlements internationaux instantanés et peu coûteux. Mais comment quantifier et gérer les risques spécifiques (risque de dé-</w:t>
      </w:r>
      <w:proofErr w:type="spellStart"/>
      <w:r w:rsidRPr="009F3A41">
        <w:t>peg</w:t>
      </w:r>
      <w:proofErr w:type="spellEnd"/>
      <w:r w:rsidRPr="009F3A41">
        <w:t>, risque de liquidité, risque de gouvernance) pour une entreprise qui les utiliserait massivement ?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Axes de recherche :</w:t>
      </w:r>
      <w:r w:rsidRPr="009F3A41">
        <w:t> Analyse quantitative des écarts de prix (de-</w:t>
      </w:r>
      <w:proofErr w:type="spellStart"/>
      <w:r w:rsidRPr="009F3A41">
        <w:t>peg</w:t>
      </w:r>
      <w:proofErr w:type="spellEnd"/>
      <w:r w:rsidRPr="009F3A41">
        <w:t xml:space="preserve">) des principaux </w:t>
      </w:r>
      <w:proofErr w:type="spellStart"/>
      <w:r w:rsidRPr="009F3A41">
        <w:t>stablecoins</w:t>
      </w:r>
      <w:proofErr w:type="spellEnd"/>
      <w:r w:rsidRPr="009F3A41">
        <w:t xml:space="preserve"> ; modélisation du risque de liquidité des réserves ; proposition d'un cadre de stress-test pour les trésoreries d'entreprise.</w:t>
      </w:r>
    </w:p>
    <w:p w:rsidR="009F3A41" w:rsidRPr="009F3A41" w:rsidRDefault="009F3A41" w:rsidP="009F3A41">
      <w:pPr>
        <w:numPr>
          <w:ilvl w:val="0"/>
          <w:numId w:val="2"/>
        </w:numPr>
      </w:pPr>
      <w:r w:rsidRPr="009F3A41">
        <w:rPr>
          <w:b/>
          <w:bCs/>
        </w:rPr>
        <w:t>Prototype de plateforme de couverture de change (</w:t>
      </w:r>
      <w:proofErr w:type="spellStart"/>
      <w:r w:rsidRPr="009F3A41">
        <w:rPr>
          <w:b/>
          <w:bCs/>
        </w:rPr>
        <w:t>Hedging</w:t>
      </w:r>
      <w:proofErr w:type="spellEnd"/>
      <w:r w:rsidRPr="009F3A41">
        <w:rPr>
          <w:b/>
          <w:bCs/>
        </w:rPr>
        <w:t>) décentralisée (</w:t>
      </w:r>
      <w:proofErr w:type="spellStart"/>
      <w:r w:rsidRPr="009F3A41">
        <w:rPr>
          <w:b/>
          <w:bCs/>
        </w:rPr>
        <w:t>DeFi</w:t>
      </w:r>
      <w:proofErr w:type="spellEnd"/>
      <w:r w:rsidRPr="009F3A41">
        <w:rPr>
          <w:b/>
          <w:bCs/>
        </w:rPr>
        <w:t>) pour les PME exportatrices.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Problématique :</w:t>
      </w:r>
      <w:r w:rsidRPr="009F3A41">
        <w:t xml:space="preserve"> Les PME ont difficilement accès aux produits de couverture de change sophistiqués des banques. Comment les protocoles </w:t>
      </w:r>
      <w:proofErr w:type="spellStart"/>
      <w:r w:rsidRPr="009F3A41">
        <w:t>DeFi</w:t>
      </w:r>
      <w:proofErr w:type="spellEnd"/>
      <w:r w:rsidRPr="009F3A41">
        <w:t xml:space="preserve"> (pools de liquidité, AMM) peuvent-ils offrir des produits de couverture simples (</w:t>
      </w:r>
      <w:proofErr w:type="spellStart"/>
      <w:r w:rsidRPr="009F3A41">
        <w:t>forwards</w:t>
      </w:r>
      <w:proofErr w:type="spellEnd"/>
      <w:r w:rsidRPr="009F3A41">
        <w:t>, options vanilles) à un coût réduit ?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Axes de recherche :</w:t>
      </w:r>
      <w:r w:rsidRPr="009F3A41">
        <w:t> Conception d'un mécanisme de AMM (</w:t>
      </w:r>
      <w:proofErr w:type="spellStart"/>
      <w:r w:rsidRPr="009F3A41">
        <w:t>Automated</w:t>
      </w:r>
      <w:proofErr w:type="spellEnd"/>
      <w:r w:rsidRPr="009F3A41">
        <w:t xml:space="preserve"> </w:t>
      </w:r>
      <w:proofErr w:type="spellStart"/>
      <w:r w:rsidRPr="009F3A41">
        <w:t>Market</w:t>
      </w:r>
      <w:proofErr w:type="spellEnd"/>
      <w:r w:rsidRPr="009F3A41">
        <w:t xml:space="preserve"> Maker) pour les </w:t>
      </w:r>
      <w:proofErr w:type="spellStart"/>
      <w:r w:rsidRPr="009F3A41">
        <w:t>forwards</w:t>
      </w:r>
      <w:proofErr w:type="spellEnd"/>
      <w:r w:rsidRPr="009F3A41">
        <w:t xml:space="preserve"> ou options ; étude de la tarification (modèle Black-</w:t>
      </w:r>
      <w:proofErr w:type="spellStart"/>
      <w:r w:rsidRPr="009F3A41">
        <w:t>Scholes</w:t>
      </w:r>
      <w:proofErr w:type="spellEnd"/>
      <w:r w:rsidRPr="009F3A41">
        <w:t xml:space="preserve"> sur </w:t>
      </w:r>
      <w:proofErr w:type="spellStart"/>
      <w:r w:rsidRPr="009F3A41">
        <w:t>blockchain</w:t>
      </w:r>
      <w:proofErr w:type="spellEnd"/>
      <w:r w:rsidRPr="009F3A41">
        <w:t xml:space="preserve">) ; analyse des risques de liquidité et de contrepartie intelligent (smart </w:t>
      </w:r>
      <w:proofErr w:type="spellStart"/>
      <w:r w:rsidRPr="009F3A41">
        <w:t>contract</w:t>
      </w:r>
      <w:proofErr w:type="spellEnd"/>
      <w:r w:rsidRPr="009F3A41">
        <w:t xml:space="preserve"> </w:t>
      </w:r>
      <w:proofErr w:type="spellStart"/>
      <w:r w:rsidRPr="009F3A41">
        <w:t>risk</w:t>
      </w:r>
      <w:proofErr w:type="spellEnd"/>
      <w:r w:rsidRPr="009F3A41">
        <w:t>).</w:t>
      </w:r>
    </w:p>
    <w:p w:rsidR="009F3A41" w:rsidRPr="009F3A41" w:rsidRDefault="009F3A41" w:rsidP="009F3A41">
      <w:pPr>
        <w:numPr>
          <w:ilvl w:val="0"/>
          <w:numId w:val="2"/>
        </w:numPr>
      </w:pPr>
      <w:r w:rsidRPr="009F3A41">
        <w:rPr>
          <w:b/>
          <w:bCs/>
        </w:rPr>
        <w:t xml:space="preserve">Intégration des Données Alternatives et de la </w:t>
      </w:r>
      <w:proofErr w:type="spellStart"/>
      <w:r w:rsidRPr="009F3A41">
        <w:rPr>
          <w:b/>
          <w:bCs/>
        </w:rPr>
        <w:t>IoT</w:t>
      </w:r>
      <w:proofErr w:type="spellEnd"/>
      <w:r w:rsidRPr="009F3A41">
        <w:rPr>
          <w:b/>
          <w:bCs/>
        </w:rPr>
        <w:t xml:space="preserve"> pour l'Assurance-Crédit à l'Exportation dynamique.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Problématique :</w:t>
      </w:r>
      <w:r w:rsidRPr="009F3A41">
        <w:t> Comment utiliser les données en temps réel (</w:t>
      </w:r>
      <w:proofErr w:type="spellStart"/>
      <w:r w:rsidRPr="009F3A41">
        <w:t>tracking</w:t>
      </w:r>
      <w:proofErr w:type="spellEnd"/>
      <w:r w:rsidRPr="009F3A41">
        <w:t xml:space="preserve"> de cargo, santé économique de l'acheteur via ses données digitales) pour ajuster dynamiquement la prime d'une assurance-crédit à l'exportation et permettre un suivi actif du risque ?</w:t>
      </w:r>
    </w:p>
    <w:p w:rsidR="009F3A41" w:rsidRPr="009F3A41" w:rsidRDefault="009F3A41" w:rsidP="009F3A41">
      <w:pPr>
        <w:numPr>
          <w:ilvl w:val="1"/>
          <w:numId w:val="2"/>
        </w:numPr>
      </w:pPr>
      <w:r w:rsidRPr="009F3A41">
        <w:rPr>
          <w:b/>
          <w:bCs/>
        </w:rPr>
        <w:t>Axes de recherche :</w:t>
      </w:r>
      <w:r w:rsidRPr="009F3A41">
        <w:t> Définition des sources de données alternatives (logistique, données satellitaires, flux de paiements) ; modélisation d'un score de risque dynamique avec apprentissage automatique ; impact sur la tarification et la prévention des défauts.</w:t>
      </w:r>
    </w:p>
    <w:sectPr w:rsidR="009F3A41" w:rsidRPr="009F3A4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53DF2"/>
    <w:multiLevelType w:val="multilevel"/>
    <w:tmpl w:val="7C9832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413F49"/>
    <w:multiLevelType w:val="multilevel"/>
    <w:tmpl w:val="1756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A41"/>
    <w:rsid w:val="0010583A"/>
    <w:rsid w:val="003B6460"/>
    <w:rsid w:val="009B177D"/>
    <w:rsid w:val="009F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2B3F"/>
  <w15:chartTrackingRefBased/>
  <w15:docId w15:val="{789AE6D0-F67E-4B78-B71B-8328F8AE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8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3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1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</cp:revision>
  <dcterms:created xsi:type="dcterms:W3CDTF">2025-09-23T11:28:00Z</dcterms:created>
  <dcterms:modified xsi:type="dcterms:W3CDTF">2025-09-23T11:28:00Z</dcterms:modified>
</cp:coreProperties>
</file>