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Poppins" w:hAnsi="Poppins" w:eastAsia="Poppins"/>
          <w:b/>
          <w:color w:val="000000"/>
          <w:sz w:val="32"/>
        </w:rPr>
        <w:t>Report Name</w:t>
      </w:r>
    </w:p>
    <w:p>
      <w:r>
        <w:rPr>
          <w:rFonts w:ascii="Poppins" w:hAnsi="Poppins" w:eastAsia="Poppins"/>
          <w:b w:val="0"/>
          <w:color w:val="000000"/>
          <w:sz w:val="24"/>
        </w:rPr>
        <w:t>Pregnancy, Ovulation, and Fertility Testing Kits Market</w:t>
      </w:r>
    </w:p>
    <w:p>
      <w:pPr>
        <w:pStyle w:val="Heading1"/>
      </w:pPr>
      <w:r>
        <w:rPr>
          <w:rFonts w:ascii="Poppins" w:hAnsi="Poppins" w:eastAsia="Poppins"/>
          <w:b/>
          <w:color w:val="000000"/>
          <w:sz w:val="32"/>
        </w:rPr>
        <w:t>Upcoming</w:t>
      </w:r>
    </w:p>
    <w:p>
      <w:r>
        <w:rPr>
          <w:rFonts w:ascii="Poppins" w:hAnsi="Poppins" w:eastAsia="Poppins"/>
          <w:b w:val="0"/>
          <w:color w:val="000000"/>
          <w:sz w:val="24"/>
        </w:rPr>
        <w:t>No</w:t>
      </w:r>
    </w:p>
    <w:p>
      <w:pPr>
        <w:pStyle w:val="Heading1"/>
      </w:pPr>
      <w:r>
        <w:rPr>
          <w:rFonts w:ascii="Poppins" w:hAnsi="Poppins" w:eastAsia="Poppins"/>
          <w:b/>
          <w:color w:val="000000"/>
          <w:sz w:val="32"/>
        </w:rPr>
        <w:t>Segments</w:t>
      </w:r>
    </w:p>
    <w:p>
      <w:pPr>
        <w:pStyle w:val="Heading2"/>
        <w:jc w:val="both"/>
      </w:pPr>
      <w:r>
        <w:rPr>
          <w:rFonts w:ascii="Poppins" w:hAnsi="Poppins" w:eastAsia="Poppins"/>
          <w:b w:val="0"/>
          <w:color w:val="000000"/>
          <w:sz w:val="32"/>
        </w:rPr>
        <w:t>Segment</w:t>
      </w:r>
    </w:p>
    <w:p>
      <w:pPr>
        <w:jc w:val="both"/>
      </w:pPr>
      <w:r>
        <w:rPr>
          <w:rFonts w:ascii="Poppins" w:hAnsi="Poppins" w:eastAsia="Poppins"/>
          <w:b w:val="0"/>
          <w:color w:val="000000"/>
          <w:sz w:val="24"/>
        </w:rPr>
        <w:t>Testing Kit Type</w:t>
      </w:r>
    </w:p>
    <w:p>
      <w:pPr>
        <w:pStyle w:val="Heading2"/>
        <w:jc w:val="both"/>
      </w:pPr>
      <w:r>
        <w:rPr>
          <w:rFonts w:ascii="Poppins" w:hAnsi="Poppins" w:eastAsia="Poppins"/>
          <w:b w:val="0"/>
          <w:color w:val="000000"/>
          <w:sz w:val="32"/>
        </w:rPr>
        <w:t>Sub-Segments</w:t>
      </w:r>
    </w:p>
    <w:p>
      <w:pPr>
        <w:jc w:val="both"/>
      </w:pPr>
      <w:r>
        <w:rPr>
          <w:rFonts w:ascii="Poppins" w:hAnsi="Poppins" w:eastAsia="Poppins"/>
          <w:b w:val="0"/>
          <w:color w:val="000000"/>
          <w:sz w:val="24"/>
        </w:rPr>
        <w:t>Pregnancy Tests, Ovulation Tests, Fertility Tests</w:t>
      </w:r>
    </w:p>
    <w:p>
      <w:pPr>
        <w:pStyle w:val="Heading2"/>
        <w:jc w:val="both"/>
      </w:pPr>
      <w:r>
        <w:rPr>
          <w:rFonts w:ascii="Poppins" w:hAnsi="Poppins" w:eastAsia="Poppins"/>
          <w:b w:val="0"/>
          <w:color w:val="000000"/>
          <w:sz w:val="32"/>
        </w:rPr>
        <w:t>Segment</w:t>
      </w:r>
    </w:p>
    <w:p>
      <w:pPr>
        <w:jc w:val="both"/>
      </w:pPr>
      <w:r>
        <w:rPr>
          <w:rFonts w:ascii="Poppins" w:hAnsi="Poppins" w:eastAsia="Poppins"/>
          <w:b w:val="0"/>
          <w:color w:val="000000"/>
          <w:sz w:val="24"/>
        </w:rPr>
        <w:t>Age Group</w:t>
      </w:r>
    </w:p>
    <w:p>
      <w:pPr>
        <w:pStyle w:val="Heading2"/>
        <w:jc w:val="both"/>
      </w:pPr>
      <w:r>
        <w:rPr>
          <w:rFonts w:ascii="Poppins" w:hAnsi="Poppins" w:eastAsia="Poppins"/>
          <w:b w:val="0"/>
          <w:color w:val="000000"/>
          <w:sz w:val="32"/>
        </w:rPr>
        <w:t>Sub-Segments</w:t>
      </w:r>
    </w:p>
    <w:p>
      <w:pPr>
        <w:jc w:val="both"/>
      </w:pPr>
      <w:r>
        <w:rPr>
          <w:rFonts w:ascii="Poppins" w:hAnsi="Poppins" w:eastAsia="Poppins"/>
          <w:b w:val="0"/>
          <w:color w:val="000000"/>
          <w:sz w:val="24"/>
        </w:rPr>
        <w:t>Below 18 Years, 18-24 Years, 25-34 Years, Above 34 Years</w:t>
      </w:r>
    </w:p>
    <w:p>
      <w:pPr>
        <w:pStyle w:val="Heading2"/>
        <w:jc w:val="both"/>
      </w:pPr>
      <w:r>
        <w:rPr>
          <w:rFonts w:ascii="Poppins" w:hAnsi="Poppins" w:eastAsia="Poppins"/>
          <w:b w:val="0"/>
          <w:color w:val="000000"/>
          <w:sz w:val="32"/>
        </w:rPr>
        <w:t>Segment</w:t>
      </w:r>
    </w:p>
    <w:p>
      <w:pPr>
        <w:jc w:val="both"/>
      </w:pPr>
      <w:r>
        <w:rPr>
          <w:rFonts w:ascii="Poppins" w:hAnsi="Poppins" w:eastAsia="Poppins"/>
          <w:b w:val="0"/>
          <w:color w:val="000000"/>
          <w:sz w:val="24"/>
        </w:rPr>
        <w:t>Price Range</w:t>
      </w:r>
    </w:p>
    <w:p>
      <w:pPr>
        <w:pStyle w:val="Heading2"/>
        <w:jc w:val="both"/>
      </w:pPr>
      <w:r>
        <w:rPr>
          <w:rFonts w:ascii="Poppins" w:hAnsi="Poppins" w:eastAsia="Poppins"/>
          <w:b w:val="0"/>
          <w:color w:val="000000"/>
          <w:sz w:val="32"/>
        </w:rPr>
        <w:t>Sub-Segments</w:t>
      </w:r>
    </w:p>
    <w:p>
      <w:pPr>
        <w:jc w:val="both"/>
      </w:pPr>
      <w:r>
        <w:rPr>
          <w:rFonts w:ascii="Poppins" w:hAnsi="Poppins" w:eastAsia="Poppins"/>
          <w:b w:val="0"/>
          <w:color w:val="000000"/>
          <w:sz w:val="24"/>
        </w:rPr>
        <w:t>Economy Range, Mid-Range, Premium Range</w:t>
      </w:r>
    </w:p>
    <w:p>
      <w:pPr>
        <w:pStyle w:val="Heading2"/>
        <w:jc w:val="both"/>
      </w:pPr>
      <w:r>
        <w:rPr>
          <w:rFonts w:ascii="Poppins" w:hAnsi="Poppins" w:eastAsia="Poppins"/>
          <w:b w:val="0"/>
          <w:color w:val="000000"/>
          <w:sz w:val="32"/>
        </w:rPr>
        <w:t>Segment</w:t>
      </w:r>
    </w:p>
    <w:p>
      <w:pPr>
        <w:jc w:val="both"/>
      </w:pPr>
      <w:r>
        <w:rPr>
          <w:rFonts w:ascii="Poppins" w:hAnsi="Poppins" w:eastAsia="Poppins"/>
          <w:b w:val="0"/>
          <w:color w:val="000000"/>
          <w:sz w:val="24"/>
        </w:rPr>
        <w:t>End User</w:t>
      </w:r>
    </w:p>
    <w:p>
      <w:pPr>
        <w:pStyle w:val="Heading2"/>
        <w:jc w:val="both"/>
      </w:pPr>
      <w:r>
        <w:rPr>
          <w:rFonts w:ascii="Poppins" w:hAnsi="Poppins" w:eastAsia="Poppins"/>
          <w:b w:val="0"/>
          <w:color w:val="000000"/>
          <w:sz w:val="32"/>
        </w:rPr>
        <w:t>Sub-Segments</w:t>
      </w:r>
    </w:p>
    <w:p>
      <w:pPr>
        <w:jc w:val="both"/>
      </w:pPr>
      <w:r>
        <w:rPr>
          <w:rFonts w:ascii="Poppins" w:hAnsi="Poppins" w:eastAsia="Poppins"/>
          <w:b w:val="0"/>
          <w:color w:val="000000"/>
          <w:sz w:val="24"/>
        </w:rPr>
        <w:t>Home Users, Clinics &amp; Hospitals, Fertility Specialists</w:t>
      </w:r>
    </w:p>
    <w:p>
      <w:pPr>
        <w:pStyle w:val="Heading2"/>
        <w:jc w:val="both"/>
      </w:pPr>
      <w:r>
        <w:rPr>
          <w:rFonts w:ascii="Poppins" w:hAnsi="Poppins" w:eastAsia="Poppins"/>
          <w:b w:val="0"/>
          <w:color w:val="000000"/>
          <w:sz w:val="32"/>
        </w:rPr>
        <w:t>Segment</w:t>
      </w:r>
    </w:p>
    <w:p>
      <w:pPr>
        <w:jc w:val="both"/>
      </w:pPr>
      <w:r>
        <w:rPr>
          <w:rFonts w:ascii="Poppins" w:hAnsi="Poppins" w:eastAsia="Poppins"/>
          <w:b w:val="0"/>
          <w:color w:val="000000"/>
          <w:sz w:val="24"/>
        </w:rPr>
        <w:t>Distribution Channel</w:t>
      </w:r>
    </w:p>
    <w:p>
      <w:pPr>
        <w:pStyle w:val="Heading2"/>
        <w:jc w:val="both"/>
      </w:pPr>
      <w:r>
        <w:rPr>
          <w:rFonts w:ascii="Poppins" w:hAnsi="Poppins" w:eastAsia="Poppins"/>
          <w:b w:val="0"/>
          <w:color w:val="000000"/>
          <w:sz w:val="32"/>
        </w:rPr>
        <w:t>Sub-Segments</w:t>
      </w:r>
    </w:p>
    <w:p>
      <w:pPr>
        <w:jc w:val="both"/>
      </w:pPr>
      <w:r>
        <w:rPr>
          <w:rFonts w:ascii="Poppins" w:hAnsi="Poppins" w:eastAsia="Poppins"/>
          <w:b w:val="0"/>
          <w:color w:val="000000"/>
          <w:sz w:val="24"/>
        </w:rPr>
        <w:t>Online Sales, Retail Sales</w:t>
      </w:r>
    </w:p>
    <w:p>
      <w:pPr>
        <w:pStyle w:val="Heading1"/>
      </w:pPr>
      <w:r>
        <w:rPr>
          <w:rFonts w:ascii="Poppins" w:hAnsi="Poppins" w:eastAsia="Poppins"/>
          <w:b/>
          <w:color w:val="000000"/>
          <w:sz w:val="32"/>
        </w:rPr>
        <w:t>Image</w:t>
      </w:r>
    </w:p>
    <w:p>
      <w:r>
        <w:rPr>
          <w:rFonts w:ascii="Poppins" w:hAnsi="Poppins" w:eastAsia="Poppins"/>
          <w:b w:val="0"/>
          <w:color w:val="000000"/>
          <w:sz w:val="24"/>
        </w:rPr>
        <w:t>Null</w:t>
      </w:r>
    </w:p>
    <w:p>
      <w:pPr>
        <w:pStyle w:val="Heading1"/>
      </w:pPr>
      <w:r>
        <w:rPr>
          <w:rFonts w:ascii="Poppins" w:hAnsi="Poppins" w:eastAsia="Poppins"/>
          <w:b/>
          <w:color w:val="000000"/>
          <w:sz w:val="32"/>
        </w:rPr>
        <w:t>Sector</w:t>
      </w:r>
    </w:p>
    <w:p>
      <w:r>
        <w:rPr>
          <w:rFonts w:ascii="Poppins" w:hAnsi="Poppins" w:eastAsia="Poppins"/>
          <w:b w:val="0"/>
          <w:color w:val="000000"/>
          <w:sz w:val="24"/>
        </w:rPr>
        <w:t>Health Care</w:t>
      </w:r>
    </w:p>
    <w:p>
      <w:pPr>
        <w:pStyle w:val="Heading1"/>
      </w:pPr>
      <w:r>
        <w:rPr>
          <w:rFonts w:ascii="Poppins" w:hAnsi="Poppins" w:eastAsia="Poppins"/>
          <w:b/>
          <w:color w:val="000000"/>
          <w:sz w:val="32"/>
        </w:rPr>
        <w:t>Industry Group</w:t>
      </w:r>
    </w:p>
    <w:p>
      <w:r>
        <w:rPr>
          <w:rFonts w:ascii="Poppins" w:hAnsi="Poppins" w:eastAsia="Poppins"/>
          <w:b w:val="0"/>
          <w:color w:val="000000"/>
          <w:sz w:val="24"/>
        </w:rPr>
        <w:t>Health Care Equipment &amp; Services</w:t>
      </w:r>
    </w:p>
    <w:p>
      <w:pPr>
        <w:pStyle w:val="Heading1"/>
      </w:pPr>
      <w:r>
        <w:rPr>
          <w:rFonts w:ascii="Poppins" w:hAnsi="Poppins" w:eastAsia="Poppins"/>
          <w:b/>
          <w:color w:val="000000"/>
          <w:sz w:val="32"/>
        </w:rPr>
        <w:t>Industry</w:t>
      </w:r>
    </w:p>
    <w:p>
      <w:r>
        <w:rPr>
          <w:rFonts w:ascii="Poppins" w:hAnsi="Poppins" w:eastAsia="Poppins"/>
          <w:b w:val="0"/>
          <w:color w:val="000000"/>
          <w:sz w:val="24"/>
        </w:rPr>
        <w:t>Health Care Equipment &amp; Supplies</w:t>
      </w:r>
    </w:p>
    <w:p>
      <w:pPr>
        <w:pStyle w:val="Heading1"/>
      </w:pPr>
      <w:r>
        <w:rPr>
          <w:rFonts w:ascii="Poppins" w:hAnsi="Poppins" w:eastAsia="Poppins"/>
          <w:b/>
          <w:color w:val="000000"/>
          <w:sz w:val="32"/>
        </w:rPr>
        <w:t>Sub-Industry</w:t>
      </w:r>
    </w:p>
    <w:p>
      <w:r>
        <w:rPr>
          <w:rFonts w:ascii="Poppins" w:hAnsi="Poppins" w:eastAsia="Poppins"/>
          <w:b w:val="0"/>
          <w:color w:val="000000"/>
          <w:sz w:val="24"/>
        </w:rPr>
        <w:t>Health Care Equipment</w:t>
      </w:r>
    </w:p>
    <w:p>
      <w:pPr>
        <w:pStyle w:val="Heading1"/>
      </w:pPr>
      <w:r>
        <w:rPr>
          <w:rFonts w:ascii="Poppins" w:hAnsi="Poppins" w:eastAsia="Poppins"/>
          <w:b/>
          <w:color w:val="000000"/>
          <w:sz w:val="32"/>
        </w:rPr>
        <w:t>Market</w:t>
      </w:r>
    </w:p>
    <w:p>
      <w:r>
        <w:rPr>
          <w:rFonts w:ascii="Poppins" w:hAnsi="Poppins" w:eastAsia="Poppins"/>
          <w:b w:val="0"/>
          <w:color w:val="000000"/>
          <w:sz w:val="24"/>
        </w:rPr>
        <w:t>Global Pregnancy, Ovulation, and Fertility Testing Kits Market</w:t>
      </w:r>
    </w:p>
    <w:p>
      <w:pPr>
        <w:pStyle w:val="Heading1"/>
      </w:pPr>
      <w:r>
        <w:rPr>
          <w:rFonts w:ascii="Poppins" w:hAnsi="Poppins" w:eastAsia="Poppins"/>
          <w:b/>
          <w:color w:val="000000"/>
          <w:sz w:val="32"/>
        </w:rPr>
        <w:t>Role</w:t>
      </w:r>
    </w:p>
    <w:p>
      <w:r>
        <w:rPr>
          <w:rFonts w:ascii="Poppins" w:hAnsi="Poppins" w:eastAsia="Poppins"/>
          <w:b w:val="0"/>
          <w:color w:val="000000"/>
          <w:sz w:val="24"/>
        </w:rPr>
        <w:t>Global Pregnancy, Ovulation, and Fertility Testing Kits Market</w:t>
      </w:r>
    </w:p>
    <w:p>
      <w:pPr>
        <w:pStyle w:val="Heading1"/>
      </w:pPr>
      <w:r>
        <w:rPr>
          <w:rFonts w:ascii="Poppins" w:hAnsi="Poppins" w:eastAsia="Poppins"/>
          <w:b/>
          <w:color w:val="000000"/>
          <w:sz w:val="32"/>
        </w:rPr>
        <w:t>Country</w:t>
      </w:r>
    </w:p>
    <w:p>
      <w:r>
        <w:rPr>
          <w:rFonts w:ascii="Poppins" w:hAnsi="Poppins" w:eastAsia="Poppins"/>
          <w:b w:val="0"/>
          <w:color w:val="000000"/>
          <w:sz w:val="24"/>
        </w:rPr>
        <w:t>Global</w:t>
      </w:r>
    </w:p>
    <w:p>
      <w:pPr>
        <w:pStyle w:val="Heading1"/>
      </w:pPr>
      <w:r>
        <w:rPr>
          <w:rFonts w:ascii="Poppins" w:hAnsi="Poppins" w:eastAsia="Poppins"/>
          <w:b/>
          <w:color w:val="000000"/>
          <w:sz w:val="32"/>
        </w:rPr>
        <w:t>Report Data</w:t>
      </w:r>
    </w:p>
    <w:p>
      <w:r>
        <w:rPr>
          <w:rFonts w:ascii="Poppins" w:hAnsi="Poppins" w:eastAsia="Poppins"/>
          <w:b w:val="0"/>
          <w:color w:val="000000"/>
          <w:sz w:val="24"/>
        </w:rPr>
        <w:t>Null</w:t>
      </w:r>
    </w:p>
    <w:p>
      <w:pPr>
        <w:pStyle w:val="Heading1"/>
      </w:pPr>
      <w:r>
        <w:rPr>
          <w:rFonts w:ascii="Poppins" w:hAnsi="Poppins" w:eastAsia="Poppins"/>
          <w:b/>
          <w:color w:val="000000"/>
          <w:sz w:val="32"/>
        </w:rPr>
        <w:t>Product ID</w:t>
      </w:r>
    </w:p>
    <w:p>
      <w:r>
        <w:rPr>
          <w:rFonts w:ascii="Poppins" w:hAnsi="Poppins" w:eastAsia="Poppins"/>
          <w:b w:val="0"/>
          <w:color w:val="000000"/>
          <w:sz w:val="24"/>
        </w:rPr>
        <w:t>Null</w:t>
      </w:r>
    </w:p>
    <w:p>
      <w:pPr>
        <w:pStyle w:val="Heading1"/>
      </w:pPr>
      <w:r>
        <w:rPr>
          <w:rFonts w:ascii="Poppins" w:hAnsi="Poppins" w:eastAsia="Poppins"/>
          <w:b/>
          <w:color w:val="000000"/>
          <w:sz w:val="32"/>
        </w:rPr>
        <w:t>Download</w:t>
      </w:r>
    </w:p>
    <w:p>
      <w:r>
        <w:rPr>
          <w:rFonts w:ascii="Poppins" w:hAnsi="Poppins" w:eastAsia="Poppins"/>
          <w:b w:val="0"/>
          <w:color w:val="000000"/>
          <w:sz w:val="24"/>
        </w:rPr>
        <w:t>13</w:t>
      </w:r>
    </w:p>
    <w:p>
      <w:pPr>
        <w:pStyle w:val="Heading1"/>
      </w:pPr>
      <w:r>
        <w:rPr>
          <w:rFonts w:ascii="Poppins" w:hAnsi="Poppins" w:eastAsia="Poppins"/>
          <w:b/>
          <w:color w:val="000000"/>
          <w:sz w:val="32"/>
        </w:rPr>
        <w:t>Image Alt</w:t>
      </w:r>
    </w:p>
    <w:p>
      <w:r>
        <w:rPr>
          <w:rFonts w:ascii="Poppins" w:hAnsi="Poppins" w:eastAsia="Poppins"/>
          <w:b w:val="0"/>
          <w:color w:val="000000"/>
          <w:sz w:val="24"/>
        </w:rPr>
        <w:t>Pregnancy, Ovulation, and Fertility Testing Kits Market</w:t>
      </w:r>
    </w:p>
    <w:p>
      <w:pPr>
        <w:pStyle w:val="Heading1"/>
      </w:pPr>
      <w:r>
        <w:rPr>
          <w:rFonts w:ascii="Poppins" w:hAnsi="Poppins" w:eastAsia="Poppins"/>
          <w:b/>
          <w:color w:val="000000"/>
          <w:sz w:val="32"/>
        </w:rPr>
        <w:t>Report Slug</w:t>
      </w:r>
    </w:p>
    <w:p>
      <w:r>
        <w:rPr>
          <w:rFonts w:ascii="Poppins" w:hAnsi="Poppins" w:eastAsia="Poppins"/>
          <w:b w:val="0"/>
          <w:color w:val="000000"/>
          <w:sz w:val="24"/>
        </w:rPr>
        <w:t>pregnancy,-ovulation,-and-fertility-testing-kits-market</w:t>
      </w:r>
    </w:p>
    <w:p>
      <w:pPr>
        <w:pStyle w:val="Heading1"/>
      </w:pPr>
      <w:r>
        <w:rPr>
          <w:rFonts w:ascii="Poppins" w:hAnsi="Poppins" w:eastAsia="Poppins"/>
          <w:b/>
          <w:color w:val="000000"/>
          <w:sz w:val="32"/>
        </w:rPr>
        <w:t>Meta Title</w:t>
      </w:r>
    </w:p>
    <w:p>
      <w:r>
        <w:rPr>
          <w:rFonts w:ascii="Poppins" w:hAnsi="Poppins" w:eastAsia="Poppins"/>
          <w:b w:val="0"/>
          <w:color w:val="000000"/>
          <w:sz w:val="24"/>
        </w:rPr>
        <w:t>Pregnancy, Ovulation, and Fertility Testing Kits Market Size, Share | Industry Report [2033]</w:t>
      </w:r>
    </w:p>
    <w:p>
      <w:pPr>
        <w:pStyle w:val="Heading1"/>
      </w:pPr>
      <w:r>
        <w:rPr>
          <w:rFonts w:ascii="Poppins" w:hAnsi="Poppins" w:eastAsia="Poppins"/>
          <w:b/>
          <w:color w:val="000000"/>
          <w:sz w:val="32"/>
        </w:rPr>
        <w:t>Meta Description</w:t>
      </w:r>
    </w:p>
    <w:p>
      <w:r>
        <w:rPr>
          <w:rFonts w:ascii="Poppins" w:hAnsi="Poppins" w:eastAsia="Poppins"/>
          <w:b w:val="0"/>
          <w:color w:val="000000"/>
          <w:sz w:val="24"/>
        </w:rPr>
        <w:t>Pregnancy, ovulation, and fertility testing kits market size is poised to grow from USD 5.88 Billion in 2025 to USD 10.03 Billion by 2033, growing at a CAGR of 6.9% from (2026-2033).</w:t>
      </w:r>
    </w:p>
    <w:p>
      <w:pPr>
        <w:pStyle w:val="Heading1"/>
      </w:pPr>
      <w:r>
        <w:rPr>
          <w:rFonts w:ascii="Poppins" w:hAnsi="Poppins" w:eastAsia="Poppins"/>
          <w:b/>
          <w:color w:val="000000"/>
          <w:sz w:val="32"/>
        </w:rPr>
        <w:t>Pages</w:t>
      </w:r>
    </w:p>
    <w:p>
      <w:r>
        <w:rPr>
          <w:rFonts w:ascii="Poppins" w:hAnsi="Poppins" w:eastAsia="Poppins"/>
          <w:b w:val="0"/>
          <w:color w:val="000000"/>
          <w:sz w:val="24"/>
        </w:rPr>
        <w:t>157</w:t>
      </w:r>
    </w:p>
    <w:p>
      <w:pPr>
        <w:pStyle w:val="Heading1"/>
      </w:pPr>
      <w:r>
        <w:rPr>
          <w:rFonts w:ascii="Poppins" w:hAnsi="Poppins" w:eastAsia="Poppins"/>
          <w:b/>
          <w:color w:val="000000"/>
          <w:sz w:val="32"/>
        </w:rPr>
        <w:t>Report Type</w:t>
      </w:r>
    </w:p>
    <w:p>
      <w:r>
        <w:rPr>
          <w:rFonts w:ascii="Poppins" w:hAnsi="Poppins" w:eastAsia="Poppins"/>
          <w:b w:val="0"/>
          <w:color w:val="000000"/>
          <w:sz w:val="24"/>
        </w:rPr>
        <w:t>Single</w:t>
      </w:r>
    </w:p>
    <w:p>
      <w:r>
        <w:rPr>
          <w:rFonts w:ascii="Poppins" w:hAnsi="Poppins" w:eastAsia="Poppins"/>
          <w:b w:val="0"/>
          <w:color w:val="000000"/>
          <w:sz w:val="24"/>
        </w:rPr>
        <w:t>PPT</w:t>
      </w:r>
    </w:p>
    <w:p>
      <w:r>
        <w:rPr>
          <w:rFonts w:ascii="Poppins" w:hAnsi="Poppins" w:eastAsia="Poppins"/>
          <w:b w:val="0"/>
          <w:color w:val="000000"/>
          <w:sz w:val="24"/>
        </w:rPr>
        <w:t>5300</w:t>
      </w:r>
    </w:p>
    <w:p>
      <w:r>
        <w:rPr>
          <w:rFonts w:ascii="Poppins" w:hAnsi="Poppins" w:eastAsia="Poppins"/>
          <w:b w:val="0"/>
          <w:color w:val="000000"/>
          <w:sz w:val="24"/>
        </w:rPr>
        <w:t>Single</w:t>
      </w:r>
    </w:p>
    <w:p>
      <w:r>
        <w:rPr>
          <w:rFonts w:ascii="Poppins" w:hAnsi="Poppins" w:eastAsia="Poppins"/>
          <w:b w:val="0"/>
          <w:color w:val="000000"/>
          <w:sz w:val="24"/>
        </w:rPr>
        <w:t>Word</w:t>
      </w:r>
    </w:p>
    <w:p>
      <w:r>
        <w:rPr>
          <w:rFonts w:ascii="Poppins" w:hAnsi="Poppins" w:eastAsia="Poppins"/>
          <w:b w:val="0"/>
          <w:color w:val="000000"/>
          <w:sz w:val="24"/>
        </w:rPr>
        <w:t>5300</w:t>
      </w:r>
    </w:p>
    <w:p>
      <w:r>
        <w:rPr>
          <w:rFonts w:ascii="Poppins" w:hAnsi="Poppins" w:eastAsia="Poppins"/>
          <w:b w:val="0"/>
          <w:color w:val="000000"/>
          <w:sz w:val="24"/>
        </w:rPr>
        <w:t>Single</w:t>
      </w:r>
    </w:p>
    <w:p>
      <w:r>
        <w:rPr>
          <w:rFonts w:ascii="Poppins" w:hAnsi="Poppins" w:eastAsia="Poppins"/>
          <w:b w:val="0"/>
          <w:color w:val="000000"/>
          <w:sz w:val="24"/>
        </w:rPr>
        <w:t>Excel</w:t>
      </w:r>
    </w:p>
    <w:p>
      <w:r>
        <w:rPr>
          <w:rFonts w:ascii="Poppins" w:hAnsi="Poppins" w:eastAsia="Poppins"/>
          <w:b w:val="0"/>
          <w:color w:val="000000"/>
          <w:sz w:val="24"/>
        </w:rPr>
        <w:t>5300</w:t>
      </w:r>
    </w:p>
    <w:p>
      <w:r>
        <w:rPr>
          <w:rFonts w:ascii="Poppins" w:hAnsi="Poppins" w:eastAsia="Poppins"/>
          <w:b w:val="0"/>
          <w:color w:val="000000"/>
          <w:sz w:val="24"/>
        </w:rPr>
        <w:t>Single</w:t>
      </w:r>
    </w:p>
    <w:p>
      <w:r>
        <w:rPr>
          <w:rFonts w:ascii="Poppins" w:hAnsi="Poppins" w:eastAsia="Poppins"/>
          <w:b w:val="0"/>
          <w:color w:val="000000"/>
          <w:sz w:val="24"/>
        </w:rPr>
        <w:t>PowerBI</w:t>
      </w:r>
    </w:p>
    <w:p>
      <w:r>
        <w:rPr>
          <w:rFonts w:ascii="Poppins" w:hAnsi="Poppins" w:eastAsia="Poppins"/>
          <w:b w:val="0"/>
          <w:color w:val="000000"/>
          <w:sz w:val="24"/>
        </w:rPr>
        <w:t>6200</w:t>
      </w:r>
    </w:p>
    <w:p>
      <w:r>
        <w:rPr>
          <w:rFonts w:ascii="Poppins" w:hAnsi="Poppins" w:eastAsia="Poppins"/>
          <w:b w:val="0"/>
          <w:color w:val="000000"/>
          <w:sz w:val="24"/>
        </w:rPr>
        <w:t>Multiple</w:t>
      </w:r>
    </w:p>
    <w:p>
      <w:r>
        <w:rPr>
          <w:rFonts w:ascii="Poppins" w:hAnsi="Poppins" w:eastAsia="Poppins"/>
          <w:b w:val="0"/>
          <w:color w:val="000000"/>
          <w:sz w:val="24"/>
        </w:rPr>
        <w:t>PPT</w:t>
      </w:r>
    </w:p>
    <w:p>
      <w:r>
        <w:rPr>
          <w:rFonts w:ascii="Poppins" w:hAnsi="Poppins" w:eastAsia="Poppins"/>
          <w:b w:val="0"/>
          <w:color w:val="000000"/>
          <w:sz w:val="24"/>
        </w:rPr>
        <w:t>6200</w:t>
      </w:r>
    </w:p>
    <w:p>
      <w:r>
        <w:rPr>
          <w:rFonts w:ascii="Poppins" w:hAnsi="Poppins" w:eastAsia="Poppins"/>
          <w:b w:val="0"/>
          <w:color w:val="000000"/>
          <w:sz w:val="24"/>
        </w:rPr>
        <w:t>Multiple</w:t>
      </w:r>
    </w:p>
    <w:p>
      <w:r>
        <w:rPr>
          <w:rFonts w:ascii="Poppins" w:hAnsi="Poppins" w:eastAsia="Poppins"/>
          <w:b w:val="0"/>
          <w:color w:val="000000"/>
          <w:sz w:val="24"/>
        </w:rPr>
        <w:t>Word</w:t>
      </w:r>
    </w:p>
    <w:p>
      <w:r>
        <w:rPr>
          <w:rFonts w:ascii="Poppins" w:hAnsi="Poppins" w:eastAsia="Poppins"/>
          <w:b w:val="0"/>
          <w:color w:val="000000"/>
          <w:sz w:val="24"/>
        </w:rPr>
        <w:t>6200</w:t>
      </w:r>
    </w:p>
    <w:p>
      <w:r>
        <w:rPr>
          <w:rFonts w:ascii="Poppins" w:hAnsi="Poppins" w:eastAsia="Poppins"/>
          <w:b w:val="0"/>
          <w:color w:val="000000"/>
          <w:sz w:val="24"/>
        </w:rPr>
        <w:t>Multiple</w:t>
      </w:r>
    </w:p>
    <w:p>
      <w:r>
        <w:rPr>
          <w:rFonts w:ascii="Poppins" w:hAnsi="Poppins" w:eastAsia="Poppins"/>
          <w:b w:val="0"/>
          <w:color w:val="000000"/>
          <w:sz w:val="24"/>
        </w:rPr>
        <w:t>Excel</w:t>
      </w:r>
    </w:p>
    <w:p>
      <w:r>
        <w:rPr>
          <w:rFonts w:ascii="Poppins" w:hAnsi="Poppins" w:eastAsia="Poppins"/>
          <w:b w:val="0"/>
          <w:color w:val="000000"/>
          <w:sz w:val="24"/>
        </w:rPr>
        <w:t>6200</w:t>
      </w:r>
    </w:p>
    <w:p>
      <w:r>
        <w:rPr>
          <w:rFonts w:ascii="Poppins" w:hAnsi="Poppins" w:eastAsia="Poppins"/>
          <w:b w:val="0"/>
          <w:color w:val="000000"/>
          <w:sz w:val="24"/>
        </w:rPr>
        <w:t>Multiple</w:t>
      </w:r>
    </w:p>
    <w:p>
      <w:r>
        <w:rPr>
          <w:rFonts w:ascii="Poppins" w:hAnsi="Poppins" w:eastAsia="Poppins"/>
          <w:b w:val="0"/>
          <w:color w:val="000000"/>
          <w:sz w:val="24"/>
        </w:rPr>
        <w:t>PowerBI</w:t>
      </w:r>
    </w:p>
    <w:p>
      <w:r>
        <w:rPr>
          <w:rFonts w:ascii="Poppins" w:hAnsi="Poppins" w:eastAsia="Poppins"/>
          <w:b w:val="0"/>
          <w:color w:val="000000"/>
          <w:sz w:val="24"/>
        </w:rPr>
        <w:t>7100</w:t>
      </w:r>
    </w:p>
    <w:p>
      <w:r>
        <w:rPr>
          <w:rFonts w:ascii="Poppins" w:hAnsi="Poppins" w:eastAsia="Poppins"/>
          <w:b w:val="0"/>
          <w:color w:val="000000"/>
          <w:sz w:val="24"/>
        </w:rPr>
        <w:t>Enterprise</w:t>
      </w:r>
    </w:p>
    <w:p>
      <w:r>
        <w:rPr>
          <w:rFonts w:ascii="Poppins" w:hAnsi="Poppins" w:eastAsia="Poppins"/>
          <w:b w:val="0"/>
          <w:color w:val="000000"/>
          <w:sz w:val="24"/>
        </w:rPr>
        <w:t>PPT</w:t>
      </w:r>
    </w:p>
    <w:p>
      <w:r>
        <w:rPr>
          <w:rFonts w:ascii="Poppins" w:hAnsi="Poppins" w:eastAsia="Poppins"/>
          <w:b w:val="0"/>
          <w:color w:val="000000"/>
          <w:sz w:val="24"/>
        </w:rPr>
        <w:t>7100</w:t>
      </w:r>
    </w:p>
    <w:p>
      <w:r>
        <w:rPr>
          <w:rFonts w:ascii="Poppins" w:hAnsi="Poppins" w:eastAsia="Poppins"/>
          <w:b w:val="0"/>
          <w:color w:val="000000"/>
          <w:sz w:val="24"/>
        </w:rPr>
        <w:t>Enterprise</w:t>
      </w:r>
    </w:p>
    <w:p>
      <w:r>
        <w:rPr>
          <w:rFonts w:ascii="Poppins" w:hAnsi="Poppins" w:eastAsia="Poppins"/>
          <w:b w:val="0"/>
          <w:color w:val="000000"/>
          <w:sz w:val="24"/>
        </w:rPr>
        <w:t>Word</w:t>
      </w:r>
    </w:p>
    <w:p>
      <w:r>
        <w:rPr>
          <w:rFonts w:ascii="Poppins" w:hAnsi="Poppins" w:eastAsia="Poppins"/>
          <w:b w:val="0"/>
          <w:color w:val="000000"/>
          <w:sz w:val="24"/>
        </w:rPr>
        <w:t>7100</w:t>
      </w:r>
    </w:p>
    <w:p>
      <w:r>
        <w:rPr>
          <w:rFonts w:ascii="Poppins" w:hAnsi="Poppins" w:eastAsia="Poppins"/>
          <w:b w:val="0"/>
          <w:color w:val="000000"/>
          <w:sz w:val="24"/>
        </w:rPr>
        <w:t>Enterprise</w:t>
      </w:r>
    </w:p>
    <w:p>
      <w:r>
        <w:rPr>
          <w:rFonts w:ascii="Poppins" w:hAnsi="Poppins" w:eastAsia="Poppins"/>
          <w:b w:val="0"/>
          <w:color w:val="000000"/>
          <w:sz w:val="24"/>
        </w:rPr>
        <w:t>Excel</w:t>
      </w:r>
    </w:p>
    <w:p>
      <w:r>
        <w:rPr>
          <w:rFonts w:ascii="Poppins" w:hAnsi="Poppins" w:eastAsia="Poppins"/>
          <w:b w:val="0"/>
          <w:color w:val="000000"/>
          <w:sz w:val="24"/>
        </w:rPr>
        <w:t>7100</w:t>
      </w:r>
    </w:p>
    <w:p>
      <w:r>
        <w:rPr>
          <w:rFonts w:ascii="Poppins" w:hAnsi="Poppins" w:eastAsia="Poppins"/>
          <w:b w:val="0"/>
          <w:color w:val="000000"/>
          <w:sz w:val="24"/>
        </w:rPr>
        <w:t>Enterprise</w:t>
      </w:r>
    </w:p>
    <w:p>
      <w:r>
        <w:rPr>
          <w:rFonts w:ascii="Poppins" w:hAnsi="Poppins" w:eastAsia="Poppins"/>
          <w:b w:val="0"/>
          <w:color w:val="000000"/>
          <w:sz w:val="24"/>
        </w:rPr>
        <w:t>PowerBI</w:t>
      </w:r>
    </w:p>
    <w:p>
      <w:r>
        <w:rPr>
          <w:rFonts w:ascii="Poppins" w:hAnsi="Poppins" w:eastAsia="Poppins"/>
          <w:b w:val="0"/>
          <w:color w:val="000000"/>
          <w:sz w:val="24"/>
        </w:rPr>
        <w:t>8000</w:t>
      </w:r>
    </w:p>
    <w:p>
      <w:pPr>
        <w:pStyle w:val="Heading1"/>
      </w:pPr>
      <w:r>
        <w:rPr>
          <w:rFonts w:ascii="Poppins" w:hAnsi="Poppins" w:eastAsia="Poppins"/>
          <w:b/>
          <w:color w:val="000000"/>
          <w:sz w:val="32"/>
        </w:rPr>
        <w:t>Methodologies</w:t>
      </w:r>
    </w:p>
    <w:p>
      <w:pPr>
        <w:jc w:val="both"/>
      </w:pPr>
      <w:r>
        <w:rPr>
          <w:rFonts w:ascii="Poppins" w:hAnsi="Poppins" w:eastAsia="Poppins"/>
          <w:sz w:val="24"/>
        </w:rPr>
        <w:t>For the pregnancy, ovulation, and fertility testing kits market, our research methodology involves a mixture of primary and secondary data sources. Key steps involved in the research process are listed below:</w:t>
      </w:r>
    </w:p>
    <w:p>
      <w:pPr>
        <w:jc w:val="both"/>
      </w:pPr>
      <w:r>
        <w:rPr>
          <w:rFonts w:ascii="Poppins" w:hAnsi="Poppins" w:eastAsia="Poppins"/>
          <w:b/>
          <w:sz w:val="24"/>
        </w:rPr>
        <w:t xml:space="preserve">Information Procurement: </w:t>
      </w:r>
      <w:r>
        <w:rPr>
          <w:rFonts w:ascii="Poppins" w:hAnsi="Poppins" w:eastAsia="Poppins"/>
          <w:sz w:val="24"/>
        </w:rPr>
        <w:t>This stage involved the procurement of market data or related information via primary and secondary sources. The various secondary sources used included various company websites, annual reports, trade databases, and paid databases such as Hoover’s, Bloomberg Business, Factiva, and Avention. Our team did 45 primary interactions Globally which included several stakeholders such as manufacturers, customers, key opinion leaders, etc. Overall, information procurement was one of the most extensive stages in our research process.</w:t>
      </w:r>
    </w:p>
    <w:p>
      <w:pPr>
        <w:jc w:val="both"/>
      </w:pPr>
      <w:r>
        <w:rPr>
          <w:rFonts w:ascii="Poppins" w:hAnsi="Poppins" w:eastAsia="Poppins"/>
          <w:b/>
          <w:sz w:val="24"/>
        </w:rPr>
        <w:t xml:space="preserve">Information Analysis: </w:t>
      </w:r>
      <w:r>
        <w:rPr>
          <w:rFonts w:ascii="Poppins" w:hAnsi="Poppins" w:eastAsia="Poppins"/>
          <w:sz w:val="24"/>
        </w:rPr>
        <w:t>This step involved triangulation of data through bottom-up and top-down approaches to estimate and validate the total size and future estimate of the pregnancy, ovulation, and fertility testing kits market.</w:t>
      </w:r>
    </w:p>
    <w:p>
      <w:pPr>
        <w:jc w:val="both"/>
      </w:pPr>
      <w:r>
        <w:rPr>
          <w:rFonts w:ascii="Poppins" w:hAnsi="Poppins" w:eastAsia="Poppins"/>
          <w:b/>
          <w:sz w:val="24"/>
        </w:rPr>
        <w:t xml:space="preserve">Report Formulation: </w:t>
      </w:r>
      <w:r>
        <w:rPr>
          <w:rFonts w:ascii="Poppins" w:hAnsi="Poppins" w:eastAsia="Poppins"/>
          <w:sz w:val="24"/>
        </w:rPr>
        <w:t>The final step entailed placing data points in appropriate market spaces to draw viable conclusions.</w:t>
      </w:r>
    </w:p>
    <w:p>
      <w:pPr>
        <w:jc w:val="both"/>
      </w:pPr>
      <w:r>
        <w:rPr>
          <w:rFonts w:ascii="Poppins" w:hAnsi="Poppins" w:eastAsia="Poppins"/>
          <w:b/>
          <w:sz w:val="24"/>
        </w:rPr>
        <w:t xml:space="preserve">Validation &amp; Publishing: </w:t>
      </w:r>
      <w:r>
        <w:rPr>
          <w:rFonts w:ascii="Poppins" w:hAnsi="Poppins" w:eastAsia="Poppins"/>
          <w:sz w:val="24"/>
        </w:rPr>
        <w:t>Validation is the most important step in the process. Validation &amp; re-validation via an intricately designed process helped us finalize data points to be used for final calculations. The final market estimates and forecasts were then aligned and sent to our panel of industry experts for validation of data. Once the validation was done the report was sent to our Quality Assurance team to ensure adherence to style guides, consistency &amp; design.</w:t>
      </w:r>
    </w:p>
    <w:p>
      <w:pPr>
        <w:pStyle w:val="Heading1"/>
      </w:pPr>
      <w:r>
        <w:rPr>
          <w:rFonts w:ascii="Poppins" w:hAnsi="Poppins" w:eastAsia="Poppins"/>
          <w:b/>
          <w:color w:val="000000"/>
          <w:sz w:val="32"/>
        </w:rPr>
        <w:t>Analyst Support</w:t>
      </w:r>
    </w:p>
    <w:p>
      <w:pPr>
        <w:jc w:val="both"/>
      </w:pPr>
      <w:r>
        <w:rPr>
          <w:rFonts w:ascii="Poppins" w:hAnsi="Poppins" w:eastAsia="Poppins"/>
          <w:b/>
          <w:sz w:val="24"/>
        </w:rPr>
        <w:t>Customization Options</w:t>
      </w:r>
    </w:p>
    <w:p>
      <w:pPr>
        <w:jc w:val="both"/>
      </w:pPr>
      <w:r>
        <w:rPr>
          <w:rFonts w:ascii="Poppins" w:hAnsi="Poppins" w:eastAsia="Poppins"/>
          <w:sz w:val="24"/>
        </w:rPr>
        <w:t>With the given market data, our dedicated team of analysts can offer you the following customization options are available for the pregnancy, ovulation, and fertility testing kits market:</w:t>
      </w:r>
    </w:p>
    <w:p>
      <w:pPr>
        <w:spacing w:after="40"/>
        <w:jc w:val="both"/>
      </w:pPr>
      <w:r>
        <w:rPr>
          <w:rFonts w:ascii="Poppins" w:hAnsi="Poppins" w:eastAsia="Poppins"/>
          <w:b/>
          <w:sz w:val="24"/>
        </w:rPr>
        <w:t>Product Analysis:</w:t>
      </w:r>
      <w:r>
        <w:rPr>
          <w:rFonts w:ascii="Poppins" w:hAnsi="Poppins" w:eastAsia="Poppins"/>
          <w:sz w:val="24"/>
        </w:rPr>
        <w:t xml:space="preserve"> Product matrix, which offers a detailed comparison of the product portfolio of companies.</w:t>
      </w:r>
    </w:p>
    <w:p>
      <w:pPr>
        <w:spacing w:after="40"/>
        <w:jc w:val="both"/>
      </w:pPr>
      <w:r>
        <w:rPr>
          <w:rFonts w:ascii="Poppins" w:hAnsi="Poppins" w:eastAsia="Poppins"/>
          <w:b/>
          <w:sz w:val="24"/>
        </w:rPr>
        <w:t>Regional Analysis:</w:t>
      </w:r>
      <w:r>
        <w:rPr>
          <w:rFonts w:ascii="Poppins" w:hAnsi="Poppins" w:eastAsia="Poppins"/>
          <w:sz w:val="24"/>
        </w:rPr>
        <w:t xml:space="preserve"> Further analysis of the global pregnancy, ovulation, and fertility testing kits market for additional countries.</w:t>
      </w:r>
    </w:p>
    <w:p>
      <w:pPr>
        <w:spacing w:after="40"/>
        <w:jc w:val="both"/>
      </w:pPr>
      <w:r>
        <w:rPr>
          <w:rFonts w:ascii="Poppins" w:hAnsi="Poppins" w:eastAsia="Poppins"/>
          <w:b/>
          <w:sz w:val="24"/>
        </w:rPr>
        <w:t>Competitive Analysis:</w:t>
      </w:r>
      <w:r>
        <w:rPr>
          <w:rFonts w:ascii="Poppins" w:hAnsi="Poppins" w:eastAsia="Poppins"/>
          <w:sz w:val="24"/>
        </w:rPr>
        <w:t xml:space="preserve"> Detailed analysis and profiling of additional market players &amp; comparative analysis of competitive products.</w:t>
      </w:r>
    </w:p>
    <w:p>
      <w:pPr>
        <w:spacing w:after="40"/>
        <w:jc w:val="both"/>
      </w:pPr>
      <w:r>
        <w:rPr>
          <w:rFonts w:ascii="Poppins" w:hAnsi="Poppins" w:eastAsia="Poppins"/>
          <w:b/>
          <w:sz w:val="24"/>
        </w:rPr>
        <w:t>Go to Market Strategy:</w:t>
      </w:r>
      <w:r>
        <w:rPr>
          <w:rFonts w:ascii="Poppins" w:hAnsi="Poppins" w:eastAsia="Poppins"/>
          <w:sz w:val="24"/>
        </w:rPr>
        <w:t xml:space="preserve"> Find the high growth end-users to invest your marketing efforts and increase your customer base.</w:t>
      </w:r>
    </w:p>
    <w:p>
      <w:pPr>
        <w:spacing w:after="40"/>
        <w:jc w:val="both"/>
      </w:pPr>
      <w:r>
        <w:rPr>
          <w:rFonts w:ascii="Poppins" w:hAnsi="Poppins" w:eastAsia="Poppins"/>
          <w:b/>
          <w:sz w:val="24"/>
        </w:rPr>
        <w:t>Innovation Mapping:</w:t>
      </w:r>
      <w:r>
        <w:rPr>
          <w:rFonts w:ascii="Poppins" w:hAnsi="Poppins" w:eastAsia="Poppins"/>
          <w:sz w:val="24"/>
        </w:rPr>
        <w:t xml:space="preserve"> Identify racial solutions and innovation, connected to deep ecosystems of innovators, start-ups, academics, and strategic partners.</w:t>
      </w:r>
    </w:p>
    <w:p>
      <w:pPr>
        <w:spacing w:after="40"/>
        <w:jc w:val="both"/>
      </w:pPr>
      <w:r>
        <w:rPr>
          <w:rFonts w:ascii="Poppins" w:hAnsi="Poppins" w:eastAsia="Poppins"/>
          <w:b/>
          <w:sz w:val="24"/>
        </w:rPr>
        <w:t>Category Intelligence:</w:t>
      </w:r>
      <w:r>
        <w:rPr>
          <w:rFonts w:ascii="Poppins" w:hAnsi="Poppins" w:eastAsia="Poppins"/>
          <w:sz w:val="24"/>
        </w:rPr>
        <w:t xml:space="preserve"> Customized intelligence that is relevant to their supply markets which will enable them to make smarter sourcing decisions and improve their category management.</w:t>
      </w:r>
    </w:p>
    <w:p>
      <w:pPr>
        <w:spacing w:after="40"/>
        <w:jc w:val="both"/>
      </w:pPr>
      <w:r>
        <w:rPr>
          <w:rFonts w:ascii="Poppins" w:hAnsi="Poppins" w:eastAsia="Poppins"/>
          <w:b/>
          <w:sz w:val="24"/>
        </w:rPr>
        <w:t>Public Company Transcript Analysis:</w:t>
      </w:r>
      <w:r>
        <w:rPr>
          <w:rFonts w:ascii="Poppins" w:hAnsi="Poppins" w:eastAsia="Poppins"/>
          <w:sz w:val="24"/>
        </w:rPr>
        <w:t xml:space="preserve"> To improve investment performance by generating new alpha and making better-informed decisions.</w:t>
      </w:r>
    </w:p>
    <w:p>
      <w:pPr>
        <w:spacing w:after="40"/>
        <w:jc w:val="both"/>
      </w:pPr>
      <w:r>
        <w:rPr>
          <w:rFonts w:ascii="Poppins" w:hAnsi="Poppins" w:eastAsia="Poppins"/>
          <w:b/>
          <w:sz w:val="24"/>
        </w:rPr>
        <w:t>Social Media Listening:</w:t>
      </w:r>
      <w:r>
        <w:rPr>
          <w:rFonts w:ascii="Poppins" w:hAnsi="Poppins" w:eastAsia="Poppins"/>
          <w:sz w:val="24"/>
        </w:rPr>
        <w:t xml:space="preserve"> To Analyse the conversations and trends happening not just around your brand, but around your industry, and using those insights to make better marketing decisions.</w:t>
      </w:r>
    </w:p>
    <w:p>
      <w:pPr>
        <w:pStyle w:val="Heading1"/>
      </w:pPr>
      <w:r>
        <w:rPr>
          <w:rFonts w:ascii="Poppins" w:hAnsi="Poppins" w:eastAsia="Poppins"/>
          <w:b/>
          <w:color w:val="000000"/>
          <w:sz w:val="32"/>
        </w:rPr>
        <w:t>Market Insights</w:t>
      </w:r>
    </w:p>
    <w:p>
      <w:r>
        <w:rPr>
          <w:rFonts w:ascii="Poppins" w:hAnsi="Poppins" w:eastAsia="Poppins"/>
          <w:b w:val="0"/>
          <w:color w:val="000000"/>
          <w:sz w:val="24"/>
        </w:rPr>
        <w:t>Global Pregnancy, Ovulation, And Fertility Testing Kits Market size was valued at USD 5.5 Billion in 2024 and is poised to grow from USD 5.88 Billion in 2025 to USD 10.03 Billion by 2033, growing at a CAGR of 6.9% during the forecast period (2026-2033).</w:t>
      </w:r>
    </w:p>
    <w:p>
      <w:pPr>
        <w:jc w:val="lowKashida"/>
      </w:pPr>
      <w:r>
        <w:rPr>
          <w:rFonts w:ascii="Poppins" w:hAnsi="Poppins"/>
          <w:sz w:val="24"/>
        </w:rPr>
        <w:t>Rising consumer demand for at-home reproductive health solutions is the primary driver of the pregnancy, ovulation, and fertility testing kits market, fueled by increasing health awareness and shifting demographics. This market encompasses over-the-counter and clinical diagnostic tools that detect hormones such as hCG and LH, plus digital apps that interpret results. It matters because early detection and cycle tracking enable better family planning, reduce healthcare burden, and support fertility treatment workflows. Over the past decade the sector evolved from simple dipstick pregnancy tests to connected ovulation monitors and quantitative lab assays, exemplified by brands integrating smartphone platforms for telemedicine services.</w:t>
        <w:br/>
        <w:br/>
        <w:t>Building on increased telemedicine adoption, the principal growth factor is technological integration that converts simple diagnostics into data-rich fertility management systems, which drives revenue and clinical engagement. As sensors, smartphone apps, and AI-based cycle prediction improve accuracy, consumers gain actionable insights that increase adherence to treatment and enable remote monitoring during IVF cycles, causing clinics to partner with kit manufacturers. Regulatory clarity and growing reimbursement pathways then expand the addressable market by enabling clinical grade home testing, while e-commerce penetration and rising middle-class populations in India and China cause volume growth, creating opportunities for subscription services and personalized fertility care.</w:t>
      </w:r>
    </w:p>
    <w:p>
      <w:pPr>
        <w:jc w:val="lowKashida"/>
      </w:pPr>
      <w:r>
        <w:rPr>
          <w:rFonts w:ascii="Poppins" w:hAnsi="Poppins"/>
          <w:sz w:val="24"/>
        </w:rPr>
        <w:t>Recent market developments underscore significant shifts in pregnancy, ovulation, and fertility testing kits market sector dynamics. Clearblue released a rhinestone adorned pregnancy announcement keepsake stick in November 2025 that displays a permanent "Pregnant" message for social media friendly reveals; the product is decorative rather than diagnostic and aims to offer a sanitized aesthetic alternative to used tests, prompting mixed consumer reactions while reinforcing Clearblue's focus on</w:t>
      </w:r>
    </w:p>
    <w:p>
      <w:r>
        <w:rPr>
          <w:rFonts w:ascii="Poppins" w:hAnsi="Poppins"/>
          <w:b/>
          <w:sz w:val="24"/>
        </w:rPr>
        <w:t>How is AI improving accuracy and personalization in the pregnancy, ovulation, and fertility testing kits market?</w:t>
      </w:r>
    </w:p>
    <w:p>
      <w:pPr>
        <w:jc w:val="lowKashida"/>
      </w:pPr>
      <w:r>
        <w:rPr>
          <w:rFonts w:ascii="Poppins" w:hAnsi="Poppins"/>
          <w:sz w:val="24"/>
        </w:rPr>
        <w:t>AI is improving accuracy and personalization across pregnancy ovulation and fertility testing by enabling richer signal interpretation and tailored predictions. Key aspects are computer vision that reads test strips more consistently under varied lighting, machine learning that recognizes individual hormone patterns, and data fusion from wearables and symptom logs to refine timing advice. The market now mixes home kits with digital readers and clinical AI tools which reduces user error and improves the relevance of recommendations. Examples include platforms that convert visual test results into structured hormone insights and research models that inform individualized clinical timing decisions.</w:t>
        <w:br/>
        <w:br/>
        <w:t>Ultrahuman August 2025, announced an acquisition and launched a Cycle and Ovulation Pro feature that uses a temperature sensing algorithm with AI driven flags to improve ovulation detection and personalization. This development helps people with irregular cycles get clearer timing guidance and supports faster adoption of smart fertility tracking.</w:t>
      </w:r>
    </w:p>
    <w:p>
      <w:pPr>
        <w:pStyle w:val="Heading1"/>
      </w:pPr>
      <w:r>
        <w:rPr>
          <w:rFonts w:ascii="Poppins" w:hAnsi="Poppins" w:eastAsia="Poppins"/>
          <w:b/>
          <w:color w:val="000000"/>
          <w:sz w:val="32"/>
        </w:rPr>
        <w:t>Segmental Analysis</w:t>
      </w:r>
    </w:p>
    <w:p>
      <w:pPr>
        <w:jc w:val="both"/>
      </w:pPr>
      <w:r>
        <w:rPr>
          <w:rFonts w:ascii="Poppins" w:hAnsi="Poppins" w:eastAsia="Poppins"/>
          <w:b w:val="0"/>
          <w:color w:val="000000"/>
          <w:sz w:val="24"/>
        </w:rPr>
        <w:t>Global pregnancy, ovulation, and fertility testing kits market is segmented by testing kit type, age group, price range, end user, distribution channel and region. Based on testing kit type, the market is segmented into Pregnancy Tests, Ovulation Tests and Fertility Tests. Based on age group, the market is segmented into Below 18 Years, 18-24 Years, 25-34 Years and Above 34 Years. Based on price range, the market is segmented into Economy Range, Mid-Range and Premium Range. Based on end user, the market is segmented into Home Users, Clinics &amp; Hospitals and Fertility Specialists. Based on distribution channel, the market is segmented into Online Sales and Retail Sales. Based on region, the market is segmented into North America, Europe, Asia Pacific, Latin America and Middle East &amp; Africa.</w:t>
      </w:r>
    </w:p>
    <w:p>
      <w:pPr>
        <w:jc w:val="left"/>
      </w:pPr>
      <w:r>
        <w:rPr>
          <w:rFonts w:ascii="Poppins" w:hAnsi="Poppins" w:eastAsia="Poppins"/>
          <w:b w:val="0"/>
          <w:color w:val="000000"/>
          <w:sz w:val="24"/>
        </w:rPr>
        <w:t>What role do home users play in the pregnancy, ovulation, and fertility testing kits market? |@12</w:t>
      </w:r>
    </w:p>
    <w:p>
      <w:pPr>
        <w:jc w:val="both"/>
      </w:pPr>
      <w:r>
        <w:rPr>
          <w:rFonts w:ascii="Poppins" w:hAnsi="Poppins" w:eastAsia="Poppins"/>
          <w:b w:val="0"/>
          <w:color w:val="000000"/>
          <w:sz w:val="24"/>
        </w:rPr>
        <w:t>Home Users segment dominates because consumer preference for privacy and convenience drives demand for simple, rapid, and discreet at home tests, prompting manufacturers to optimize usability and packaging. Rising health literacy and mobile support have strengthened confidence in self testing, causing sustained investment in product development and marketing that aligns offerings with everyday user needs and cements consumer driven growth across the market.</w:t>
      </w:r>
    </w:p>
    <w:p>
      <w:pPr>
        <w:jc w:val="both"/>
      </w:pPr>
      <w:r>
        <w:rPr>
          <w:rFonts w:ascii="Poppins" w:hAnsi="Poppins" w:eastAsia="Poppins"/>
          <w:b w:val="0"/>
          <w:color w:val="000000"/>
          <w:sz w:val="24"/>
        </w:rPr>
        <w:t>By expanding routine use and repeat purchases, home users increase market volume and validate new product formats, enabling scalable manufacturing and broader availability. Their demand for convenience and integrated digital guidance creates opportunities for subscription services and companion apps, unlocking recurring revenue models and deeper consumer penetration that drive category expansion.</w:t>
      </w:r>
    </w:p>
    <w:p>
      <w:pPr>
        <w:jc w:val="left"/>
      </w:pPr>
      <w:r>
        <w:rPr>
          <w:rFonts w:ascii="Poppins" w:hAnsi="Poppins" w:eastAsia="Poppins"/>
          <w:b w:val="0"/>
          <w:color w:val="000000"/>
          <w:sz w:val="24"/>
        </w:rPr>
        <w:t>How is online sales reshaping accessibility in the pregnancy, ovulation, and fertility testing kits market? |@12</w:t>
      </w:r>
    </w:p>
    <w:p>
      <w:pPr>
        <w:jc w:val="both"/>
      </w:pPr>
      <w:r>
        <w:rPr>
          <w:rFonts w:ascii="Poppins" w:hAnsi="Poppins" w:eastAsia="Poppins"/>
          <w:b w:val="0"/>
          <w:color w:val="000000"/>
          <w:sz w:val="24"/>
        </w:rPr>
        <w:t>Online Sales segment leads because digital channels remove traditional retail constraints, offering wide assortment, discreet purchasing, and targeted education that appeal to diverse consumer needs. E commerce enables direct engagement between brands and users through reviews and tailored recommendations, which drives product discovery and rapid iteration. This channel efficiency lowers barriers for new product introductions and incentivizes manufacturers to invest in consumer centric features and delivery models that prioritize convenience.</w:t>
      </w:r>
    </w:p>
    <w:p>
      <w:pPr>
        <w:jc w:val="both"/>
      </w:pPr>
      <w:r>
        <w:rPr>
          <w:rFonts w:ascii="Poppins" w:hAnsi="Poppins" w:eastAsia="Poppins"/>
          <w:b w:val="0"/>
          <w:color w:val="000000"/>
          <w:sz w:val="24"/>
        </w:rPr>
        <w:t>By expanding reach and enabling targeted digital marketing, online sales scale adoption and accelerate product uptake while reducing distribution costs. Rich consumer data supports personalized offerings and subscription fulfilment, spurring recurring revenue and diverse product lines. This accelerates market development by attracting investment and allowing agile responses to evolving customer preferences.</w:t>
      </w:r>
    </w:p>
    <w:p>
      <w:pPr>
        <w:pStyle w:val="Heading1"/>
      </w:pPr>
      <w:r>
        <w:rPr>
          <w:rFonts w:ascii="Poppins" w:hAnsi="Poppins"/>
          <w:color w:val="000000"/>
          <w:sz w:val="32"/>
        </w:rPr>
        <w:t>Regional Insights</w:t>
      </w:r>
    </w:p>
    <w:p>
      <w:r>
        <w:rPr>
          <w:rFonts w:ascii="Poppins" w:hAnsi="Poppins"/>
          <w:b w:val="0"/>
          <w:i w:val="0"/>
          <w:color w:val="000000"/>
          <w:sz w:val="24"/>
        </w:rPr>
        <w:t>Why does North America Dominate the Global Pregnancy, Ovulation, and Fertility Testing Kits Market? |@12</w:t>
      </w:r>
    </w:p>
    <w:p>
      <w:pPr>
        <w:jc w:val="both"/>
      </w:pPr>
      <w:r>
        <w:rPr>
          <w:rFonts w:ascii="Poppins" w:hAnsi="Poppins"/>
          <w:b w:val="0"/>
          <w:sz w:val="24"/>
        </w:rPr>
        <w:t>North America dominates the global pregnancy, ovulation, and fertility testing kits market due to a confluence of advanced healthcare infrastructure, substantial private sector engagement, and high consumer awareness about reproductive health. A mature diagnostics ecosystem with well established manufacturers and distribution channels enables efficient product development and market introduction. Clinical practice patterns that emphasize early detection and fertility planning, combined with broad access to pharmacies and online retail, support consistent demand. Ongoing investment in research and development and collaborative ties between device makers and clinical laboratories foster innovation in test sensitivity and user experience. Strong brand recognition and consumer willingness to adopt home testing further reinforce North America as a primary regional hub for commercialization and new product launches.</w:t>
      </w:r>
    </w:p>
    <w:p>
      <w:r>
        <w:rPr>
          <w:rFonts w:ascii="Poppins" w:hAnsi="Poppins"/>
          <w:b w:val="0"/>
          <w:i w:val="0"/>
          <w:color w:val="000000"/>
          <w:sz w:val="24"/>
        </w:rPr>
        <w:t>United States Pregnancy, Ovulation, and Fertility Testing Kits Market |@12</w:t>
      </w:r>
    </w:p>
    <w:p>
      <w:pPr>
        <w:jc w:val="both"/>
      </w:pPr>
      <w:r>
        <w:rPr>
          <w:rFonts w:ascii="Poppins" w:hAnsi="Poppins"/>
          <w:b w:val="0"/>
          <w:sz w:val="24"/>
        </w:rPr>
        <w:t>Pregnancy, Ovulation, and Fertility Testing Kits Market in the United States reflects a mature ecosystem characterized by widespread consumer familiarity with home diagnostics, strong retail and e commerce channels, and substantial private sector investment in product innovation. Clinician engagement and reimbursement dynamics influence product adoption in clinical settings, while brand recognition and targeted outreach sustain consumer preference for convenience and accuracy. Manufacturers emphasize convenience, reliability, and clinician collaboration for adoption.</w:t>
      </w:r>
    </w:p>
    <w:p>
      <w:r>
        <w:rPr>
          <w:rFonts w:ascii="Poppins" w:hAnsi="Poppins"/>
          <w:b w:val="0"/>
          <w:i w:val="0"/>
          <w:color w:val="000000"/>
          <w:sz w:val="24"/>
        </w:rPr>
        <w:t>Canada Pregnancy, Ovulation, and Fertility Testing Kits Market |@12</w:t>
      </w:r>
    </w:p>
    <w:p>
      <w:pPr>
        <w:jc w:val="both"/>
      </w:pPr>
      <w:r>
        <w:rPr>
          <w:rFonts w:ascii="Poppins" w:hAnsi="Poppins"/>
          <w:b w:val="0"/>
          <w:sz w:val="24"/>
        </w:rPr>
        <w:t>Pregnancy, Ovulation, and Fertility Testing Kits Market in Canada is shaped by a combination of public health priorities and consumer interest in reproductive planning. Distribution networks that include pharmacies and online platforms support broad product availability, while incremental adoption of at home testing is encouraged by educational initiatives and healthcare provider engagement. Local manufacturers and international brands compete on quality and ease of use, driving enhancements to accuracy and guidance.</w:t>
      </w:r>
    </w:p>
    <w:p>
      <w:r>
        <w:rPr>
          <w:rFonts w:ascii="Poppins" w:hAnsi="Poppins"/>
          <w:b w:val="0"/>
          <w:i w:val="0"/>
          <w:color w:val="000000"/>
          <w:sz w:val="24"/>
        </w:rPr>
        <w:t>What is Driving the Rapid Expansion of Pregnancy, Ovulation, and Fertility Testing Kits Market in Europe? |@12</w:t>
      </w:r>
    </w:p>
    <w:p>
      <w:pPr>
        <w:jc w:val="both"/>
      </w:pPr>
      <w:r>
        <w:rPr>
          <w:rFonts w:ascii="Poppins" w:hAnsi="Poppins"/>
          <w:b w:val="0"/>
          <w:sz w:val="24"/>
        </w:rPr>
        <w:t>Rapid expansion in Europe is driven by increasing consumer engagement with reproductive health, evolving regulatory frameworks that support market entry, and a vibrant network of manufacturers adapting products to local preferences. A growing emphasis on preventive care and fertility planning among healthcare providers complements rising acceptance of at home diagnostics. Strong retail presence across pharmacies and digital channels facilitates accessibility, while collaborative initiatives between clinicians, patient advocacy groups, and technology firms enhance education and trust. Localized product adaptations, multilingual packaging, and clinical validation tailored to regional populations help accelerate adoption. Research partnerships with academic centers and concentrated manufacturing expertise in several markets also underpin product quality and supply resilience, reinforcing confidence among clinicians and consumers.</w:t>
      </w:r>
    </w:p>
    <w:p>
      <w:r>
        <w:rPr>
          <w:rFonts w:ascii="Poppins" w:hAnsi="Poppins"/>
          <w:b w:val="0"/>
          <w:i w:val="0"/>
          <w:color w:val="000000"/>
          <w:sz w:val="24"/>
        </w:rPr>
        <w:t>Germany Pregnancy, Ovulation, and Fertility Testing Kits Market |@12</w:t>
      </w:r>
    </w:p>
    <w:p>
      <w:pPr>
        <w:jc w:val="both"/>
      </w:pPr>
      <w:r>
        <w:rPr>
          <w:rFonts w:ascii="Poppins" w:hAnsi="Poppins"/>
          <w:b w:val="0"/>
          <w:sz w:val="24"/>
        </w:rPr>
        <w:t>Pregnancy, Ovulation, and Fertility Testing Kits Market in Germany benefits from robust laboratory infrastructure and a strong tradition of clinical validation that supports product credibility. Consumers value accuracy and regulatory compliance, prompting manufacturers to emphasize thorough performance evidence and quality assurance. Distribution channels combine traditional pharmacy networks with specialized retailers, while collaborations between diagnostic firms and medical societies promote practitioner endorsement. This environment supports continuous refinement of test reliability overall.</w:t>
      </w:r>
    </w:p>
    <w:p>
      <w:r>
        <w:rPr>
          <w:rFonts w:ascii="Poppins" w:hAnsi="Poppins"/>
          <w:b w:val="0"/>
          <w:i w:val="0"/>
          <w:color w:val="000000"/>
          <w:sz w:val="24"/>
        </w:rPr>
        <w:t>United Kingdom Pregnancy, Ovulation, and Fertility Testing Kits Market |@12</w:t>
      </w:r>
    </w:p>
    <w:p>
      <w:pPr>
        <w:jc w:val="both"/>
      </w:pPr>
      <w:r>
        <w:rPr>
          <w:rFonts w:ascii="Poppins" w:hAnsi="Poppins"/>
          <w:b w:val="0"/>
          <w:sz w:val="24"/>
        </w:rPr>
        <w:t>Pregnancy, Ovulation, and Fertility Testing Kits Market in the United Kingdom is characterized by rapid consumer uptake supported by strong online retail channels, an active digital health community and fertility education. Market participants leverage telehealth integration and omnichannel distribution to reach demographics. Agile regulatory pathways and partnerships between technology providers and clinical specialists encourage innovation in user friendly formats and digital support tools, reinforcing consumer trust and driving market momentum.</w:t>
      </w:r>
    </w:p>
    <w:p>
      <w:r>
        <w:rPr>
          <w:rFonts w:ascii="Poppins" w:hAnsi="Poppins"/>
          <w:b w:val="0"/>
          <w:i w:val="0"/>
          <w:color w:val="000000"/>
          <w:sz w:val="24"/>
        </w:rPr>
        <w:t>France Pregnancy, Ovulation, and Fertility Testing Kits Market |@12</w:t>
      </w:r>
    </w:p>
    <w:p>
      <w:pPr>
        <w:jc w:val="both"/>
      </w:pPr>
      <w:r>
        <w:rPr>
          <w:rFonts w:ascii="Poppins" w:hAnsi="Poppins"/>
          <w:b w:val="0"/>
          <w:sz w:val="24"/>
        </w:rPr>
        <w:t>Pregnancy, Ovulation, and Fertility Testing Kits Market in France is emerging with increasing consumer interest and supportive clinical engagement to promote wider acceptance of home testing. Strong emphasis on clinical validation and clear communication appeals to consumers seeking trustworthy solutions. Local distributors and healthcare networks play a central role in product dissemination, while manufacturers tailor packaging and instructions to local preferences. Ongoing dialogue between industry and medical professionals aids adoption.</w:t>
      </w:r>
    </w:p>
    <w:p>
      <w:r>
        <w:rPr>
          <w:rFonts w:ascii="Poppins" w:hAnsi="Poppins"/>
          <w:b w:val="0"/>
          <w:i w:val="0"/>
          <w:color w:val="000000"/>
          <w:sz w:val="24"/>
        </w:rPr>
        <w:t>How is Asia Pacific Strengthening its Position in Pregnancy, Ovulation, and Fertility Testing Kits Market? |@12</w:t>
      </w:r>
    </w:p>
    <w:p>
      <w:pPr>
        <w:jc w:val="both"/>
      </w:pPr>
      <w:r>
        <w:rPr>
          <w:rFonts w:ascii="Poppins" w:hAnsi="Poppins"/>
          <w:b w:val="0"/>
          <w:sz w:val="24"/>
        </w:rPr>
        <w:t>Asia Pacific is strengthening its position through technological adoption, expanding manufacturing capacity, and rising consumer awareness about reproductive health. Regional manufacturers are investing in localized product design and cost efficient production, enabling a wider range of test formats tailored to diverse consumer preferences. Growth is supported by increased online retail penetration and mobile health platforms that facilitate access to information and product purchase. Collaborations between local firms and international technology providers accelerate knowledge transfer and clinical validation, while targeted educational campaigns and partnerships with healthcare providers build trust among users. Policy dialogues aimed at regulatory harmonization and investments in clinical research capacity are further strengthening market credibility and facilitating cross border product distribution within the region.</w:t>
      </w:r>
    </w:p>
    <w:p>
      <w:r>
        <w:rPr>
          <w:rFonts w:ascii="Poppins" w:hAnsi="Poppins"/>
          <w:b w:val="0"/>
          <w:i w:val="0"/>
          <w:color w:val="000000"/>
          <w:sz w:val="24"/>
        </w:rPr>
        <w:t>Japan Pregnancy, Ovulation, and Fertility Testing Kits Market |@12</w:t>
      </w:r>
    </w:p>
    <w:p>
      <w:pPr>
        <w:jc w:val="both"/>
      </w:pPr>
      <w:r>
        <w:rPr>
          <w:rFonts w:ascii="Poppins" w:hAnsi="Poppins"/>
          <w:b w:val="0"/>
          <w:sz w:val="24"/>
        </w:rPr>
        <w:t>Pregnancy, Ovulation, and Fertility Testing Kits Market in Japan is characterized by high consumer expectations for precision, and a strong culture of product quality and clinical validation. Manufacturers emphasize advanced assay technologies and user centric design, while well established retail networks and e commerce platforms support distribution. Healthcare professionals engage in discussions with patients on testing options, and collaborations between domestic firms and international partners enhance availability of validated solutions.</w:t>
      </w:r>
    </w:p>
    <w:p>
      <w:r>
        <w:rPr>
          <w:rFonts w:ascii="Poppins" w:hAnsi="Poppins"/>
          <w:b w:val="0"/>
          <w:i w:val="0"/>
          <w:color w:val="000000"/>
          <w:sz w:val="24"/>
        </w:rPr>
        <w:t>South Korea Pregnancy, Ovulation, and Fertility Testing Kits Market |@12</w:t>
      </w:r>
    </w:p>
    <w:p>
      <w:pPr>
        <w:jc w:val="both"/>
      </w:pPr>
      <w:r>
        <w:rPr>
          <w:rFonts w:ascii="Poppins" w:hAnsi="Poppins"/>
          <w:b w:val="0"/>
          <w:sz w:val="24"/>
        </w:rPr>
        <w:t>Pregnancy, Ovulation, and Fertility Testing Kits Market in South Korea shows strong consumer interest in technologically advanced and convenient solutions. Local producers focus on integrating digital features and clear user interfaces, while robust manufacturing capabilities support competitive product offerings. Ecommerce platforms and health apps facilitate dissemination and engagement, complemented by clinician endorsements and targeted educational outreach. This combination of innovation, accessibility, and support accelerates market maturity and consumer confidence growth.</w:t>
      </w:r>
    </w:p>
    <w:p>
      <w:pPr>
        <w:pStyle w:val="Heading1"/>
      </w:pPr>
      <w:r>
        <w:rPr>
          <w:rFonts w:ascii="poppins" w:hAnsi="poppins"/>
          <w:color w:val="000000"/>
          <w:sz w:val="32"/>
        </w:rPr>
        <w:t>Market Dynamics</w:t>
      </w:r>
    </w:p>
    <w:p>
      <w:r>
        <w:rPr>
          <w:rFonts w:ascii="poppins" w:hAnsi="poppins"/>
          <w:b w:val="0"/>
          <w:color w:val="000000"/>
          <w:sz w:val="24"/>
        </w:rPr>
        <w:t>Drivers |@12</w:t>
      </w:r>
    </w:p>
    <w:p>
      <w:r>
        <w:rPr>
          <w:rFonts w:ascii="Poppins" w:hAnsi="Poppins"/>
          <w:b/>
          <w:sz w:val="24"/>
        </w:rPr>
        <w:t>Increasing Demand For Home Testing</w:t>
      </w:r>
    </w:p>
    <w:p>
      <w:pPr>
        <w:pStyle w:val="ListParagraph"/>
        <w:numPr>
          <w:ilvl w:val="0"/>
          <w:numId w:val="1"/>
        </w:numPr>
        <w:ind w:left="720"/>
        <w:jc w:val="both"/>
      </w:pPr>
      <w:r>
        <w:rPr>
          <w:rFonts w:ascii="Poppins" w:hAnsi="Poppins"/>
          <w:sz w:val="24"/>
        </w:rPr>
        <w:t>Increasing consumer preference for convenient, private reproductive health solutions has expanded uptake of at home pregnancy, ovulation, and fertility testing kits. By enabling timely self assessment without clinic visits, these products reduce access barriers and support routine monitoring, which encourages repeat usage and greater market penetration. Manufacturers respond by improving user friendly designs and educational support, reinforcing consumer confidence and adoption. This virtuous cycle between convenience, perceived reliability, and manufacturer responsiveness helps sustain demand and drives broader acceptance within diverse demographic groups worldwide.</w:t>
      </w:r>
    </w:p>
    <w:p>
      <w:r>
        <w:rPr>
          <w:rFonts w:ascii="Poppins" w:hAnsi="Poppins"/>
          <w:b/>
          <w:sz w:val="24"/>
        </w:rPr>
        <w:t>Technological Advancements Improving Test Accuracy</w:t>
      </w:r>
    </w:p>
    <w:p>
      <w:pPr>
        <w:pStyle w:val="ListParagraph"/>
        <w:numPr>
          <w:ilvl w:val="0"/>
          <w:numId w:val="1"/>
        </w:numPr>
        <w:ind w:left="720"/>
        <w:jc w:val="both"/>
      </w:pPr>
      <w:r>
        <w:rPr>
          <w:rFonts w:ascii="Poppins" w:hAnsi="Poppins"/>
          <w:sz w:val="24"/>
        </w:rPr>
        <w:t>Continuous technological innovation in assay chemistry, sensor design, and result interpretation has enhanced perceived reliability and usability of pregnancy, ovulation, and fertility testing kits, encouraging broader consumer acceptance and clinician recommendation. Integration with digital platforms and clear, easy to understand interfaces reduces user error and supports consistent home monitoring, which in turn motivates manufacturers to invest further in product refinement. These developments strengthen product differentiation, foster brand trust, and expand application scenarios, enabling market expansion as more users consider at home testing a dependable part of reproductive health management.</w:t>
      </w:r>
    </w:p>
    <w:p>
      <w:r>
        <w:rPr>
          <w:rFonts w:ascii="poppins" w:hAnsi="poppins"/>
          <w:b w:val="0"/>
          <w:color w:val="000000"/>
          <w:sz w:val="24"/>
        </w:rPr>
        <w:t>Restraints |@12</w:t>
      </w:r>
    </w:p>
    <w:p>
      <w:r>
        <w:rPr>
          <w:rFonts w:ascii="Poppins" w:hAnsi="Poppins"/>
          <w:b/>
          <w:sz w:val="24"/>
        </w:rPr>
        <w:t>Regulatory and Reimbursement Hurdles</w:t>
      </w:r>
    </w:p>
    <w:p>
      <w:pPr>
        <w:pStyle w:val="ListParagraph"/>
        <w:numPr>
          <w:ilvl w:val="0"/>
          <w:numId w:val="1"/>
        </w:numPr>
        <w:ind w:left="720"/>
        <w:jc w:val="both"/>
      </w:pPr>
      <w:r>
        <w:rPr>
          <w:rFonts w:ascii="Poppins" w:hAnsi="Poppins"/>
          <w:sz w:val="24"/>
        </w:rPr>
        <w:t>Complex and heterogeneous regulatory frameworks across markets and uncertainty around reimbursement create barriers that slow expansion of pregnancy, ovulation, and fertility testing kits. Manufacturers face prolonged approval pathways and varying quality expectations, which can divert resources toward compliance rather than innovation and constrain distribution strategies. Healthcare providers and consumers may also experience uneven access and trust where regulatory clarity is lacking, reducing uptake. This regulatory friction can dampen investment enthusiasm and slow introduction of new products, restraining the pace at which the market broadens its offerings and reach.</w:t>
      </w:r>
    </w:p>
    <w:p>
      <w:pPr>
        <w:pStyle w:val="Heading1"/>
      </w:pPr>
      <w:r>
        <w:rPr>
          <w:rFonts w:ascii="Poppins" w:hAnsi="Poppins"/>
          <w:color w:val="000000"/>
          <w:sz w:val="32"/>
        </w:rPr>
        <w:t>Competitive Landscape</w:t>
      </w:r>
    </w:p>
    <w:p>
      <w:pPr>
        <w:jc w:val="both"/>
      </w:pPr>
      <w:r>
        <w:rPr>
          <w:rFonts w:ascii="Poppins" w:hAnsi="Poppins" w:eastAsia="Poppins"/>
          <w:b w:val="0"/>
          <w:color w:val="000000"/>
          <w:sz w:val="24"/>
        </w:rPr>
        <w:t>The competitive landscape in the global pregnancy, ovulation, and fertility testing kits market is defined by consolidation and tech differentiation, with M&amp;A and brand rollups reshaping retail channels and DTC access, and product innovation such as lab grade home hormone assays and PdG confirmation tests shifting competition toward diagnostic accuracy and integrated care pathways; notable examples include Ro acquiring Modern Fertility and Everly Health acquiring Natalist, alongside clinical-grade device entrants.</w:t>
      </w:r>
    </w:p>
    <w:p>
      <w:pPr>
        <w:pStyle w:val="ListParagraph"/>
        <w:numPr>
          <w:ilvl w:val="0"/>
          <w:numId w:val="1"/>
        </w:numPr>
        <w:ind w:left="720" w:hanging="360"/>
        <w:jc w:val="both"/>
      </w:pPr>
      <w:r>
        <w:rPr>
          <w:rFonts w:ascii="Poppins" w:hAnsi="Poppins"/>
          <w:sz w:val="24"/>
        </w:rPr>
        <w:t>Winx Health: Established in 2019, their main objective is to deliver discreet direct to consumer pregnancy and ovulation tests while expanding into broader sexual and reproductive health diagnostics and education. Recent development: originally launched as Stix, the company raised seed funding to scale product range, added UTI diagnostic kits and prenatal supplements, and completed a rebrand to Winx Health while reporting profitability and shifting marketing toward owned content and subscriptions.</w:t>
      </w:r>
    </w:p>
    <w:p>
      <w:pPr>
        <w:pStyle w:val="ListParagraph"/>
        <w:numPr>
          <w:ilvl w:val="0"/>
          <w:numId w:val="1"/>
        </w:numPr>
        <w:ind w:left="720" w:hanging="360"/>
        <w:jc w:val="both"/>
      </w:pPr>
      <w:r>
        <w:rPr>
          <w:rFonts w:ascii="Poppins" w:hAnsi="Poppins"/>
          <w:sz w:val="24"/>
        </w:rPr>
        <w:t>Natalist: Established in 2019, their main objective is to provide evidence based, sustainably packaged fertility, pregnancy and postpartum essentials alongside educational resources to simplify the reproductive journey. Recent development: after rapid DTC growth the brand expanded into retail and at home fertility and pregnancy test offerings and was acquired by Everly Health, a move that integrated Natalist products into a larger diagnostics and wellness distribution network.</w:t>
      </w:r>
    </w:p>
    <w:p>
      <w:pPr>
        <w:jc w:val="left"/>
      </w:pPr>
      <w:r>
        <w:rPr>
          <w:rFonts w:ascii="Poppins" w:hAnsi="Poppins"/>
          <w:b/>
          <w:sz w:val="24"/>
        </w:rPr>
        <w:t>Top Player’s Company Profile</w:t>
      </w:r>
    </w:p>
    <w:p>
      <w:pPr>
        <w:pStyle w:val="ListParagraph"/>
        <w:numPr>
          <w:ilvl w:val="0"/>
          <w:numId w:val="1"/>
        </w:numPr>
        <w:ind w:left="720" w:hanging="360"/>
        <w:jc w:val="left"/>
      </w:pPr>
      <w:r>
        <w:rPr>
          <w:rFonts w:ascii="Poppins" w:hAnsi="Poppins"/>
          <w:b w:val="0"/>
          <w:sz w:val="24"/>
        </w:rPr>
        <w:t>Clearblue</w:t>
      </w:r>
    </w:p>
    <w:p>
      <w:pPr>
        <w:pStyle w:val="ListParagraph"/>
        <w:numPr>
          <w:ilvl w:val="0"/>
          <w:numId w:val="1"/>
        </w:numPr>
        <w:ind w:left="720" w:hanging="360"/>
        <w:jc w:val="left"/>
      </w:pPr>
      <w:r>
        <w:rPr>
          <w:rFonts w:ascii="Poppins" w:hAnsi="Poppins"/>
          <w:b w:val="0"/>
          <w:sz w:val="24"/>
        </w:rPr>
        <w:t>First Response</w:t>
      </w:r>
    </w:p>
    <w:p>
      <w:pPr>
        <w:pStyle w:val="ListParagraph"/>
        <w:numPr>
          <w:ilvl w:val="0"/>
          <w:numId w:val="1"/>
        </w:numPr>
        <w:ind w:left="720" w:hanging="360"/>
        <w:jc w:val="left"/>
      </w:pPr>
      <w:r>
        <w:rPr>
          <w:rFonts w:ascii="Poppins" w:hAnsi="Poppins"/>
          <w:b w:val="0"/>
          <w:sz w:val="24"/>
        </w:rPr>
        <w:t>Easy@Home</w:t>
      </w:r>
    </w:p>
    <w:p>
      <w:pPr>
        <w:pStyle w:val="ListParagraph"/>
        <w:numPr>
          <w:ilvl w:val="0"/>
          <w:numId w:val="1"/>
        </w:numPr>
        <w:ind w:left="720" w:hanging="360"/>
        <w:jc w:val="left"/>
      </w:pPr>
      <w:r>
        <w:rPr>
          <w:rFonts w:ascii="Poppins" w:hAnsi="Poppins"/>
          <w:b w:val="0"/>
          <w:sz w:val="24"/>
        </w:rPr>
        <w:t>Wondfo</w:t>
      </w:r>
    </w:p>
    <w:p>
      <w:pPr>
        <w:pStyle w:val="ListParagraph"/>
        <w:numPr>
          <w:ilvl w:val="0"/>
          <w:numId w:val="1"/>
        </w:numPr>
        <w:ind w:left="720" w:hanging="360"/>
        <w:jc w:val="left"/>
      </w:pPr>
      <w:r>
        <w:rPr>
          <w:rFonts w:ascii="Poppins" w:hAnsi="Poppins"/>
          <w:b w:val="0"/>
          <w:sz w:val="24"/>
        </w:rPr>
        <w:t>Pregmate</w:t>
      </w:r>
    </w:p>
    <w:p>
      <w:pPr>
        <w:pStyle w:val="ListParagraph"/>
        <w:numPr>
          <w:ilvl w:val="0"/>
          <w:numId w:val="1"/>
        </w:numPr>
        <w:ind w:left="720" w:hanging="360"/>
        <w:jc w:val="left"/>
      </w:pPr>
      <w:r>
        <w:rPr>
          <w:rFonts w:ascii="Poppins" w:hAnsi="Poppins"/>
          <w:b w:val="0"/>
          <w:sz w:val="24"/>
        </w:rPr>
        <w:t>iProven</w:t>
      </w:r>
    </w:p>
    <w:p>
      <w:pPr>
        <w:pStyle w:val="ListParagraph"/>
        <w:numPr>
          <w:ilvl w:val="0"/>
          <w:numId w:val="1"/>
        </w:numPr>
        <w:ind w:left="720" w:hanging="360"/>
        <w:jc w:val="left"/>
      </w:pPr>
      <w:r>
        <w:rPr>
          <w:rFonts w:ascii="Poppins" w:hAnsi="Poppins"/>
          <w:b w:val="0"/>
          <w:sz w:val="24"/>
        </w:rPr>
        <w:t>Mira</w:t>
      </w:r>
    </w:p>
    <w:p>
      <w:pPr>
        <w:pStyle w:val="ListParagraph"/>
        <w:numPr>
          <w:ilvl w:val="0"/>
          <w:numId w:val="1"/>
        </w:numPr>
        <w:ind w:left="720" w:hanging="360"/>
        <w:jc w:val="left"/>
      </w:pPr>
      <w:r>
        <w:rPr>
          <w:rFonts w:ascii="Poppins" w:hAnsi="Poppins"/>
          <w:b w:val="0"/>
          <w:sz w:val="24"/>
        </w:rPr>
        <w:t>Fertility Focus</w:t>
      </w:r>
    </w:p>
    <w:p>
      <w:pPr>
        <w:pStyle w:val="ListParagraph"/>
        <w:numPr>
          <w:ilvl w:val="0"/>
          <w:numId w:val="1"/>
        </w:numPr>
        <w:ind w:left="720" w:hanging="360"/>
        <w:jc w:val="left"/>
      </w:pPr>
      <w:r>
        <w:rPr>
          <w:rFonts w:ascii="Poppins" w:hAnsi="Poppins"/>
          <w:b w:val="0"/>
          <w:sz w:val="24"/>
        </w:rPr>
        <w:t>Modern Fertility</w:t>
      </w:r>
    </w:p>
    <w:p>
      <w:pPr>
        <w:pStyle w:val="ListParagraph"/>
        <w:numPr>
          <w:ilvl w:val="0"/>
          <w:numId w:val="1"/>
        </w:numPr>
        <w:ind w:left="720" w:hanging="360"/>
        <w:jc w:val="left"/>
      </w:pPr>
      <w:r>
        <w:rPr>
          <w:rFonts w:ascii="Poppins" w:hAnsi="Poppins"/>
          <w:b w:val="0"/>
          <w:sz w:val="24"/>
        </w:rPr>
        <w:t>Ava Women</w:t>
      </w:r>
    </w:p>
    <w:p>
      <w:pPr>
        <w:pStyle w:val="ListParagraph"/>
        <w:numPr>
          <w:ilvl w:val="0"/>
          <w:numId w:val="1"/>
        </w:numPr>
        <w:ind w:left="720" w:hanging="360"/>
        <w:jc w:val="left"/>
      </w:pPr>
      <w:r>
        <w:rPr>
          <w:rFonts w:ascii="Poppins" w:hAnsi="Poppins"/>
          <w:b w:val="0"/>
          <w:sz w:val="24"/>
        </w:rPr>
        <w:t>Ovia Health</w:t>
      </w:r>
    </w:p>
    <w:p>
      <w:pPr>
        <w:pStyle w:val="ListParagraph"/>
        <w:numPr>
          <w:ilvl w:val="0"/>
          <w:numId w:val="1"/>
        </w:numPr>
        <w:ind w:left="720" w:hanging="360"/>
        <w:jc w:val="left"/>
      </w:pPr>
      <w:r>
        <w:rPr>
          <w:rFonts w:ascii="Poppins" w:hAnsi="Poppins"/>
          <w:b w:val="0"/>
          <w:sz w:val="24"/>
        </w:rPr>
        <w:t>Stix</w:t>
      </w:r>
    </w:p>
    <w:p>
      <w:pPr>
        <w:pStyle w:val="ListParagraph"/>
        <w:numPr>
          <w:ilvl w:val="0"/>
          <w:numId w:val="1"/>
        </w:numPr>
        <w:ind w:left="720" w:hanging="360"/>
        <w:jc w:val="left"/>
      </w:pPr>
      <w:r>
        <w:rPr>
          <w:rFonts w:ascii="Poppins" w:hAnsi="Poppins"/>
          <w:b w:val="0"/>
          <w:sz w:val="24"/>
        </w:rPr>
        <w:t>Flo Health</w:t>
      </w:r>
    </w:p>
    <w:p>
      <w:pPr>
        <w:pStyle w:val="ListParagraph"/>
        <w:numPr>
          <w:ilvl w:val="0"/>
          <w:numId w:val="1"/>
        </w:numPr>
        <w:ind w:left="720" w:hanging="360"/>
        <w:jc w:val="left"/>
      </w:pPr>
      <w:r>
        <w:rPr>
          <w:rFonts w:ascii="Poppins" w:hAnsi="Poppins"/>
          <w:b w:val="0"/>
          <w:sz w:val="24"/>
        </w:rPr>
        <w:t>Fairhaven Health</w:t>
      </w:r>
    </w:p>
    <w:p>
      <w:pPr>
        <w:pStyle w:val="ListParagraph"/>
        <w:numPr>
          <w:ilvl w:val="0"/>
          <w:numId w:val="1"/>
        </w:numPr>
        <w:ind w:left="720" w:hanging="360"/>
        <w:jc w:val="left"/>
      </w:pPr>
      <w:r>
        <w:rPr>
          <w:rFonts w:ascii="Poppins" w:hAnsi="Poppins"/>
          <w:b w:val="0"/>
          <w:sz w:val="24"/>
        </w:rPr>
        <w:t>Proov</w:t>
      </w:r>
    </w:p>
    <w:p>
      <w:pPr>
        <w:pStyle w:val="ListParagraph"/>
        <w:numPr>
          <w:ilvl w:val="0"/>
          <w:numId w:val="1"/>
        </w:numPr>
        <w:ind w:left="720" w:hanging="360"/>
        <w:jc w:val="left"/>
      </w:pPr>
      <w:r>
        <w:rPr>
          <w:rFonts w:ascii="Poppins" w:hAnsi="Poppins"/>
          <w:b w:val="0"/>
          <w:sz w:val="24"/>
        </w:rPr>
        <w:t>Everlywell</w:t>
      </w:r>
    </w:p>
    <w:p>
      <w:pPr>
        <w:pStyle w:val="ListParagraph"/>
        <w:numPr>
          <w:ilvl w:val="0"/>
          <w:numId w:val="1"/>
        </w:numPr>
        <w:ind w:left="720" w:hanging="360"/>
        <w:jc w:val="left"/>
      </w:pPr>
      <w:r>
        <w:rPr>
          <w:rFonts w:ascii="Poppins" w:hAnsi="Poppins"/>
          <w:b w:val="0"/>
          <w:sz w:val="24"/>
        </w:rPr>
        <w:t>Premom</w:t>
      </w:r>
    </w:p>
    <w:p>
      <w:pPr>
        <w:pStyle w:val="ListParagraph"/>
        <w:numPr>
          <w:ilvl w:val="0"/>
          <w:numId w:val="1"/>
        </w:numPr>
        <w:ind w:left="720" w:hanging="360"/>
        <w:jc w:val="left"/>
      </w:pPr>
      <w:r>
        <w:rPr>
          <w:rFonts w:ascii="Poppins" w:hAnsi="Poppins"/>
          <w:b w:val="0"/>
          <w:sz w:val="24"/>
        </w:rPr>
        <w:t>Natalist</w:t>
      </w:r>
    </w:p>
    <w:p>
      <w:pPr>
        <w:pStyle w:val="ListParagraph"/>
        <w:numPr>
          <w:ilvl w:val="0"/>
          <w:numId w:val="1"/>
        </w:numPr>
        <w:ind w:left="720" w:hanging="360"/>
        <w:jc w:val="left"/>
      </w:pPr>
      <w:r>
        <w:rPr>
          <w:rFonts w:ascii="Poppins" w:hAnsi="Poppins"/>
          <w:b w:val="0"/>
          <w:sz w:val="24"/>
        </w:rPr>
        <w:t>Inito</w:t>
      </w:r>
    </w:p>
    <w:p>
      <w:pPr>
        <w:pStyle w:val="ListParagraph"/>
        <w:numPr>
          <w:ilvl w:val="0"/>
          <w:numId w:val="1"/>
        </w:numPr>
        <w:ind w:left="720" w:hanging="360"/>
        <w:jc w:val="left"/>
      </w:pPr>
      <w:r>
        <w:rPr>
          <w:rFonts w:ascii="Poppins" w:hAnsi="Poppins"/>
          <w:b w:val="0"/>
          <w:sz w:val="24"/>
        </w:rPr>
        <w:t>Abbott Laboratories</w:t>
      </w:r>
    </w:p>
    <w:p>
      <w:pPr>
        <w:jc w:val="left"/>
      </w:pPr>
      <w:r>
        <w:rPr>
          <w:rFonts w:ascii="Poppins" w:hAnsi="Poppins"/>
          <w:b/>
          <w:sz w:val="32"/>
        </w:rPr>
        <w:t>Recent Developments</w:t>
      </w:r>
    </w:p>
    <w:p>
      <w:pPr>
        <w:pStyle w:val="ListParagraph"/>
        <w:numPr>
          <w:ilvl w:val="0"/>
          <w:numId w:val="1"/>
        </w:numPr>
        <w:ind w:left="720" w:hanging="360"/>
        <w:jc w:val="both"/>
      </w:pPr>
      <w:r>
        <w:rPr>
          <w:rFonts w:ascii="Poppins" w:hAnsi="Poppins"/>
          <w:b w:val="0"/>
          <w:sz w:val="24"/>
        </w:rPr>
        <w:t>Clearblue released a rhinestone adorned pregnancy announcement keepsake stick in November 2025 that displays a permanent "Pregnant" message for social media friendly reveals; the product is decorative rather than diagnostic and aims to offer a sanitized aesthetic alternative to used tests, prompting mixed consumer reactions while reinforcing Clearblue's focus on lifestyle oriented brand extensions.</w:t>
      </w:r>
    </w:p>
    <w:p>
      <w:pPr>
        <w:pStyle w:val="ListParagraph"/>
        <w:numPr>
          <w:ilvl w:val="0"/>
          <w:numId w:val="1"/>
        </w:numPr>
        <w:ind w:left="720" w:hanging="360"/>
        <w:jc w:val="both"/>
      </w:pPr>
      <w:r>
        <w:rPr>
          <w:rFonts w:ascii="Poppins" w:hAnsi="Poppins"/>
          <w:b w:val="0"/>
          <w:sz w:val="24"/>
        </w:rPr>
        <w:t>First Response showcased the Multi Check Pregnancy Test Kit, featuring the EasyCup collection format and rapid result sticks, at an event in May 2025; the offering emphasizes user convenience and choice by combining cup based and stick testing options, reflecting Church &amp; Dwight's push to translate clinical sampling familiarity into consumer friendly at home products.</w:t>
      </w:r>
    </w:p>
    <w:p>
      <w:pPr>
        <w:pStyle w:val="ListParagraph"/>
        <w:numPr>
          <w:ilvl w:val="0"/>
          <w:numId w:val="1"/>
        </w:numPr>
        <w:ind w:left="720" w:hanging="360"/>
        <w:jc w:val="both"/>
      </w:pPr>
      <w:r>
        <w:rPr>
          <w:rFonts w:ascii="Poppins" w:hAnsi="Poppins"/>
          <w:b w:val="0"/>
          <w:sz w:val="24"/>
        </w:rPr>
        <w:t>Wondfo unveiled its HORMONElife and WELLlife platforms at CES in January 2025, presenting an at home hormone testing ecosystem with companion smartphone app functionality; the company framed the launch as an effort to integrate rapid home diagnostics with digital prediction tools, positioning Wondfo to expand consumer access to reproductive and hormone health monitoring.</w:t>
      </w:r>
    </w:p>
    <w:p>
      <w:pPr>
        <w:pStyle w:val="Heading1"/>
      </w:pPr>
      <w:r>
        <w:rPr>
          <w:rFonts w:ascii="Poppins" w:hAnsi="Poppins"/>
          <w:color w:val="000000"/>
          <w:sz w:val="32"/>
        </w:rPr>
        <w:t>Key Market Trends</w:t>
      </w:r>
    </w:p>
    <w:p>
      <w:pPr>
        <w:pStyle w:val="ListBullet"/>
        <w:ind w:left="720" w:hanging="360"/>
        <w:jc w:val="both"/>
      </w:pPr>
      <w:r>
        <w:rPr>
          <w:rFonts w:ascii="Poppins" w:hAnsi="Poppins" w:eastAsia="Poppins"/>
          <w:b/>
          <w:color w:val="000000"/>
          <w:sz w:val="24"/>
        </w:rPr>
        <w:t xml:space="preserve">Digital Home Connectivity: </w:t>
      </w:r>
      <w:r>
        <w:rPr>
          <w:rFonts w:ascii="Poppins" w:hAnsi="Poppins" w:eastAsia="Poppins"/>
          <w:b w:val="0"/>
          <w:color w:val="000000"/>
          <w:sz w:val="24"/>
        </w:rPr>
        <w:t>Consumers increasingly expect seamless connectivity between home testing devices and digital platforms, prompting manufacturers to offer app integration, secure data synchronization, and telehealth. This shift encourages partnerships with health software providers and supports continuous user engagement through personalized reminders and guidance. Focus on intuitive interfaces and interoperability with broader health ecosystems increases perceived value and builds loyalty. Firms that adopt privacy focused design and streamlined digital experiences improve market positioning while enabling recurring service offerings and sustained relationships with users.</w:t>
      </w:r>
    </w:p>
    <w:p>
      <w:pPr>
        <w:pStyle w:val="ListBullet"/>
        <w:ind w:left="720" w:hanging="360"/>
        <w:jc w:val="both"/>
      </w:pPr>
      <w:r>
        <w:rPr>
          <w:rFonts w:ascii="Poppins" w:hAnsi="Poppins" w:eastAsia="Poppins"/>
          <w:b/>
          <w:color w:val="000000"/>
          <w:sz w:val="24"/>
        </w:rPr>
        <w:t xml:space="preserve">Personalized Fertility Guidance: </w:t>
      </w:r>
      <w:r>
        <w:rPr>
          <w:rFonts w:ascii="Poppins" w:hAnsi="Poppins" w:eastAsia="Poppins"/>
          <w:b w:val="0"/>
          <w:color w:val="000000"/>
          <w:sz w:val="24"/>
        </w:rPr>
        <w:t>Market players are shifting toward personalized fertility solutions that integrate test results with lifestyle insights and tailored guidance to create more relevant consumer experiences. Algorithmic interpretation and customizable care pathways support individualized recommendations and follow up, while subscription services and coaching deepen engagement. Partnerships with care providers and wellness platforms enable end to end journeys that meet emotional and practical needs. Focus on user centric education and culturally sensitive content builds trust and broadens accessibility, strengthening long term customer relationships.</w:t>
      </w:r>
    </w:p>
    <w:p>
      <w:pPr>
        <w:pStyle w:val="Heading1"/>
      </w:pPr>
      <w:r>
        <w:rPr>
          <w:rFonts w:ascii="Poppins" w:hAnsi="Poppins"/>
          <w:color w:val="000000"/>
          <w:sz w:val="32"/>
        </w:rPr>
        <w:t>SkyQuest Analysis</w:t>
      </w:r>
    </w:p>
    <w:p>
      <w:pPr>
        <w:jc w:val="both"/>
      </w:pPr>
      <w:r>
        <w:rPr>
          <w:rFonts w:ascii="Poppins" w:hAnsi="Poppins"/>
          <w:sz w:val="24"/>
        </w:rPr>
        <w:t xml:space="preserve">SkyQuest’s ABIRAW (Advanced Business Intelligence, Research &amp; Analysis Wing) is our Business Information Services team that Collects, Collates, Correlates, and Analyses the Data collected by means of Primary Exploratory Research backed by robust Secondary Desk research. </w:t>
        <w:br/>
        <w:br/>
        <w:t>As per SkyQuest analysis, rising consumer demand for at‑home reproductive health solutions is a key driver for the global pregnancy, ovulation, and fertility testing kits market, while regulatory and reimbursement hurdles remain a primary restraint that can slow product introduction and clinical acceptance. North America is the dominating region given its mature diagnostics ecosystem and high consumer awareness, and the Home Users segment is the dominating segment as privacy and convenience drive repeat purchases. A second driver is rapid technological integration—AI, digital readers and connected apps—that improves accuracy, personalization and creates opportunities for subscription services and tighter clinic‑to‑home care pathways.</w:t>
      </w:r>
    </w:p>
    <w:p>
      <w:pPr>
        <w:pStyle w:val="Heading1"/>
      </w:pPr>
      <w:r>
        <w:rPr>
          <w:rFonts w:ascii="Poppins" w:hAnsi="Poppins" w:eastAsia="Poppins"/>
          <w:b/>
          <w:color w:val="000000"/>
          <w:sz w:val="32"/>
        </w:rPr>
        <w:t>What’s Included</w:t>
      </w:r>
    </w:p>
    <w:p>
      <w:pPr>
        <w:jc w:val="both"/>
      </w:pPr>
    </w:p>
    <w:p>
      <w:r>
        <w:rPr>
          <w:rFonts w:ascii="Poppins" w:hAnsi="Poppins"/>
          <w:b w:val="0"/>
          <w:i w:val="0"/>
          <w:sz w:val="24"/>
        </w:rPr>
        <w:t>NA</w:t>
      </w:r>
    </w:p>
    <w:p>
      <w:pPr>
        <w:pStyle w:val="Heading1"/>
      </w:pPr>
      <w:r>
        <w:rPr>
          <w:rFonts w:ascii="Poppins" w:hAnsi="Poppins" w:eastAsia="Poppins"/>
          <w:b/>
          <w:color w:val="000000"/>
          <w:sz w:val="32"/>
        </w:rPr>
        <w:t>H1 Title</w:t>
      </w:r>
    </w:p>
    <w:p>
      <w:pPr>
        <w:jc w:val="both"/>
      </w:pPr>
      <w:r>
        <w:rPr>
          <w:rFonts w:ascii="Poppins" w:hAnsi="Poppins" w:eastAsia="Poppins"/>
          <w:b w:val="0"/>
          <w:color w:val="000000"/>
          <w:sz w:val="24"/>
        </w:rPr>
        <w:t>Pregnancy, Ovulation, and Fertility Testing Kits Market, By Testing Kit Type, By Age Group, By Price Range, By End User, By Distribution Channel, By Region - Industry Forecast 2026-2033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