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C9A51" w14:textId="77777777" w:rsidR="009E3FF9" w:rsidRPr="00C6209E" w:rsidRDefault="009E3FF9" w:rsidP="009E3FF9">
      <w:pPr>
        <w:numPr>
          <w:ilvl w:val="0"/>
          <w:numId w:val="1"/>
        </w:numPr>
      </w:pPr>
      <w:r w:rsidRPr="00C6209E">
        <w:rPr>
          <w:b/>
          <w:bCs/>
        </w:rPr>
        <w:t>Introduction</w:t>
      </w:r>
    </w:p>
    <w:p w14:paraId="3AA61E86" w14:textId="77777777" w:rsidR="00124D1E" w:rsidRPr="00900E3F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900E3F">
        <w:rPr>
          <w:rFonts w:ascii="Calibri" w:hAnsi="Calibri" w:cs="Calibri"/>
          <w:sz w:val="22"/>
        </w:rPr>
        <w:t>Objectives of the Study</w:t>
      </w:r>
    </w:p>
    <w:p w14:paraId="5F1BA83F" w14:textId="77777777" w:rsidR="00124D1E" w:rsidRPr="00900E3F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900E3F">
        <w:rPr>
          <w:rFonts w:ascii="Calibri" w:hAnsi="Calibri" w:cs="Calibri"/>
          <w:sz w:val="22"/>
        </w:rPr>
        <w:t>Market Definition &amp; Scope</w:t>
      </w:r>
    </w:p>
    <w:p w14:paraId="30F23D40" w14:textId="77777777" w:rsidR="009E3FF9" w:rsidRPr="00C6209E" w:rsidRDefault="009E3FF9" w:rsidP="009E3FF9">
      <w:pPr>
        <w:numPr>
          <w:ilvl w:val="0"/>
          <w:numId w:val="1"/>
        </w:numPr>
      </w:pPr>
      <w:r w:rsidRPr="00C6209E">
        <w:rPr>
          <w:b/>
          <w:bCs/>
        </w:rPr>
        <w:t>Research Methodology</w:t>
      </w:r>
    </w:p>
    <w:p w14:paraId="12E25135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Research Process</w:t>
      </w:r>
    </w:p>
    <w:p w14:paraId="0F5220CB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Secondary &amp; Primary Data Methods</w:t>
      </w:r>
    </w:p>
    <w:p w14:paraId="5CC0CA9C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Market Size Estimation Methods</w:t>
      </w:r>
    </w:p>
    <w:p w14:paraId="153DDE1A" w14:textId="77777777" w:rsidR="009E3FF9" w:rsidRPr="00C6209E" w:rsidRDefault="009E3FF9" w:rsidP="009E3FF9">
      <w:pPr>
        <w:numPr>
          <w:ilvl w:val="0"/>
          <w:numId w:val="1"/>
        </w:numPr>
      </w:pPr>
      <w:r w:rsidRPr="00C6209E">
        <w:rPr>
          <w:b/>
          <w:bCs/>
        </w:rPr>
        <w:t>Executive Summary</w:t>
      </w:r>
    </w:p>
    <w:p w14:paraId="682D4ECA" w14:textId="77777777" w:rsidR="00124D1E" w:rsidRPr="00900E3F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900E3F">
        <w:rPr>
          <w:rFonts w:ascii="Calibri" w:hAnsi="Calibri" w:cs="Calibri"/>
          <w:sz w:val="22"/>
        </w:rPr>
        <w:t>Global Market Outlook</w:t>
      </w:r>
    </w:p>
    <w:p w14:paraId="2D3476F2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Key Market Highlights</w:t>
      </w:r>
    </w:p>
    <w:p w14:paraId="50C3FA67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Segmental Overview</w:t>
      </w:r>
    </w:p>
    <w:p w14:paraId="096A2F1E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Competition Overview</w:t>
      </w:r>
    </w:p>
    <w:p w14:paraId="3454C561" w14:textId="12DEF298" w:rsidR="009E3FF9" w:rsidRPr="00124D1E" w:rsidRDefault="009E3FF9" w:rsidP="009E3FF9">
      <w:pPr>
        <w:numPr>
          <w:ilvl w:val="0"/>
          <w:numId w:val="1"/>
        </w:numPr>
      </w:pPr>
      <w:r w:rsidRPr="00C6209E">
        <w:rPr>
          <w:b/>
          <w:bCs/>
        </w:rPr>
        <w:t>Market Dynamics &amp; Outlook</w:t>
      </w:r>
    </w:p>
    <w:p w14:paraId="0E0D5D21" w14:textId="7F985F7A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Macro-Economic Indicators</w:t>
      </w:r>
    </w:p>
    <w:p w14:paraId="0C9C9F76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Drivers &amp; Opportunities</w:t>
      </w:r>
    </w:p>
    <w:p w14:paraId="6F9E233E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Restraints &amp; Challenges</w:t>
      </w:r>
    </w:p>
    <w:p w14:paraId="20BAF644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Supply Side Trends</w:t>
      </w:r>
    </w:p>
    <w:p w14:paraId="3F86422E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Demand Side Trends</w:t>
      </w:r>
    </w:p>
    <w:p w14:paraId="1CA5B063" w14:textId="77777777" w:rsidR="00124D1E" w:rsidRPr="00124D1E" w:rsidRDefault="00124D1E" w:rsidP="00124D1E">
      <w:pPr>
        <w:pStyle w:val="TOC21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Porters Analysis &amp; Impact</w:t>
      </w:r>
    </w:p>
    <w:p w14:paraId="1B6C78FE" w14:textId="77777777" w:rsidR="00124D1E" w:rsidRPr="00124D1E" w:rsidRDefault="00124D1E" w:rsidP="00124D1E">
      <w:pPr>
        <w:pStyle w:val="TOC21"/>
        <w:numPr>
          <w:ilvl w:val="2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Competitive Rivalry</w:t>
      </w:r>
    </w:p>
    <w:p w14:paraId="2B6A7680" w14:textId="77777777" w:rsidR="00124D1E" w:rsidRPr="00124D1E" w:rsidRDefault="00124D1E" w:rsidP="00124D1E">
      <w:pPr>
        <w:pStyle w:val="TOC21"/>
        <w:numPr>
          <w:ilvl w:val="2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 xml:space="preserve">Threat of Substitute </w:t>
      </w:r>
    </w:p>
    <w:p w14:paraId="2E50D841" w14:textId="77777777" w:rsidR="00124D1E" w:rsidRPr="00124D1E" w:rsidRDefault="00124D1E" w:rsidP="00124D1E">
      <w:pPr>
        <w:pStyle w:val="TOC21"/>
        <w:numPr>
          <w:ilvl w:val="2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Bargaining Power of Buyers</w:t>
      </w:r>
    </w:p>
    <w:p w14:paraId="6E850197" w14:textId="77777777" w:rsidR="00124D1E" w:rsidRPr="00124D1E" w:rsidRDefault="00124D1E" w:rsidP="00124D1E">
      <w:pPr>
        <w:pStyle w:val="TOC21"/>
        <w:numPr>
          <w:ilvl w:val="2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Threat of New Entrants</w:t>
      </w:r>
    </w:p>
    <w:p w14:paraId="7F9ADEBC" w14:textId="77777777" w:rsidR="00124D1E" w:rsidRPr="00124D1E" w:rsidRDefault="00124D1E" w:rsidP="00124D1E">
      <w:pPr>
        <w:pStyle w:val="TOC21"/>
        <w:numPr>
          <w:ilvl w:val="2"/>
          <w:numId w:val="1"/>
        </w:numPr>
        <w:spacing w:beforeLines="20" w:before="48" w:afterLines="20" w:after="48" w:line="360" w:lineRule="auto"/>
        <w:rPr>
          <w:rFonts w:ascii="Calibri" w:hAnsi="Calibri" w:cs="Calibri"/>
          <w:sz w:val="22"/>
        </w:rPr>
      </w:pPr>
      <w:r w:rsidRPr="00124D1E">
        <w:rPr>
          <w:rFonts w:ascii="Calibri" w:hAnsi="Calibri" w:cs="Calibri"/>
          <w:sz w:val="22"/>
        </w:rPr>
        <w:t>Bargaining Power of Suppliers</w:t>
      </w:r>
    </w:p>
    <w:p w14:paraId="6297A0EF" w14:textId="77777777" w:rsidR="009E3FF9" w:rsidRPr="00C6209E" w:rsidRDefault="009E3FF9" w:rsidP="009E3FF9">
      <w:pPr>
        <w:numPr>
          <w:ilvl w:val="0"/>
          <w:numId w:val="1"/>
        </w:numPr>
      </w:pPr>
      <w:r w:rsidRPr="00C6209E">
        <w:rPr>
          <w:b/>
          <w:bCs/>
        </w:rPr>
        <w:t>Key Market Insights</w:t>
      </w:r>
    </w:p>
    <w:p w14:paraId="4F99E41D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bookmarkStart w:id="0" w:name="_Hlk190093387"/>
      <w:r w:rsidRPr="002F542B">
        <w:rPr>
          <w:rFonts w:ascii="Calibri" w:hAnsi="Calibri" w:cs="Calibri"/>
          <w:lang w:val="en-US"/>
        </w:rPr>
        <w:t>Key Success Factors</w:t>
      </w:r>
    </w:p>
    <w:p w14:paraId="5DD10B51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Market Impacting Factors</w:t>
      </w:r>
    </w:p>
    <w:p w14:paraId="37AC1A03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Top Investment Pockets</w:t>
      </w:r>
    </w:p>
    <w:p w14:paraId="606EBB08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Ecosystem Mapping</w:t>
      </w:r>
    </w:p>
    <w:p w14:paraId="130A08DC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Market Attractiveness Index, 2024</w:t>
      </w:r>
    </w:p>
    <w:p w14:paraId="0302A96E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PESTEL Analysis</w:t>
      </w:r>
    </w:p>
    <w:p w14:paraId="182A9BB5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Value Chain Analysis</w:t>
      </w:r>
    </w:p>
    <w:p w14:paraId="35A431D1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lastRenderedPageBreak/>
        <w:t>Pricing Analysis</w:t>
      </w:r>
    </w:p>
    <w:p w14:paraId="7717FF35" w14:textId="77777777" w:rsidR="00124D1E" w:rsidRPr="002F542B" w:rsidRDefault="00124D1E" w:rsidP="00124D1E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Case Studies</w:t>
      </w:r>
    </w:p>
    <w:p w14:paraId="6EA67DC0" w14:textId="77777777" w:rsidR="00124D1E" w:rsidRPr="002F542B" w:rsidRDefault="00124D1E" w:rsidP="00365DC2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Regulatory Landscape</w:t>
      </w:r>
    </w:p>
    <w:p w14:paraId="359F7D75" w14:textId="4DF4C6F6" w:rsidR="0076697B" w:rsidRPr="0076697B" w:rsidRDefault="00124D1E" w:rsidP="0076697B">
      <w:pPr>
        <w:pStyle w:val="ListParagraph"/>
        <w:numPr>
          <w:ilvl w:val="1"/>
          <w:numId w:val="1"/>
        </w:numPr>
        <w:spacing w:beforeLines="20" w:before="48" w:afterLines="20" w:after="48" w:line="360" w:lineRule="auto"/>
        <w:rPr>
          <w:rFonts w:ascii="Calibri" w:hAnsi="Calibri" w:cs="Calibri"/>
          <w:lang w:val="en-US"/>
        </w:rPr>
      </w:pPr>
      <w:r w:rsidRPr="002F542B">
        <w:rPr>
          <w:rFonts w:ascii="Calibri" w:hAnsi="Calibri" w:cs="Calibri"/>
          <w:lang w:val="en-US"/>
        </w:rPr>
        <w:t>Technology Asses</w:t>
      </w:r>
      <w:r>
        <w:rPr>
          <w:rFonts w:ascii="Calibri" w:hAnsi="Calibri" w:cs="Calibri"/>
          <w:lang w:val="en-US"/>
        </w:rPr>
        <w:t>s</w:t>
      </w:r>
      <w:r w:rsidRPr="002F542B">
        <w:rPr>
          <w:rFonts w:ascii="Calibri" w:hAnsi="Calibri" w:cs="Calibri"/>
          <w:lang w:val="en-US"/>
        </w:rPr>
        <w:t>ment</w:t>
      </w:r>
      <w:bookmarkEnd w:id="0"/>
    </w:p>
    <w:sectPr w:rsidR="0076697B" w:rsidRPr="007669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7F67B5"/>
    <w:multiLevelType w:val="hybridMultilevel"/>
    <w:tmpl w:val="A98E5C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E07454"/>
    <w:multiLevelType w:val="hybridMultilevel"/>
    <w:tmpl w:val="F75C4C94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B4505C3"/>
    <w:multiLevelType w:val="multilevel"/>
    <w:tmpl w:val="8D30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1C5C3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D495D44"/>
    <w:multiLevelType w:val="hybridMultilevel"/>
    <w:tmpl w:val="67AA7A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DA0BC0"/>
    <w:multiLevelType w:val="hybridMultilevel"/>
    <w:tmpl w:val="E3C247F0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24351F8"/>
    <w:multiLevelType w:val="multilevel"/>
    <w:tmpl w:val="9B36DE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OC21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5"/>
  </w:num>
  <w:num w:numId="6">
    <w:abstractNumId w:val="6"/>
  </w:num>
  <w:num w:numId="7">
    <w:abstractNumId w:val="3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A47"/>
    <w:rsid w:val="0001657A"/>
    <w:rsid w:val="0011276A"/>
    <w:rsid w:val="00124D1E"/>
    <w:rsid w:val="001D77E9"/>
    <w:rsid w:val="002B4E94"/>
    <w:rsid w:val="00304BF6"/>
    <w:rsid w:val="00365DC2"/>
    <w:rsid w:val="004F39AA"/>
    <w:rsid w:val="00552C34"/>
    <w:rsid w:val="0060617D"/>
    <w:rsid w:val="0063494B"/>
    <w:rsid w:val="006D5F91"/>
    <w:rsid w:val="00720D9C"/>
    <w:rsid w:val="0076697B"/>
    <w:rsid w:val="00823D19"/>
    <w:rsid w:val="00990F25"/>
    <w:rsid w:val="009C0A47"/>
    <w:rsid w:val="009E3FF9"/>
    <w:rsid w:val="009F012B"/>
    <w:rsid w:val="00AE5CBB"/>
    <w:rsid w:val="00B064D3"/>
    <w:rsid w:val="00C81020"/>
    <w:rsid w:val="00CC130E"/>
    <w:rsid w:val="00DC06C6"/>
    <w:rsid w:val="00DE34AD"/>
    <w:rsid w:val="00E50A90"/>
    <w:rsid w:val="00F42874"/>
    <w:rsid w:val="00F61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E6556"/>
  <w15:chartTrackingRefBased/>
  <w15:docId w15:val="{0076090A-CDA4-4344-8CC0-B9C17AF7E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F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130E"/>
    <w:pPr>
      <w:ind w:left="720"/>
      <w:contextualSpacing/>
    </w:pPr>
  </w:style>
  <w:style w:type="paragraph" w:customStyle="1" w:styleId="TOC21">
    <w:name w:val="TOC 21"/>
    <w:basedOn w:val="Normal"/>
    <w:autoRedefine/>
    <w:qFormat/>
    <w:rsid w:val="00124D1E"/>
    <w:pPr>
      <w:numPr>
        <w:ilvl w:val="1"/>
        <w:numId w:val="6"/>
      </w:numPr>
      <w:tabs>
        <w:tab w:val="left" w:pos="1560"/>
      </w:tabs>
    </w:pPr>
    <w:rPr>
      <w:sz w:val="36"/>
      <w:lang w:val="en-US"/>
    </w:rPr>
  </w:style>
  <w:style w:type="paragraph" w:customStyle="1" w:styleId="TOC31">
    <w:name w:val="TOC 31"/>
    <w:basedOn w:val="TOC21"/>
    <w:autoRedefine/>
    <w:qFormat/>
    <w:rsid w:val="00124D1E"/>
    <w:pPr>
      <w:numPr>
        <w:ilvl w:val="0"/>
        <w:numId w:val="0"/>
      </w:numPr>
      <w:tabs>
        <w:tab w:val="clear" w:pos="1560"/>
        <w:tab w:val="left" w:pos="2410"/>
      </w:tabs>
      <w:spacing w:beforeLines="20" w:before="48" w:afterLines="20" w:after="48" w:line="360" w:lineRule="auto"/>
      <w:ind w:left="720"/>
    </w:pPr>
    <w:rPr>
      <w:rFonts w:ascii="Calibri" w:hAnsi="Calibri" w:cs="Calibri"/>
      <w:i/>
      <w:i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4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durge</dc:creator>
  <cp:keywords/>
  <dc:description/>
  <cp:lastModifiedBy>Aditya Agrawal</cp:lastModifiedBy>
  <cp:revision>7</cp:revision>
  <dcterms:created xsi:type="dcterms:W3CDTF">2024-12-03T12:21:00Z</dcterms:created>
  <dcterms:modified xsi:type="dcterms:W3CDTF">2025-06-03T11:26:00Z</dcterms:modified>
</cp:coreProperties>
</file>