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01FCD" w14:textId="77777777" w:rsidR="009E3FF9" w:rsidRPr="00C6209E" w:rsidRDefault="009E3FF9" w:rsidP="00B3382B">
      <w:pPr>
        <w:numPr>
          <w:ilvl w:val="0"/>
          <w:numId w:val="12"/>
        </w:numPr>
      </w:pPr>
      <w:r w:rsidRPr="00C6209E">
        <w:rPr>
          <w:b/>
          <w:bCs/>
        </w:rPr>
        <w:t>Introduction</w:t>
      </w:r>
    </w:p>
    <w:p w14:paraId="7C90A13C" w14:textId="77777777" w:rsidR="00124D1E" w:rsidRPr="00900E3F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900E3F">
        <w:rPr>
          <w:rFonts w:ascii="Calibri" w:hAnsi="Calibri" w:cs="Calibri"/>
          <w:sz w:val="22"/>
        </w:rPr>
        <w:t>Objectives of the Study</w:t>
      </w:r>
    </w:p>
    <w:p w14:paraId="5386699D" w14:textId="77777777" w:rsidR="00124D1E" w:rsidRPr="00900E3F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900E3F">
        <w:rPr>
          <w:rFonts w:ascii="Calibri" w:hAnsi="Calibri" w:cs="Calibri"/>
          <w:sz w:val="22"/>
        </w:rPr>
        <w:t>Market Definition &amp; Scope</w:t>
      </w:r>
    </w:p>
    <w:p w14:paraId="668E9EC0" w14:textId="77777777" w:rsidR="009E3FF9" w:rsidRPr="00C6209E" w:rsidRDefault="009E3FF9" w:rsidP="00B3382B">
      <w:pPr>
        <w:numPr>
          <w:ilvl w:val="0"/>
          <w:numId w:val="12"/>
        </w:numPr>
      </w:pPr>
      <w:r w:rsidRPr="00C6209E">
        <w:rPr>
          <w:b/>
          <w:bCs/>
        </w:rPr>
        <w:t>Research Methodology</w:t>
      </w:r>
    </w:p>
    <w:p w14:paraId="086D091D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Research Process</w:t>
      </w:r>
    </w:p>
    <w:p w14:paraId="5A035D73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Secondary &amp; Primary Data Methods</w:t>
      </w:r>
    </w:p>
    <w:p w14:paraId="4E24DC4B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Market Size Estimation Methods</w:t>
      </w:r>
    </w:p>
    <w:p w14:paraId="77240914" w14:textId="77777777" w:rsidR="009E3FF9" w:rsidRPr="00C6209E" w:rsidRDefault="009E3FF9" w:rsidP="00B3382B">
      <w:pPr>
        <w:numPr>
          <w:ilvl w:val="0"/>
          <w:numId w:val="12"/>
        </w:numPr>
      </w:pPr>
      <w:r w:rsidRPr="00C6209E">
        <w:rPr>
          <w:b/>
          <w:bCs/>
        </w:rPr>
        <w:t>Executive Summary</w:t>
      </w:r>
    </w:p>
    <w:p w14:paraId="3C7D2A52" w14:textId="77777777" w:rsidR="00124D1E" w:rsidRPr="00900E3F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900E3F">
        <w:rPr>
          <w:rFonts w:ascii="Calibri" w:hAnsi="Calibri" w:cs="Calibri"/>
          <w:sz w:val="22"/>
        </w:rPr>
        <w:t>Global Market Outlook</w:t>
      </w:r>
    </w:p>
    <w:p w14:paraId="28CD4E8D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Key Market Highlights</w:t>
      </w:r>
    </w:p>
    <w:p w14:paraId="674B4AFE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Segmental Overview</w:t>
      </w:r>
    </w:p>
    <w:p w14:paraId="4E88CEF6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Competition Overview</w:t>
      </w:r>
    </w:p>
    <w:p w14:paraId="7178814A" w14:textId="77777777" w:rsidR="009E3FF9" w:rsidRPr="00124D1E" w:rsidRDefault="009E3FF9" w:rsidP="00B3382B">
      <w:pPr>
        <w:numPr>
          <w:ilvl w:val="0"/>
          <w:numId w:val="12"/>
        </w:numPr>
      </w:pPr>
      <w:r w:rsidRPr="00C6209E">
        <w:rPr>
          <w:b/>
          <w:bCs/>
        </w:rPr>
        <w:t>Market Dynamics &amp; Outlook</w:t>
      </w:r>
    </w:p>
    <w:p w14:paraId="3704F07D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Macro-Economic Indicators</w:t>
      </w:r>
    </w:p>
    <w:p w14:paraId="538AC7F2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Drivers &amp; Opportunities</w:t>
      </w:r>
    </w:p>
    <w:p w14:paraId="0E257545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Restraints &amp; Challenges</w:t>
      </w:r>
    </w:p>
    <w:p w14:paraId="4E109030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Supply Side Trends</w:t>
      </w:r>
    </w:p>
    <w:p w14:paraId="6C785D26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Demand Side Trends</w:t>
      </w:r>
    </w:p>
    <w:p w14:paraId="609A613B" w14:textId="77777777" w:rsidR="00124D1E" w:rsidRPr="00124D1E" w:rsidRDefault="00124D1E" w:rsidP="00B3382B">
      <w:pPr>
        <w:pStyle w:val="TOC21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Porters Analysis &amp; Impact</w:t>
      </w:r>
    </w:p>
    <w:p w14:paraId="1D90F9F7" w14:textId="77777777" w:rsidR="00124D1E" w:rsidRPr="00124D1E" w:rsidRDefault="00124D1E" w:rsidP="00B3382B">
      <w:pPr>
        <w:pStyle w:val="TOC21"/>
        <w:numPr>
          <w:ilvl w:val="2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Competitive Rivalry</w:t>
      </w:r>
    </w:p>
    <w:p w14:paraId="5DD230ED" w14:textId="77777777" w:rsidR="00124D1E" w:rsidRPr="00124D1E" w:rsidRDefault="00124D1E" w:rsidP="00B3382B">
      <w:pPr>
        <w:pStyle w:val="TOC21"/>
        <w:numPr>
          <w:ilvl w:val="2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 xml:space="preserve">Threat of Substitute </w:t>
      </w:r>
    </w:p>
    <w:p w14:paraId="63ABD6C7" w14:textId="77777777" w:rsidR="00124D1E" w:rsidRPr="00124D1E" w:rsidRDefault="00124D1E" w:rsidP="00B3382B">
      <w:pPr>
        <w:pStyle w:val="TOC21"/>
        <w:numPr>
          <w:ilvl w:val="2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Bargaining Power of Buyers</w:t>
      </w:r>
    </w:p>
    <w:p w14:paraId="525B7299" w14:textId="77777777" w:rsidR="00124D1E" w:rsidRPr="00124D1E" w:rsidRDefault="00124D1E" w:rsidP="00B3382B">
      <w:pPr>
        <w:pStyle w:val="TOC21"/>
        <w:numPr>
          <w:ilvl w:val="2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Threat of New Entrants</w:t>
      </w:r>
    </w:p>
    <w:p w14:paraId="19483D6A" w14:textId="77777777" w:rsidR="00124D1E" w:rsidRPr="00124D1E" w:rsidRDefault="00124D1E" w:rsidP="00B3382B">
      <w:pPr>
        <w:pStyle w:val="TOC21"/>
        <w:numPr>
          <w:ilvl w:val="2"/>
          <w:numId w:val="12"/>
        </w:numPr>
        <w:spacing w:beforeLines="20" w:before="48" w:afterLines="20" w:after="48" w:line="360" w:lineRule="auto"/>
        <w:rPr>
          <w:rFonts w:ascii="Calibri" w:hAnsi="Calibri" w:cs="Calibri"/>
          <w:sz w:val="22"/>
        </w:rPr>
      </w:pPr>
      <w:r w:rsidRPr="00124D1E">
        <w:rPr>
          <w:rFonts w:ascii="Calibri" w:hAnsi="Calibri" w:cs="Calibri"/>
          <w:sz w:val="22"/>
        </w:rPr>
        <w:t>Bargaining Power of Suppliers</w:t>
      </w:r>
    </w:p>
    <w:p w14:paraId="0368B938" w14:textId="77777777" w:rsidR="009E3FF9" w:rsidRPr="00C6209E" w:rsidRDefault="009E3FF9" w:rsidP="00B3382B">
      <w:pPr>
        <w:numPr>
          <w:ilvl w:val="0"/>
          <w:numId w:val="12"/>
        </w:numPr>
      </w:pPr>
      <w:r w:rsidRPr="00C6209E">
        <w:rPr>
          <w:b/>
          <w:bCs/>
        </w:rPr>
        <w:t>Key Market Insights</w:t>
      </w:r>
    </w:p>
    <w:p w14:paraId="6396452D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bookmarkStart w:id="0" w:name="_Hlk190093387"/>
      <w:r w:rsidRPr="002F542B">
        <w:rPr>
          <w:rFonts w:ascii="Calibri" w:hAnsi="Calibri" w:cs="Calibri"/>
          <w:lang w:val="en-US"/>
        </w:rPr>
        <w:t>Key Success Factors</w:t>
      </w:r>
    </w:p>
    <w:p w14:paraId="16E8B328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Market Impacting Factors</w:t>
      </w:r>
    </w:p>
    <w:p w14:paraId="782DB6E8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Top Investment Pockets</w:t>
      </w:r>
    </w:p>
    <w:p w14:paraId="0CCED706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Ecosystem Mapping</w:t>
      </w:r>
    </w:p>
    <w:p w14:paraId="761BB4A7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Market Attractiveness Index, 2024</w:t>
      </w:r>
    </w:p>
    <w:p w14:paraId="1FEE62B5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PESTEL Analysis</w:t>
      </w:r>
    </w:p>
    <w:p w14:paraId="174D6CEF" w14:textId="2A4CF462" w:rsidR="00124D1E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Value Chain Analysis</w:t>
      </w:r>
    </w:p>
    <w:p w14:paraId="1058C2A0" w14:textId="77777777" w:rsidR="00124D1E" w:rsidRPr="00B338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B3382B">
        <w:rPr>
          <w:rFonts w:ascii="Calibri" w:hAnsi="Calibri" w:cs="Calibri"/>
          <w:lang w:val="en-US"/>
        </w:rPr>
        <w:lastRenderedPageBreak/>
        <w:t>Pricing Analysis</w:t>
      </w:r>
    </w:p>
    <w:p w14:paraId="382F37A3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Case Studies</w:t>
      </w:r>
    </w:p>
    <w:p w14:paraId="067634F2" w14:textId="77777777" w:rsidR="00124D1E" w:rsidRPr="002F542B" w:rsidRDefault="00124D1E" w:rsidP="00B3382B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2F542B">
        <w:rPr>
          <w:rFonts w:ascii="Calibri" w:hAnsi="Calibri" w:cs="Calibri"/>
          <w:lang w:val="en-US"/>
        </w:rPr>
        <w:t>Regulatory Landscape</w:t>
      </w:r>
    </w:p>
    <w:p w14:paraId="130E0094" w14:textId="38BD39AD" w:rsidR="00B3382B" w:rsidRDefault="00124D1E" w:rsidP="005B1A43">
      <w:pPr>
        <w:pStyle w:val="ListParagraph"/>
        <w:numPr>
          <w:ilvl w:val="1"/>
          <w:numId w:val="12"/>
        </w:numPr>
        <w:spacing w:beforeLines="20" w:before="48" w:afterLines="20" w:after="48" w:line="360" w:lineRule="auto"/>
        <w:rPr>
          <w:rFonts w:ascii="Calibri" w:hAnsi="Calibri" w:cs="Calibri"/>
          <w:lang w:val="en-US"/>
        </w:rPr>
      </w:pPr>
      <w:r w:rsidRPr="00B3382B">
        <w:rPr>
          <w:rFonts w:ascii="Calibri" w:hAnsi="Calibri" w:cs="Calibri"/>
          <w:lang w:val="en-US"/>
        </w:rPr>
        <w:t>Technology Assessment</w:t>
      </w:r>
      <w:bookmarkEnd w:id="0"/>
    </w:p>
    <w:sectPr w:rsidR="00B3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F67B5"/>
    <w:multiLevelType w:val="hybridMultilevel"/>
    <w:tmpl w:val="A98E5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07454"/>
    <w:multiLevelType w:val="hybridMultilevel"/>
    <w:tmpl w:val="F75C4C9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CE6C47"/>
    <w:multiLevelType w:val="multilevel"/>
    <w:tmpl w:val="0770C2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" w:firstLine="5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B4505C3"/>
    <w:multiLevelType w:val="multilevel"/>
    <w:tmpl w:val="8D3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C5C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495D44"/>
    <w:multiLevelType w:val="hybridMultilevel"/>
    <w:tmpl w:val="67AA7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A0BC0"/>
    <w:multiLevelType w:val="hybridMultilevel"/>
    <w:tmpl w:val="E3C247F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351F8"/>
    <w:multiLevelType w:val="multilevel"/>
    <w:tmpl w:val="9B36DE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1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7"/>
    <w:rsid w:val="0001657A"/>
    <w:rsid w:val="0011276A"/>
    <w:rsid w:val="00124D1E"/>
    <w:rsid w:val="001D77E9"/>
    <w:rsid w:val="00293B4B"/>
    <w:rsid w:val="002B4E94"/>
    <w:rsid w:val="00304BF6"/>
    <w:rsid w:val="004F39AA"/>
    <w:rsid w:val="00552C34"/>
    <w:rsid w:val="0060617D"/>
    <w:rsid w:val="0063494B"/>
    <w:rsid w:val="006D5F91"/>
    <w:rsid w:val="00720D9C"/>
    <w:rsid w:val="00823D19"/>
    <w:rsid w:val="00990F25"/>
    <w:rsid w:val="009C0A47"/>
    <w:rsid w:val="009E3FF9"/>
    <w:rsid w:val="009F012B"/>
    <w:rsid w:val="00AE5CBB"/>
    <w:rsid w:val="00B064D3"/>
    <w:rsid w:val="00B3382B"/>
    <w:rsid w:val="00C81020"/>
    <w:rsid w:val="00CC130E"/>
    <w:rsid w:val="00DC06C6"/>
    <w:rsid w:val="00DE34AD"/>
    <w:rsid w:val="00DE7BF4"/>
    <w:rsid w:val="00E50A90"/>
    <w:rsid w:val="00F42874"/>
    <w:rsid w:val="00F6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29B9"/>
  <w15:chartTrackingRefBased/>
  <w15:docId w15:val="{0076090A-CDA4-4344-8CC0-B9C17AF7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30E"/>
    <w:pPr>
      <w:ind w:left="720"/>
      <w:contextualSpacing/>
    </w:pPr>
  </w:style>
  <w:style w:type="paragraph" w:customStyle="1" w:styleId="TOC21">
    <w:name w:val="TOC 21"/>
    <w:basedOn w:val="Normal"/>
    <w:autoRedefine/>
    <w:qFormat/>
    <w:rsid w:val="00124D1E"/>
    <w:pPr>
      <w:numPr>
        <w:ilvl w:val="1"/>
        <w:numId w:val="6"/>
      </w:numPr>
      <w:tabs>
        <w:tab w:val="left" w:pos="1560"/>
      </w:tabs>
    </w:pPr>
    <w:rPr>
      <w:sz w:val="36"/>
      <w:lang w:val="en-US"/>
    </w:rPr>
  </w:style>
  <w:style w:type="paragraph" w:customStyle="1" w:styleId="TOC31">
    <w:name w:val="TOC 31"/>
    <w:basedOn w:val="TOC21"/>
    <w:autoRedefine/>
    <w:qFormat/>
    <w:rsid w:val="00124D1E"/>
    <w:pPr>
      <w:numPr>
        <w:ilvl w:val="0"/>
        <w:numId w:val="0"/>
      </w:numPr>
      <w:tabs>
        <w:tab w:val="clear" w:pos="1560"/>
        <w:tab w:val="left" w:pos="2410"/>
      </w:tabs>
      <w:spacing w:beforeLines="20" w:before="48" w:afterLines="20" w:after="48" w:line="360" w:lineRule="auto"/>
      <w:ind w:left="720"/>
    </w:pPr>
    <w:rPr>
      <w:rFonts w:ascii="Calibri" w:hAnsi="Calibri" w:cs="Calibri"/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durge</dc:creator>
  <cp:keywords/>
  <dc:description/>
  <cp:lastModifiedBy>Aditya Agrawal</cp:lastModifiedBy>
  <cp:revision>2</cp:revision>
  <dcterms:created xsi:type="dcterms:W3CDTF">2025-06-04T06:35:00Z</dcterms:created>
  <dcterms:modified xsi:type="dcterms:W3CDTF">2025-06-04T06:35:00Z</dcterms:modified>
</cp:coreProperties>
</file>