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HRITHIKA SINDULA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Farmington, MI  |  </w:t>
      </w:r>
      <w:r>
        <w:rPr>
          <w:rFonts w:ascii="Calibri" w:cs="Calibri" w:eastAsia="Calibri" w:hAnsi="Calibri"/>
          <w:sz w:val="20"/>
          <w:szCs w:val="20"/>
        </w:rPr>
        <w:t xml:space="preserve">hsindula13@gmail.com</w:t>
      </w:r>
      <w:r>
        <w:rPr>
          <w:rFonts w:ascii="Calibri" w:cs="Calibri" w:eastAsia="Calibri" w:hAnsi="Calibri"/>
          <w:sz w:val="20"/>
          <w:szCs w:val="20"/>
        </w:rPr>
        <w:t xml:space="preserve">  |  +1 (947) 813-8493</w:t>
      </w:r>
    </w:p>
    <w:p>
      <w:pPr>
        <w:pBdr>
          <w:bottom w:val="single" w:color="1F4E79" w:sz="8" w:space="1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Detail-oriented and analytical professional with experience in process optimization and data analytics. Skilled at leveraging data-driven insights to improve business processes, enhance operational efficiency, and support decision-making. Proficient in Python, R, SQL, and data visualization tools, with hands-on experience exploring and cleaning large datasets, performing statistical analysis, and delivering actionable recommendations.</w:t>
      </w:r>
    </w:p>
    <w:p>
      <w:pPr>
        <w:pBdr>
          <w:bottom w:val="single" w:color="1F4E79" w:sz="8" w:space="1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sz w:val="20"/>
          <w:szCs w:val="20"/>
        </w:rPr>
        <w:t xml:space="preserve">Python, R, SQL, JASP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Visualization Libraries: </w:t>
      </w:r>
      <w:r>
        <w:rPr>
          <w:rFonts w:ascii="Calibri" w:cs="Calibri" w:eastAsia="Calibri" w:hAnsi="Calibri"/>
          <w:sz w:val="20"/>
          <w:szCs w:val="20"/>
        </w:rPr>
        <w:t xml:space="preserve">Pandas, Matplotlib, Seaborn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&amp; Tools: </w:t>
      </w:r>
      <w:r>
        <w:rPr>
          <w:rFonts w:ascii="Calibri" w:cs="Calibri" w:eastAsia="Calibri" w:hAnsi="Calibri"/>
          <w:sz w:val="20"/>
          <w:szCs w:val="20"/>
        </w:rPr>
        <w:t xml:space="preserve">Microsoft Excel, Microsoft PowerPoint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Competencies: </w:t>
      </w:r>
      <w:r>
        <w:rPr>
          <w:rFonts w:ascii="Calibri" w:cs="Calibri" w:eastAsia="Calibri" w:hAnsi="Calibri"/>
          <w:sz w:val="20"/>
          <w:szCs w:val="20"/>
        </w:rPr>
        <w:t xml:space="preserve">Statistical Analysis, Data Cleaning, Data Visualization, Process Optimization, Business Analytics</w:t>
      </w:r>
    </w:p>
    <w:p>
      <w:pPr>
        <w:pBdr>
          <w:bottom w:val="single" w:color="1F4E79" w:sz="8" w:space="1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Accenture | Process Associate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Hyderabad, India | 2021 –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Verified merchant contracts to ensure accurate tax rate assignments, maintaining 100% compliance with company process policies and procedures.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Created and onboarded new merchant partner accounts (WOK system) by accurately entering personal and banking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Identified and resolved data discrepancies in merchant records, contributing to improved process accuracy and data integrity.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Collaborated cross-functionally to streamline account setup workflows, reducing turnaround time for new merchant onboarding.</w:t>
      </w:r>
    </w:p>
    <w:p>
      <w:pPr>
        <w:pBdr>
          <w:bottom w:val="single" w:color="1F4E79" w:sz="8" w:space="1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NBA Player Statistics Analysis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Tools: Python, Pandas, Matplotlib, Seaborn,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Loaded and analyzed a dataset of 5,459 rows and 26 columns, identifying missing values and data inconsistencies.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Performed data cleaning: removed duplicates, standardized column names, and engineered new features such as Free Throw Percentage and Total Rebounds.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Conducted descriptive statistics, correlation analysis, and temporal trend analysis to identify patterns in player performance over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Discovered that peak player performance occurs in the late 20s to early 30s and that three-point shooting has become a dominant game strategy.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Designed bar charts, line graphs, and heatmaps to communicate findings; delivered recommendations for player recruitment and game planning.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Analysis of School Performance in California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Tools: R, JASP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Analyzed California school performance data to identify socioeconomic, structural, and demographic factors influencing Academic Performance Index (API) scores.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Found that schools with higher proportions of students receiving free meals tend to have lower API scores, highlighting the impact of socioeconomic factors.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Determined that non-year-round schools generally outperform year-round schools, and that parental education levels and smaller class sizes positively impact outcomes.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Identified that schools staffed with fully credentialed teachers achieve better academic results, supporting evidence-based teacher hiring decisions.</w:t>
      </w:r>
    </w:p>
    <w:p>
      <w:pPr>
        <w:pBdr>
          <w:bottom w:val="single" w:color="1F4E79" w:sz="8" w:space="1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Lawrence Technological University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Southfield, MI, USA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Master of Science – Business Data Analytics</w:t>
      </w:r>
    </w:p>
    <w:p>
      <w:pPr>
        <w:pBdr>
          <w:bottom w:val="single" w:color="1F4E79" w:sz="8" w:space="1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ACHIEVEMENTS &amp; 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Presented at the Pre-Conference on Social Network Analysis – Guru Nanak Institute of Technical Campus, August 2019.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Completed Fundamentals of Linux – Adobe Creative Technology Academy, December 2019.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2026-06-11T15:56:45.616Z</dcterms:created>
  <dcterms:modified xsi:type="dcterms:W3CDTF">2026-06-11T15:56:45.616Z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