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1A5" w:rsidRDefault="008A28D4">
      <w:pPr>
        <w:spacing w:after="20" w:line="259" w:lineRule="auto"/>
        <w:jc w:val="center"/>
      </w:pPr>
      <w:bookmarkStart w:id="0" w:name="_GoBack"/>
      <w:bookmarkEnd w:id="0"/>
      <w:r>
        <w:rPr>
          <w:rFonts w:ascii="Calibri" w:eastAsia="Calibri" w:hAnsi="Calibri"/>
          <w:b/>
          <w:color w:val="1A1A1A"/>
          <w:sz w:val="36"/>
        </w:rPr>
        <w:t>SURESH REDDY DESAM</w:t>
      </w:r>
    </w:p>
    <w:p w:rsidR="008F01A5" w:rsidRDefault="008A28D4">
      <w:pPr>
        <w:spacing w:after="40" w:line="259" w:lineRule="auto"/>
        <w:jc w:val="center"/>
      </w:pPr>
      <w:r>
        <w:rPr>
          <w:rFonts w:ascii="Calibri" w:eastAsia="Calibri" w:hAnsi="Calibri"/>
          <w:color w:val="444444"/>
        </w:rPr>
        <w:t>Senior Data Engineer</w:t>
      </w:r>
    </w:p>
    <w:p w:rsidR="008A28D4" w:rsidRPr="008A28D4" w:rsidRDefault="008A28D4" w:rsidP="008A28D4">
      <w:pPr>
        <w:pBdr>
          <w:bottom w:val="single" w:sz="18" w:space="1" w:color="222222"/>
        </w:pBdr>
        <w:spacing w:after="40" w:line="259" w:lineRule="auto"/>
        <w:jc w:val="center"/>
        <w:rPr>
          <w:rFonts w:ascii="Calibri" w:eastAsia="Calibri" w:hAnsi="Calibri"/>
          <w:color w:val="444444"/>
          <w:sz w:val="20"/>
        </w:rPr>
      </w:pPr>
      <w:r w:rsidRPr="008A28D4">
        <w:rPr>
          <w:rFonts w:ascii="Calibri" w:eastAsia="Calibri" w:hAnsi="Calibri"/>
          <w:b/>
          <w:color w:val="444444"/>
          <w:sz w:val="20"/>
        </w:rPr>
        <w:t>E:</w:t>
      </w:r>
      <w:r>
        <w:rPr>
          <w:rFonts w:ascii="Calibri" w:eastAsia="Calibri" w:hAnsi="Calibri"/>
          <w:color w:val="444444"/>
          <w:sz w:val="20"/>
        </w:rPr>
        <w:t xml:space="preserve"> </w:t>
      </w:r>
      <w:hyperlink r:id="rId6" w:history="1">
        <w:r w:rsidRPr="00D57725">
          <w:rPr>
            <w:rStyle w:val="Hyperlink"/>
            <w:rFonts w:ascii="Calibri" w:eastAsia="Calibri" w:hAnsi="Calibri"/>
            <w:sz w:val="20"/>
          </w:rPr>
          <w:t>sureshreddy.desam@gmail.com</w:t>
        </w:r>
      </w:hyperlink>
      <w:r>
        <w:rPr>
          <w:rFonts w:ascii="Calibri" w:eastAsia="Calibri" w:hAnsi="Calibri"/>
          <w:color w:val="444444"/>
          <w:sz w:val="20"/>
        </w:rPr>
        <w:t xml:space="preserve"> |P: 912-497-5686 | L:</w:t>
      </w:r>
      <w:r w:rsidRPr="008A28D4">
        <w:t xml:space="preserve"> </w:t>
      </w:r>
      <w:hyperlink r:id="rId7" w:history="1">
        <w:r w:rsidRPr="00D57725">
          <w:rPr>
            <w:rStyle w:val="Hyperlink"/>
            <w:rFonts w:ascii="Calibri" w:eastAsia="Calibri" w:hAnsi="Calibri"/>
            <w:sz w:val="20"/>
          </w:rPr>
          <w:t>https://www.linkedin.com/in/suresh-dreddy52687874/</w:t>
        </w:r>
      </w:hyperlink>
    </w:p>
    <w:p w:rsidR="008F01A5" w:rsidRDefault="008A28D4">
      <w:pPr>
        <w:pBdr>
          <w:bottom w:val="single" w:sz="12" w:space="1" w:color="222222"/>
        </w:pBdr>
        <w:spacing w:before="220" w:after="60" w:line="259" w:lineRule="auto"/>
      </w:pPr>
      <w:r>
        <w:rPr>
          <w:rFonts w:ascii="Calibri" w:eastAsia="Calibri" w:hAnsi="Calibri"/>
          <w:b/>
          <w:color w:val="222222"/>
        </w:rPr>
        <w:t>PROFESSIONAL SUMMARY</w:t>
      </w:r>
    </w:p>
    <w:p w:rsidR="008F01A5" w:rsidRDefault="008A28D4">
      <w:pPr>
        <w:spacing w:before="40" w:after="40" w:line="264" w:lineRule="auto"/>
      </w:pPr>
      <w:r>
        <w:rPr>
          <w:rFonts w:ascii="Calibri" w:eastAsia="Calibri" w:hAnsi="Calibri"/>
          <w:color w:val="1A1A1A"/>
          <w:sz w:val="20"/>
        </w:rPr>
        <w:t>Senior Data Engineer with 11+ years of experience designing and implementing enterprise-scale data platforms on Azure and AWS. Experienced in building scalable ETL/ELT pipelines using Azure Data Factory, Databricks, dbt, Snowflake, Synapse, and PySpark. Strong expertise in data modeling, Medallion Architecture, Delta Lake, SQL optimization, and cloud-native data engineering solutions for banking, healthcare, and financial services. Proven experience delivering governed, high-quality datasets that support operational systems, regulatory reporting, business intelligence, and analytics.</w:t>
      </w:r>
    </w:p>
    <w:p w:rsidR="008F01A5" w:rsidRDefault="008A28D4">
      <w:pPr>
        <w:pBdr>
          <w:bottom w:val="single" w:sz="12" w:space="1" w:color="222222"/>
        </w:pBdr>
        <w:spacing w:before="220" w:after="60" w:line="259" w:lineRule="auto"/>
      </w:pPr>
      <w:r>
        <w:rPr>
          <w:rFonts w:ascii="Calibri" w:eastAsia="Calibri" w:hAnsi="Calibri"/>
          <w:b/>
          <w:color w:val="222222"/>
        </w:rPr>
        <w:t>TECHNICAL SKILLS</w:t>
      </w:r>
    </w:p>
    <w:p w:rsidR="008F01A5" w:rsidRDefault="008A28D4">
      <w:pPr>
        <w:spacing w:before="20" w:after="20" w:line="259" w:lineRule="auto"/>
      </w:pPr>
      <w:r>
        <w:rPr>
          <w:rFonts w:ascii="Calibri" w:eastAsia="Calibri" w:hAnsi="Calibri"/>
          <w:b/>
          <w:color w:val="1A1A1A"/>
          <w:sz w:val="20"/>
        </w:rPr>
        <w:t xml:space="preserve">Cloud Platforms: </w:t>
      </w:r>
      <w:r>
        <w:rPr>
          <w:rFonts w:ascii="Calibri" w:eastAsia="Calibri" w:hAnsi="Calibri"/>
          <w:color w:val="1A1A1A"/>
          <w:sz w:val="20"/>
        </w:rPr>
        <w:t>Microsoft Azure, Amazon Web Services (AWS)</w:t>
      </w:r>
    </w:p>
    <w:p w:rsidR="008F01A5" w:rsidRDefault="008A28D4">
      <w:pPr>
        <w:spacing w:before="20" w:after="20" w:line="259" w:lineRule="auto"/>
      </w:pPr>
      <w:r>
        <w:rPr>
          <w:rFonts w:ascii="Calibri" w:eastAsia="Calibri" w:hAnsi="Calibri"/>
          <w:b/>
          <w:color w:val="1A1A1A"/>
          <w:sz w:val="20"/>
        </w:rPr>
        <w:t xml:space="preserve">Data Engineering: </w:t>
      </w:r>
      <w:r>
        <w:rPr>
          <w:rFonts w:ascii="Calibri" w:eastAsia="Calibri" w:hAnsi="Calibri"/>
          <w:color w:val="1A1A1A"/>
          <w:sz w:val="20"/>
        </w:rPr>
        <w:t>Azure Data Factory, Azure Databricks, Azure Synapse Analytics, AWS Glue, Amazon EMR, AWS DMS, Apache Airflow, Informatica PowerCenter</w:t>
      </w:r>
    </w:p>
    <w:p w:rsidR="008F01A5" w:rsidRDefault="008A28D4">
      <w:pPr>
        <w:spacing w:before="20" w:after="20" w:line="259" w:lineRule="auto"/>
      </w:pPr>
      <w:r>
        <w:rPr>
          <w:rFonts w:ascii="Calibri" w:eastAsia="Calibri" w:hAnsi="Calibri"/>
          <w:b/>
          <w:color w:val="1A1A1A"/>
          <w:sz w:val="20"/>
        </w:rPr>
        <w:t xml:space="preserve">Storage &amp; Warehousing: </w:t>
      </w:r>
      <w:r>
        <w:rPr>
          <w:rFonts w:ascii="Calibri" w:eastAsia="Calibri" w:hAnsi="Calibri"/>
          <w:color w:val="1A1A1A"/>
          <w:sz w:val="20"/>
        </w:rPr>
        <w:t>ADLS Gen2, Amazon S3, Snowflake, Amazon Redshift, Azure SQL Database, Delta Lake, Medallion Architecture</w:t>
      </w:r>
    </w:p>
    <w:p w:rsidR="008F01A5" w:rsidRDefault="008A28D4">
      <w:pPr>
        <w:spacing w:before="20" w:after="20" w:line="259" w:lineRule="auto"/>
      </w:pPr>
      <w:r>
        <w:rPr>
          <w:rFonts w:ascii="Calibri" w:eastAsia="Calibri" w:hAnsi="Calibri"/>
          <w:b/>
          <w:color w:val="1A1A1A"/>
          <w:sz w:val="20"/>
        </w:rPr>
        <w:t xml:space="preserve">Processing &amp; Modeling: </w:t>
      </w:r>
      <w:r>
        <w:rPr>
          <w:rFonts w:ascii="Calibri" w:eastAsia="Calibri" w:hAnsi="Calibri"/>
          <w:color w:val="1A1A1A"/>
          <w:sz w:val="20"/>
        </w:rPr>
        <w:t>PySpark, Spark SQL, Python, Shell, dbt (staging/intermediate/gold, incremental models, snapshots, macros, tests, documentation/lineage)</w:t>
      </w:r>
    </w:p>
    <w:p w:rsidR="008F01A5" w:rsidRDefault="008A28D4">
      <w:pPr>
        <w:spacing w:before="20" w:after="20" w:line="259" w:lineRule="auto"/>
      </w:pPr>
      <w:r>
        <w:rPr>
          <w:rFonts w:ascii="Calibri" w:eastAsia="Calibri" w:hAnsi="Calibri"/>
          <w:b/>
          <w:color w:val="1A1A1A"/>
          <w:sz w:val="20"/>
        </w:rPr>
        <w:t xml:space="preserve">Analytics &amp; BI: </w:t>
      </w:r>
      <w:r>
        <w:rPr>
          <w:rFonts w:ascii="Calibri" w:eastAsia="Calibri" w:hAnsi="Calibri"/>
          <w:color w:val="1A1A1A"/>
          <w:sz w:val="20"/>
        </w:rPr>
        <w:t>Power BI, Tableau, Amazon Athena, T-SQL / complex SQL, stored procedures, views</w:t>
      </w:r>
    </w:p>
    <w:p w:rsidR="008F01A5" w:rsidRDefault="008A28D4">
      <w:pPr>
        <w:spacing w:before="20" w:after="20" w:line="259" w:lineRule="auto"/>
      </w:pPr>
      <w:r>
        <w:rPr>
          <w:rFonts w:ascii="Calibri" w:eastAsia="Calibri" w:hAnsi="Calibri"/>
          <w:b/>
          <w:color w:val="1A1A1A"/>
          <w:sz w:val="20"/>
        </w:rPr>
        <w:t xml:space="preserve">DevOps &amp; Monitoring: </w:t>
      </w:r>
      <w:r>
        <w:rPr>
          <w:rFonts w:ascii="Calibri" w:eastAsia="Calibri" w:hAnsi="Calibri"/>
          <w:color w:val="1A1A1A"/>
          <w:sz w:val="20"/>
        </w:rPr>
        <w:t>Git, GitHub, Azure DevOps, CI/CD, AWS CloudFormation, CloudWatch, Azure Monitor, Log Analytics, Application Insights, Logic Apps, Jira</w:t>
      </w:r>
    </w:p>
    <w:p w:rsidR="008F01A5" w:rsidRDefault="008A28D4">
      <w:pPr>
        <w:spacing w:before="20" w:after="20" w:line="259" w:lineRule="auto"/>
      </w:pPr>
      <w:r>
        <w:rPr>
          <w:rFonts w:ascii="Calibri" w:eastAsia="Calibri" w:hAnsi="Calibri"/>
          <w:b/>
          <w:color w:val="1A1A1A"/>
          <w:sz w:val="20"/>
        </w:rPr>
        <w:t xml:space="preserve">Security &amp; Governance: </w:t>
      </w:r>
      <w:r>
        <w:rPr>
          <w:rFonts w:ascii="Calibri" w:eastAsia="Calibri" w:hAnsi="Calibri"/>
          <w:color w:val="1A1A1A"/>
          <w:sz w:val="20"/>
        </w:rPr>
        <w:t>IAM, security groups, VPC, encryption policies, HIPAA-compliant data delivery, data quality, reconciliation, CDC</w:t>
      </w:r>
    </w:p>
    <w:p w:rsidR="008F01A5" w:rsidRDefault="008A28D4">
      <w:pPr>
        <w:spacing w:before="20" w:after="20" w:line="259" w:lineRule="auto"/>
      </w:pPr>
      <w:r>
        <w:rPr>
          <w:rFonts w:ascii="Calibri" w:eastAsia="Calibri" w:hAnsi="Calibri"/>
          <w:b/>
          <w:color w:val="1A1A1A"/>
          <w:sz w:val="20"/>
        </w:rPr>
        <w:t xml:space="preserve">AI-Assisted Delivery: </w:t>
      </w:r>
      <w:r>
        <w:rPr>
          <w:rFonts w:ascii="Calibri" w:eastAsia="Calibri" w:hAnsi="Calibri"/>
          <w:color w:val="1A1A1A"/>
          <w:sz w:val="20"/>
        </w:rPr>
        <w:t>AI-assisted data profiling, anomaly detection patterns, LLM-supported documentation/SQL refinement, AI-supported metadata enrichment (recent Lakeview engagement)</w:t>
      </w:r>
    </w:p>
    <w:p w:rsidR="008F01A5" w:rsidRDefault="008A28D4">
      <w:pPr>
        <w:pBdr>
          <w:bottom w:val="single" w:sz="12" w:space="1" w:color="222222"/>
        </w:pBdr>
        <w:spacing w:before="220" w:after="60" w:line="259" w:lineRule="auto"/>
      </w:pPr>
      <w:r>
        <w:rPr>
          <w:rFonts w:ascii="Calibri" w:eastAsia="Calibri" w:hAnsi="Calibri"/>
          <w:b/>
          <w:color w:val="222222"/>
        </w:rPr>
        <w:t>PROFESSIONAL EXPERIENCE</w:t>
      </w:r>
    </w:p>
    <w:p w:rsidR="008F01A5" w:rsidRDefault="008A28D4">
      <w:pPr>
        <w:tabs>
          <w:tab w:val="right" w:pos="10368"/>
        </w:tabs>
        <w:spacing w:before="160" w:after="0" w:line="259" w:lineRule="auto"/>
      </w:pPr>
      <w:r>
        <w:rPr>
          <w:rFonts w:ascii="Calibri" w:eastAsia="Calibri" w:hAnsi="Calibri"/>
          <w:b/>
          <w:color w:val="1A1A1A"/>
          <w:sz w:val="21"/>
        </w:rPr>
        <w:t>Lakeview Loan Servicing, LLC — Senior Data Engineer</w:t>
      </w:r>
      <w:r>
        <w:rPr>
          <w:rFonts w:ascii="Calibri" w:eastAsia="Calibri" w:hAnsi="Calibri"/>
          <w:b/>
          <w:color w:val="444444"/>
          <w:sz w:val="20"/>
        </w:rPr>
        <w:tab/>
        <w:t>Jan 2026 – Present</w:t>
      </w:r>
    </w:p>
    <w:p w:rsidR="008F01A5" w:rsidRDefault="008A28D4">
      <w:pPr>
        <w:spacing w:after="40" w:line="259" w:lineRule="auto"/>
      </w:pPr>
      <w:r>
        <w:rPr>
          <w:rFonts w:ascii="Calibri" w:eastAsia="Calibri" w:hAnsi="Calibri"/>
          <w:i/>
          <w:color w:val="444444"/>
          <w:sz w:val="19"/>
        </w:rPr>
        <w:t>Miami, FL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Designed and developed Azure Data Factory (ADF) pipelines to ingest loan servicing data from loancrate REST APIs.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Configured ADF pipelines for API authentication, pagination, scheduling, parameterization, retry logic, and monitoring.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Ingested complex JSON payloads (~1,600 source fields) into Azure Data Lake Storage and maintained raw data in the bronze layer.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Azure Databricks notebooks using PySpark and Spark SQL to parse, flatten, cleanse, and standardize nested JSON data.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Implemented the Medallion Architecture (Bronze, Silver, and Gold) to support scalable data processing.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Transformed approximately 1,600 loancrate source fields into over 4,000 business-ready attributes using business rules, joins, aggregations, and lookup tables.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reusable dbt staging, intermediate, and gold models to standardize, enrich, and curate loan servicing data.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Implemented dbt incremental models, snapshots, macros, and model dependencies to support efficient data processing and reusable SQL transformations.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Generated dbt documentation and lineage to maintain model dependencies, transformation logic, and metadata.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Created SQL tables, views, stored procedures, functions, and lookup tables in Azure SQL Database.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complex T-SQL queries and implemented Delta Lake MERGE operations for incremental loading and historical data management.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Performed source-to-target mapping, schema validation, reconciliation, and data-quality checks to ensure accurate transformations.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Built metadata-driven and parameterized pipelines to support multiple loan servicing entities and business units.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Implemented logging, error handling, monitoring, and automated alerts to support reliable production pipelines.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lastRenderedPageBreak/>
        <w:t>Used Git and Azure DevOps for version control, CI/CD deployments, code reviews, and release management across Development, QA, UAT, and Production.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Collaborated with business analysts, architects, API developers, and QA teams to implement business requirements and data transformation rules.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Investigated production issues, performed root-cause analysis, and documented APIs, data mappings, transformation logic, and deployment processes.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Applied AI-assisted data profiling and anomaly detection patterns in Azure Databricks to accelerate identification of schema drift, null spikes, and data-quality exceptions across high-volume loan servicing feeds.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Leveraged LLM-assisted documentation and SQL refinement workflows to speed dbt model documentation, source-to-target mapping notes, and transformation logic reviews while preserving governed engineering standards.</w:t>
      </w:r>
    </w:p>
    <w:p w:rsidR="008F01A5" w:rsidRDefault="008A28D4" w:rsidP="008A28D4">
      <w:pPr>
        <w:pStyle w:val="ListParagraph"/>
        <w:numPr>
          <w:ilvl w:val="0"/>
          <w:numId w:val="2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Integrated AI-supported metadata enrichment and field-mapping recommendations into the loancrate JSON onboarding process to reduce manual mapping effort for large nested payloads and improve delivery turnaround.</w:t>
      </w:r>
    </w:p>
    <w:p w:rsidR="008F01A5" w:rsidRDefault="008A28D4">
      <w:pPr>
        <w:tabs>
          <w:tab w:val="right" w:pos="10368"/>
        </w:tabs>
        <w:spacing w:before="160" w:after="0" w:line="259" w:lineRule="auto"/>
      </w:pPr>
      <w:r>
        <w:rPr>
          <w:rFonts w:ascii="Calibri" w:eastAsia="Calibri" w:hAnsi="Calibri"/>
          <w:b/>
          <w:color w:val="1A1A1A"/>
          <w:sz w:val="21"/>
        </w:rPr>
        <w:t>Bank of America — Senior Data Engineer</w:t>
      </w:r>
      <w:r>
        <w:rPr>
          <w:rFonts w:ascii="Calibri" w:eastAsia="Calibri" w:hAnsi="Calibri"/>
          <w:b/>
          <w:color w:val="444444"/>
          <w:sz w:val="20"/>
        </w:rPr>
        <w:tab/>
        <w:t>July 2024 – Dec 2025</w:t>
      </w:r>
    </w:p>
    <w:p w:rsidR="008F01A5" w:rsidRDefault="008A28D4">
      <w:pPr>
        <w:spacing w:after="40" w:line="259" w:lineRule="auto"/>
      </w:pPr>
      <w:r>
        <w:rPr>
          <w:rFonts w:ascii="Calibri" w:eastAsia="Calibri" w:hAnsi="Calibri"/>
          <w:i/>
          <w:color w:val="444444"/>
          <w:sz w:val="19"/>
        </w:rPr>
        <w:t>Addison, TX</w:t>
      </w:r>
    </w:p>
    <w:p w:rsidR="008F01A5" w:rsidRDefault="008A28D4">
      <w:pPr>
        <w:spacing w:before="60" w:after="20" w:line="259" w:lineRule="auto"/>
      </w:pPr>
      <w:r>
        <w:rPr>
          <w:rFonts w:ascii="Calibri" w:eastAsia="Calibri" w:hAnsi="Calibri"/>
          <w:b/>
          <w:i/>
          <w:color w:val="222222"/>
          <w:sz w:val="20"/>
        </w:rPr>
        <w:t>Project 1 — Consumer Vehicle Lending (Azure)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Designed and developed Azure Data Factory (ADF) pipelines to ingest consumer vehicle lending data from relational databases, REST APIs, flat files, and third-party sources into Azure Data Lake Storage Gen2 (ADLS Gen2).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Built scalable ETL pipelines using Azure Databricks, PySpark, and Azure Synapse Analytics to cleanse, validate, and transform loan application, borrower, dealer, and underwriting data.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data pipelines supporting multiple vehicles lending channels, including Direct Lending, Dealer Financing, and Third-Party Loans.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Processed loan lifecycle data covering loan origination, underwriting, credit reviews, pending approvals, funding, servicing, and loan status updates.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Designed and implemented a Medallion Architecture (Bronze, Silver, and Gold) using ADLS Gen2, Delta Lake, Azure Databricks, and Synapse.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dbt snapshots to track historical changes in loan status, underwriting decisions, approval stages, and borrower information.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Built dbt tests along with custom validation rules to ensure data quality, referential integrity, and accurate loan reporting.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Generated dbt documentation and data lineage to provide end-to-end visibility of data transformations from Silver to Gold models.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complex T-SQL queries, stored procedures, views, and SQL scripts for loan approval reporting, underwriting analytics, and operational dashboards.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Built Azure Synapse SQL models and curated datasets to support reporting on loan approvals, rejection trends, dealer performance, funding turnaround time, and underwriting metrics.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Power BI dashboards to visualize loan application volumes, approval rates, underwriting performance, dealer productivity, portfolio trends, and funding KPIs.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Implemented data-quality validation, reconciliation processes, and business-rule checks to ensure the completeness and accuracy of lending data.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Built parameterized and metadata-driven ADF pipelines to support multiple lending products and business units.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Implemented Delta Lake MERGE operations and watermark-based incremental loading strategies for efficient processing of new and updated loan records.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Implemented monitoring, logging, and alerting using Azure Monitor, Log Analytics, Logic Apps, and Application Insights to proactively identify and resolve pipeline failures.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Collaborated with business analysts, underwriting teams, loan operations, data architects, and QA teams to translate business requirements into scalable Azure data solutions.</w:t>
      </w:r>
    </w:p>
    <w:p w:rsidR="008F01A5" w:rsidRDefault="008A28D4" w:rsidP="008A28D4">
      <w:pPr>
        <w:pStyle w:val="ListParagraph"/>
        <w:numPr>
          <w:ilvl w:val="0"/>
          <w:numId w:val="19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Performed data profiling, root-cause analysis, performance tuning, and production support to improve pipeline reliability, query performance, and reporting accuracy.</w:t>
      </w:r>
    </w:p>
    <w:p w:rsidR="008F01A5" w:rsidRDefault="008A28D4">
      <w:pPr>
        <w:spacing w:before="60" w:after="20" w:line="259" w:lineRule="auto"/>
      </w:pPr>
      <w:r>
        <w:rPr>
          <w:rFonts w:ascii="Calibri" w:eastAsia="Calibri" w:hAnsi="Calibri"/>
          <w:b/>
          <w:i/>
          <w:color w:val="222222"/>
          <w:sz w:val="20"/>
        </w:rPr>
        <w:t>Project 2 — Enterprise Banking Data Platform (AWS / Snowflake)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Designed and developed AWS Glue ETL jobs to extract customer, account, transaction, credit card, mortgage, and loan data from multiple source systems.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Integrated data from relational databases, flat files, REST APIs, and enterprise applications using AWS Glue and AWS Database Migration Service (DMS).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lastRenderedPageBreak/>
        <w:t>Stored raw source data in Amazon S3 and implemented a layered data architecture to separate raw, cleansed, and curated datasets.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Apache Spark applications on Amazon EMR using PySpark to cleanse, validate, standardize, and transform enterprise banking datasets.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Applied business rules, lookup mappings, joins, aggregations, and calculated fields to prepare business-ready datasets for reporting and downstream applications.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Loaded transformed data into Snowflake and developed reusable dbt staging, intermediate, and Gold models to standardize business transformations.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Implemented dbt incremental models, snapshots, and automated data quality tests to support efficient processing and maintain historical data.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Designed Snowflake tables, views, and SQL transformations to support customer reporting, operational analytics, and regulatory reporting requirements.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complex SQL queries for reconciliation, validation, and reporting while ensuring data integrity across multiple source systems.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Optimized Spark jobs, Snowflake queries, and AWS Glue workflows to improve ETL performance and reduce processing time.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Configured AWS CloudWatch dashboards, monitoring, logging, and alerts for Glue jobs, EMR clusters, and ETL workflows to ensure production stability.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Utilized AWS CloudFormation templates to automate infrastructure provisioning and maintain consistent deployment across environments.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Collaborated with business analysts, reporting teams, and application developers to translate business requirements into scalable cloud-based data solutions.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Performed production support, root-cause analysis, performance tuning, and documentation to ensure reliable enterprise data pipelines.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Built scalable AWS ETL pipelines that consolidated enterprise banking data from multiple operational systems into a centralized Snowflake data warehouse.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Delivered trusted, business-ready datasets supporting customer statements, operational reporting, regulatory reporting, and analytics.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Improved data quality through automated validation, reconciliation, and standardized transformation logic.</w:t>
      </w:r>
    </w:p>
    <w:p w:rsidR="008F01A5" w:rsidRDefault="008A28D4" w:rsidP="008A28D4">
      <w:pPr>
        <w:pStyle w:val="ListParagraph"/>
        <w:numPr>
          <w:ilvl w:val="0"/>
          <w:numId w:val="17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Implemented reusable cloud-native data engineering solutions using AWS Glue, EMR, Snowflake, and dbt, reducing manual processing effort and improving maintainability.</w:t>
      </w:r>
    </w:p>
    <w:p w:rsidR="008F01A5" w:rsidRDefault="008A28D4">
      <w:pPr>
        <w:tabs>
          <w:tab w:val="right" w:pos="10368"/>
        </w:tabs>
        <w:spacing w:before="160" w:after="0" w:line="259" w:lineRule="auto"/>
      </w:pPr>
      <w:r>
        <w:rPr>
          <w:rFonts w:ascii="Calibri" w:eastAsia="Calibri" w:hAnsi="Calibri"/>
          <w:b/>
          <w:color w:val="1A1A1A"/>
          <w:sz w:val="21"/>
        </w:rPr>
        <w:t>PNC Bank — Data Engineer</w:t>
      </w:r>
      <w:r>
        <w:rPr>
          <w:rFonts w:ascii="Calibri" w:eastAsia="Calibri" w:hAnsi="Calibri"/>
          <w:b/>
          <w:color w:val="444444"/>
          <w:sz w:val="20"/>
        </w:rPr>
        <w:tab/>
        <w:t>July 2023 – June 2024</w:t>
      </w:r>
    </w:p>
    <w:p w:rsidR="008F01A5" w:rsidRDefault="008A28D4">
      <w:pPr>
        <w:spacing w:after="40" w:line="259" w:lineRule="auto"/>
      </w:pPr>
      <w:r>
        <w:rPr>
          <w:rFonts w:ascii="Calibri" w:eastAsia="Calibri" w:hAnsi="Calibri"/>
          <w:i/>
          <w:color w:val="444444"/>
          <w:sz w:val="19"/>
        </w:rPr>
        <w:t>Dallas, TX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Designed Azure Data Factory pipelines to ingest patient, member, provider, and claims data from SQL Server, REST APIs, and ADLS.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Azure Databricks notebooks using PySpark to cleanse, transform, standardize, and enrich patient, member, provider, and claims datasets.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dbt staging, intermediate, and Gold models to standardize business transformations and deliver curated datasets for BI, reporting, and analytics.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Migrated legacy Informatica mappings and SQL stored procedures to dbt models and Azure Databricks, improving maintainability, transparency, and processing efficiency.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Python-based Airflow DAGs to orchestrate end-to-end ETL workflows, automate scheduling, and manage workflow dependencies.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Built Azure Synapse tables, views, stored procedures, and SQL models to support enterprise reporting, operational dashboards, and healthcare analytics.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Configured Azure Data Factory triggers, monitoring, logging, and alerting for reliable pipeline execution and proactive issue resolution.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Integrated GitHub and Azure DevOps to implement CI/CD pipelines for ADF pipelines, Databricks notebooks, dbt models, and Synapse database objects across Development, QA, UAT, and Production environments.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Collaborated with BI, analytics, and data governance teams to deliver HIPAA-compliant healthcare datasets supporting business reporting and regulatory requirements.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Optimized Spark jobs, SQL queries, and Synapse workloads using partitioning, caching, and query tuning techniques to improve ETL performance and scalability.</w:t>
      </w:r>
    </w:p>
    <w:p w:rsidR="008F01A5" w:rsidRDefault="008A28D4" w:rsidP="008A28D4">
      <w:pPr>
        <w:pStyle w:val="ListParagraph"/>
        <w:numPr>
          <w:ilvl w:val="0"/>
          <w:numId w:val="15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lastRenderedPageBreak/>
        <w:t>Performed production support, root-cause analysis, performance tuning, and technical documentation to ensure stable, reliable, and scalable enterprise data pipelines.</w:t>
      </w:r>
    </w:p>
    <w:p w:rsidR="008F01A5" w:rsidRDefault="008A28D4">
      <w:pPr>
        <w:tabs>
          <w:tab w:val="right" w:pos="10368"/>
        </w:tabs>
        <w:spacing w:before="160" w:after="0" w:line="259" w:lineRule="auto"/>
      </w:pPr>
      <w:r>
        <w:rPr>
          <w:rFonts w:ascii="Calibri" w:eastAsia="Calibri" w:hAnsi="Calibri"/>
          <w:b/>
          <w:color w:val="1A1A1A"/>
          <w:sz w:val="21"/>
        </w:rPr>
        <w:t>Oklahoma State University — Graduate Research Analyst</w:t>
      </w:r>
      <w:r>
        <w:rPr>
          <w:rFonts w:ascii="Calibri" w:eastAsia="Calibri" w:hAnsi="Calibri"/>
          <w:b/>
          <w:color w:val="444444"/>
          <w:sz w:val="20"/>
        </w:rPr>
        <w:tab/>
        <w:t>June 2022 – May 2023</w:t>
      </w:r>
    </w:p>
    <w:p w:rsidR="008F01A5" w:rsidRDefault="008A28D4">
      <w:pPr>
        <w:spacing w:after="40" w:line="259" w:lineRule="auto"/>
      </w:pPr>
      <w:r>
        <w:rPr>
          <w:rFonts w:ascii="Calibri" w:eastAsia="Calibri" w:hAnsi="Calibri"/>
          <w:i/>
          <w:color w:val="444444"/>
          <w:sz w:val="19"/>
        </w:rPr>
        <w:t>Stillwater, OK</w:t>
      </w:r>
    </w:p>
    <w:p w:rsidR="008F01A5" w:rsidRDefault="008A28D4" w:rsidP="008A28D4">
      <w:pPr>
        <w:pStyle w:val="ListParagraph"/>
        <w:numPr>
          <w:ilvl w:val="0"/>
          <w:numId w:val="13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Designed relational databases and SQL queries for agricultural research datasets.</w:t>
      </w:r>
    </w:p>
    <w:p w:rsidR="008F01A5" w:rsidRDefault="008A28D4" w:rsidP="008A28D4">
      <w:pPr>
        <w:pStyle w:val="ListParagraph"/>
        <w:numPr>
          <w:ilvl w:val="0"/>
          <w:numId w:val="13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ETL workflows using Python and SQL to clean and prepare experimental data.</w:t>
      </w:r>
    </w:p>
    <w:p w:rsidR="008F01A5" w:rsidRDefault="008A28D4" w:rsidP="008A28D4">
      <w:pPr>
        <w:pStyle w:val="ListParagraph"/>
        <w:numPr>
          <w:ilvl w:val="0"/>
          <w:numId w:val="13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Built Power BI/Tableau dashboards for faculty and researchers.</w:t>
      </w:r>
    </w:p>
    <w:p w:rsidR="008F01A5" w:rsidRDefault="008A28D4" w:rsidP="008A28D4">
      <w:pPr>
        <w:pStyle w:val="ListParagraph"/>
        <w:numPr>
          <w:ilvl w:val="0"/>
          <w:numId w:val="13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Automated data validation and statistical reporting.</w:t>
      </w:r>
    </w:p>
    <w:p w:rsidR="008F01A5" w:rsidRDefault="008A28D4" w:rsidP="008A28D4">
      <w:pPr>
        <w:pStyle w:val="ListParagraph"/>
        <w:numPr>
          <w:ilvl w:val="0"/>
          <w:numId w:val="13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Collaborated with research teams to improve data quality and reporting accuracy.</w:t>
      </w:r>
    </w:p>
    <w:p w:rsidR="008F01A5" w:rsidRDefault="008A28D4">
      <w:pPr>
        <w:tabs>
          <w:tab w:val="right" w:pos="10368"/>
        </w:tabs>
        <w:spacing w:before="160" w:after="0" w:line="259" w:lineRule="auto"/>
      </w:pPr>
      <w:r>
        <w:rPr>
          <w:rFonts w:ascii="Calibri" w:eastAsia="Calibri" w:hAnsi="Calibri"/>
          <w:b/>
          <w:color w:val="1A1A1A"/>
          <w:sz w:val="21"/>
        </w:rPr>
        <w:t>Cyient — Data Engineer</w:t>
      </w:r>
      <w:r>
        <w:rPr>
          <w:rFonts w:ascii="Calibri" w:eastAsia="Calibri" w:hAnsi="Calibri"/>
          <w:b/>
          <w:color w:val="444444"/>
          <w:sz w:val="20"/>
        </w:rPr>
        <w:tab/>
        <w:t>May 2015 – May 2021</w:t>
      </w:r>
    </w:p>
    <w:p w:rsidR="008F01A5" w:rsidRDefault="008A28D4">
      <w:pPr>
        <w:spacing w:after="40" w:line="259" w:lineRule="auto"/>
      </w:pPr>
      <w:r>
        <w:rPr>
          <w:rFonts w:ascii="Calibri" w:eastAsia="Calibri" w:hAnsi="Calibri"/>
          <w:i/>
          <w:color w:val="444444"/>
          <w:sz w:val="19"/>
        </w:rPr>
        <w:t>Hyderabad, IN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Designed and developed scalable ETL pipelines using AWS Glue and Informatica PowerCenter to ingest data from Oracle, SQL Server, DB2, flat files, and enterprise applications.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Migrated on-premises enterprise data to AWS by implementing data ingestion pipelines using AWS Database Migration Service (DMS), AWS Glue, and Amazon S3.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AWS Glue jobs to extract, cleanse, transform, and load structured and semi-structured data into Amazon S3 and Amazon Redshift.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Built Apache Spark applications on Amazon EMR using PySpark and Spark SQL to process large-scale enterprise datasets efficiently.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Implemented data validation, cleansing, enrichment, aggregations, and business transformation logic using Spark and SQL.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Designed and maintained Amazon Redshift schemas, tables, views, and SQL scripts to support reporting and analytical workloads.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complex SQL queries, stored procedures, and reconciliation reports to ensure data accuracy and consistency across multiple source systems.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Automated ETL workflows using AWS Glue Workflows, Triggers, and Job Scheduling to support daily and near real-time data processing.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Utilized Amazon Athena to query large datasets stored in Amazon S3 for ad hoc analysis, reporting, and data validation.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Implemented Change Data Capture (CDC) solutions using AWS DMS to support incremental data loading from operational databases.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Developed Python and Shell scripts to automate data validation, file processing, operational monitoring, and batch workflow execution.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Configured Amazon CloudWatch dashboards, alarms, and notifications to monitor ETL jobs, EMR clusters, Lambda functions, and overall data pipeline health.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Utilized AWS CloudFormation templates to provision and manage AWS infrastructure consistently across Development, QA, and Production environments.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Worked with IAM roles, security groups, VPC configurations, and encryption policies to ensure secure access to enterprise data assets.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Collaborated with business analysts, application teams, and database administrators to gather requirements and deliver scalable data integration solutions.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Optimized Spark jobs, Redshift queries, and ETL workflows through partitioning, indexing, query tuning, and workload management to improve overall system performance.</w:t>
      </w:r>
    </w:p>
    <w:p w:rsidR="008F01A5" w:rsidRDefault="008A28D4" w:rsidP="008A28D4">
      <w:pPr>
        <w:pStyle w:val="ListParagraph"/>
        <w:numPr>
          <w:ilvl w:val="0"/>
          <w:numId w:val="11"/>
        </w:numPr>
        <w:spacing w:after="24" w:line="259" w:lineRule="auto"/>
      </w:pPr>
      <w:r w:rsidRPr="008A28D4">
        <w:rPr>
          <w:rFonts w:ascii="Calibri" w:eastAsia="Calibri" w:hAnsi="Calibri"/>
          <w:color w:val="1A1A1A"/>
          <w:sz w:val="20"/>
        </w:rPr>
        <w:t>Participated in Agile Scrum ceremonies, code reviews, production deployments, root cause analysis, and production support activities using Jira and Git.</w:t>
      </w:r>
    </w:p>
    <w:p w:rsidR="008F01A5" w:rsidRDefault="008A28D4">
      <w:pPr>
        <w:pBdr>
          <w:bottom w:val="single" w:sz="12" w:space="1" w:color="222222"/>
        </w:pBdr>
        <w:spacing w:before="220" w:after="60" w:line="259" w:lineRule="auto"/>
      </w:pPr>
      <w:r>
        <w:rPr>
          <w:rFonts w:ascii="Calibri" w:eastAsia="Calibri" w:hAnsi="Calibri"/>
          <w:b/>
          <w:color w:val="222222"/>
        </w:rPr>
        <w:t>EDUCATION</w:t>
      </w:r>
    </w:p>
    <w:p w:rsidR="008F01A5" w:rsidRDefault="008A28D4">
      <w:pPr>
        <w:tabs>
          <w:tab w:val="right" w:pos="10368"/>
        </w:tabs>
        <w:spacing w:before="120" w:after="0" w:line="259" w:lineRule="auto"/>
      </w:pPr>
      <w:r>
        <w:rPr>
          <w:rFonts w:ascii="Calibri" w:eastAsia="Calibri" w:hAnsi="Calibri"/>
          <w:b/>
          <w:color w:val="1A1A1A"/>
          <w:sz w:val="21"/>
        </w:rPr>
        <w:t>Master of Science in Computer Science</w:t>
      </w:r>
      <w:r>
        <w:rPr>
          <w:rFonts w:ascii="Calibri" w:eastAsia="Calibri" w:hAnsi="Calibri"/>
          <w:b/>
          <w:color w:val="444444"/>
          <w:sz w:val="20"/>
        </w:rPr>
        <w:tab/>
        <w:t>2023</w:t>
      </w:r>
    </w:p>
    <w:p w:rsidR="008F01A5" w:rsidRDefault="008A28D4">
      <w:pPr>
        <w:spacing w:after="20" w:line="259" w:lineRule="auto"/>
      </w:pPr>
      <w:r>
        <w:rPr>
          <w:rFonts w:ascii="Calibri" w:eastAsia="Calibri" w:hAnsi="Calibri"/>
          <w:color w:val="444444"/>
          <w:sz w:val="20"/>
        </w:rPr>
        <w:t>Oklahoma State University  |  Stillwater, OK</w:t>
      </w:r>
    </w:p>
    <w:p w:rsidR="008F01A5" w:rsidRDefault="008A28D4">
      <w:pPr>
        <w:tabs>
          <w:tab w:val="right" w:pos="10368"/>
        </w:tabs>
        <w:spacing w:before="120" w:after="0" w:line="259" w:lineRule="auto"/>
      </w:pPr>
      <w:r>
        <w:rPr>
          <w:rFonts w:ascii="Calibri" w:eastAsia="Calibri" w:hAnsi="Calibri"/>
          <w:b/>
          <w:color w:val="1A1A1A"/>
          <w:sz w:val="21"/>
        </w:rPr>
        <w:t>Bachelor of Technology in Computer Science</w:t>
      </w:r>
      <w:r>
        <w:rPr>
          <w:rFonts w:ascii="Calibri" w:eastAsia="Calibri" w:hAnsi="Calibri"/>
          <w:b/>
          <w:color w:val="444444"/>
          <w:sz w:val="20"/>
        </w:rPr>
        <w:tab/>
        <w:t>2013</w:t>
      </w:r>
    </w:p>
    <w:p w:rsidR="008F01A5" w:rsidRDefault="008A28D4">
      <w:pPr>
        <w:spacing w:after="20" w:line="259" w:lineRule="auto"/>
      </w:pPr>
      <w:r>
        <w:rPr>
          <w:rFonts w:ascii="Calibri" w:eastAsia="Calibri" w:hAnsi="Calibri"/>
          <w:color w:val="444444"/>
          <w:sz w:val="20"/>
        </w:rPr>
        <w:t>Jawaharlal Nehru Technological University (JNTU)  |  India</w:t>
      </w:r>
    </w:p>
    <w:sectPr w:rsidR="008F01A5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007A14"/>
    <w:multiLevelType w:val="hybridMultilevel"/>
    <w:tmpl w:val="4DE2706C"/>
    <w:lvl w:ilvl="0" w:tplc="E334D5D2">
      <w:numFmt w:val="bullet"/>
      <w:lvlText w:val="•"/>
      <w:lvlJc w:val="left"/>
      <w:pPr>
        <w:ind w:left="474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>
    <w:nsid w:val="090F2F63"/>
    <w:multiLevelType w:val="hybridMultilevel"/>
    <w:tmpl w:val="6B1C882E"/>
    <w:lvl w:ilvl="0" w:tplc="E334D5D2">
      <w:numFmt w:val="bullet"/>
      <w:lvlText w:val="•"/>
      <w:lvlJc w:val="left"/>
      <w:pPr>
        <w:ind w:left="417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1">
    <w:nsid w:val="0F9631A3"/>
    <w:multiLevelType w:val="hybridMultilevel"/>
    <w:tmpl w:val="D07477F2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>
    <w:nsid w:val="1CDE38AB"/>
    <w:multiLevelType w:val="hybridMultilevel"/>
    <w:tmpl w:val="09BA67E6"/>
    <w:lvl w:ilvl="0" w:tplc="E334D5D2">
      <w:numFmt w:val="bullet"/>
      <w:lvlText w:val="•"/>
      <w:lvlJc w:val="left"/>
      <w:pPr>
        <w:ind w:left="417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3">
    <w:nsid w:val="377E2812"/>
    <w:multiLevelType w:val="hybridMultilevel"/>
    <w:tmpl w:val="010C7F26"/>
    <w:lvl w:ilvl="0" w:tplc="E334D5D2">
      <w:numFmt w:val="bullet"/>
      <w:lvlText w:val="•"/>
      <w:lvlJc w:val="left"/>
      <w:pPr>
        <w:ind w:left="474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>
    <w:nsid w:val="401D6621"/>
    <w:multiLevelType w:val="hybridMultilevel"/>
    <w:tmpl w:val="4752A74E"/>
    <w:lvl w:ilvl="0" w:tplc="E334D5D2">
      <w:numFmt w:val="bullet"/>
      <w:lvlText w:val="•"/>
      <w:lvlJc w:val="left"/>
      <w:pPr>
        <w:ind w:left="417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5">
    <w:nsid w:val="530A6E63"/>
    <w:multiLevelType w:val="hybridMultilevel"/>
    <w:tmpl w:val="C66CB838"/>
    <w:lvl w:ilvl="0" w:tplc="E334D5D2">
      <w:numFmt w:val="bullet"/>
      <w:lvlText w:val="•"/>
      <w:lvlJc w:val="left"/>
      <w:pPr>
        <w:ind w:left="417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6">
    <w:nsid w:val="5CF02114"/>
    <w:multiLevelType w:val="hybridMultilevel"/>
    <w:tmpl w:val="C4A46966"/>
    <w:lvl w:ilvl="0" w:tplc="E334D5D2">
      <w:numFmt w:val="bullet"/>
      <w:lvlText w:val="•"/>
      <w:lvlJc w:val="left"/>
      <w:pPr>
        <w:ind w:left="417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7">
    <w:nsid w:val="605B5C9F"/>
    <w:multiLevelType w:val="hybridMultilevel"/>
    <w:tmpl w:val="EE70DCDE"/>
    <w:lvl w:ilvl="0" w:tplc="E334D5D2">
      <w:numFmt w:val="bullet"/>
      <w:lvlText w:val="•"/>
      <w:lvlJc w:val="left"/>
      <w:pPr>
        <w:ind w:left="474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>
    <w:nsid w:val="68B377C1"/>
    <w:multiLevelType w:val="hybridMultilevel"/>
    <w:tmpl w:val="77162616"/>
    <w:lvl w:ilvl="0" w:tplc="E334D5D2">
      <w:numFmt w:val="bullet"/>
      <w:lvlText w:val="•"/>
      <w:lvlJc w:val="left"/>
      <w:pPr>
        <w:ind w:left="417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9">
    <w:nsid w:val="6DFF0C8A"/>
    <w:multiLevelType w:val="hybridMultilevel"/>
    <w:tmpl w:val="89B0B81C"/>
    <w:lvl w:ilvl="0" w:tplc="E334D5D2">
      <w:numFmt w:val="bullet"/>
      <w:lvlText w:val="•"/>
      <w:lvlJc w:val="left"/>
      <w:pPr>
        <w:ind w:left="474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>
    <w:nsid w:val="7D5A3443"/>
    <w:multiLevelType w:val="hybridMultilevel"/>
    <w:tmpl w:val="3DB832DE"/>
    <w:lvl w:ilvl="0" w:tplc="E334D5D2">
      <w:numFmt w:val="bullet"/>
      <w:lvlText w:val="•"/>
      <w:lvlJc w:val="left"/>
      <w:pPr>
        <w:ind w:left="474" w:hanging="360"/>
      </w:pPr>
      <w:rPr>
        <w:rFonts w:ascii="Calibri" w:eastAsia="Calibri" w:hAnsi="Calibri" w:cs="Calibri" w:hint="default"/>
        <w:color w:val="1A1A1A"/>
        <w:sz w:val="20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20"/>
  </w:num>
  <w:num w:numId="13">
    <w:abstractNumId w:val="18"/>
  </w:num>
  <w:num w:numId="14">
    <w:abstractNumId w:val="13"/>
  </w:num>
  <w:num w:numId="15">
    <w:abstractNumId w:val="12"/>
  </w:num>
  <w:num w:numId="16">
    <w:abstractNumId w:val="19"/>
  </w:num>
  <w:num w:numId="17">
    <w:abstractNumId w:val="15"/>
  </w:num>
  <w:num w:numId="18">
    <w:abstractNumId w:val="9"/>
  </w:num>
  <w:num w:numId="19">
    <w:abstractNumId w:val="14"/>
  </w:num>
  <w:num w:numId="20">
    <w:abstractNumId w:val="17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58F"/>
    <w:rsid w:val="008A28D4"/>
    <w:rsid w:val="008F01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4AD57C3-5890-4932-BE81-3CD4F15C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A28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uresh-dreddy5268787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reshreddy.desa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2ABE62-1272-473E-B0D5-2529AF804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2263</Words>
  <Characters>12901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2026-07-29T19:52:00Z</dcterms:created>
  <dcterms:modified xsi:type="dcterms:W3CDTF">2026-07-29T19:52:00Z</dcterms:modified>
  <cp:category/>
</cp:coreProperties>
</file>