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32EA" w14:textId="6FC5EDEF" w:rsidR="005450B0" w:rsidRDefault="00B35DCE">
      <w:pPr>
        <w:spacing w:after="40"/>
        <w:jc w:val="center"/>
      </w:pPr>
      <w:r>
        <w:rPr>
          <w:rFonts w:ascii="Calibri" w:eastAsia="Calibri" w:hAnsi="Calibri" w:cs="Calibri"/>
          <w:b/>
          <w:bCs/>
          <w:spacing w:val="20"/>
          <w:sz w:val="40"/>
          <w:szCs w:val="40"/>
        </w:rPr>
        <w:t>ANIRUDH MANGALPAWAR</w:t>
      </w:r>
    </w:p>
    <w:p w14:paraId="7860118C" w14:textId="77777777" w:rsidR="005450B0" w:rsidRDefault="00000000">
      <w:pPr>
        <w:spacing w:after="40"/>
        <w:jc w:val="center"/>
      </w:pPr>
      <w:r>
        <w:rPr>
          <w:rFonts w:ascii="Calibri" w:eastAsia="Calibri" w:hAnsi="Calibri" w:cs="Calibri"/>
          <w:b/>
          <w:bCs/>
          <w:spacing w:val="40"/>
          <w:sz w:val="22"/>
          <w:szCs w:val="22"/>
        </w:rPr>
        <w:t>SENIOR DATA ANALYST</w:t>
      </w:r>
    </w:p>
    <w:p w14:paraId="188E2032" w14:textId="30E28860" w:rsidR="005450B0" w:rsidRDefault="00B35DCE">
      <w:pPr>
        <w:pBdr>
          <w:bottom w:val="single" w:sz="6" w:space="2" w:color="404040"/>
        </w:pBdr>
        <w:spacing w:after="60"/>
        <w:jc w:val="center"/>
      </w:pPr>
      <w:r>
        <w:rPr>
          <w:rFonts w:ascii="Calibri" w:eastAsia="Calibri" w:hAnsi="Calibri" w:cs="Calibri"/>
          <w:sz w:val="19"/>
          <w:szCs w:val="19"/>
        </w:rPr>
        <w:t xml:space="preserve">954 834 3254  |  anirudhmpawar19@gmail.com  |  </w:t>
      </w:r>
      <w:r w:rsidRPr="00B35DCE">
        <w:rPr>
          <w:rFonts w:ascii="Calibri" w:eastAsia="Calibri" w:hAnsi="Calibri" w:cs="Calibri"/>
          <w:sz w:val="19"/>
          <w:szCs w:val="19"/>
        </w:rPr>
        <w:t xml:space="preserve">https://www.linkedin.com/in/anirudh-mangalpawar98546/   </w:t>
      </w:r>
      <w:r>
        <w:rPr>
          <w:rFonts w:ascii="Calibri" w:eastAsia="Calibri" w:hAnsi="Calibri" w:cs="Calibri"/>
          <w:sz w:val="19"/>
          <w:szCs w:val="19"/>
        </w:rPr>
        <w:t xml:space="preserve">  </w:t>
      </w:r>
    </w:p>
    <w:p w14:paraId="1F75ED37" w14:textId="77777777" w:rsidR="005450B0" w:rsidRDefault="00000000">
      <w:pPr>
        <w:pBdr>
          <w:bottom w:val="single" w:sz="6" w:space="2" w:color="404040"/>
        </w:pBdr>
        <w:spacing w:before="220" w:after="100"/>
      </w:pPr>
      <w:r>
        <w:rPr>
          <w:rFonts w:ascii="Calibri" w:eastAsia="Calibri" w:hAnsi="Calibri" w:cs="Calibri"/>
          <w:b/>
          <w:bCs/>
          <w:color w:val="000000"/>
          <w:spacing w:val="30"/>
          <w:sz w:val="21"/>
          <w:szCs w:val="21"/>
        </w:rPr>
        <w:t>PROFESSIONAL SUMMARY</w:t>
      </w:r>
    </w:p>
    <w:p w14:paraId="4519A9D8" w14:textId="6FFA778B"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Nine years of data analysis experience across hospital operations, health insurance, card payments, P&amp;C insurance, and retail banking, with strong expertise in SQL analysis, data validation, KPI definition, data quality, and business reporting.</w:t>
      </w:r>
    </w:p>
    <w:p w14:paraId="04959020"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Experienced in Retail Banking / Deposit Analytics and Payments &amp; Card Analytics, analyzing deposits, account balances, customer activity, card transactions, payment volumes, product performance, and transaction trends.</w:t>
      </w:r>
    </w:p>
    <w:p w14:paraId="78C6C821"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Experienced in P&amp;C Insurance Claims Analytics and Underwriting Analytics, analyzing claim frequency, severity, FNOL data, claim cycle time, policy performance, coverage, loss trends, and underwriting risk segments.</w:t>
      </w:r>
    </w:p>
    <w:p w14:paraId="7CF89624"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Defined business metrics and reporting requirements with product owners, claims managers, underwriting teams, actuarial analysts, retail banking stakeholders, and payments teams.</w:t>
      </w:r>
    </w:p>
    <w:p w14:paraId="67A4E287"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Strong SQL expertise across Teradata, Amazon Redshift, Azure Synapse Analytics, Azure SQL Database, and SQL Server, including complex joins, CTEs, aggregations, window functions, data profiling, reconciliation, and query optimization.</w:t>
      </w:r>
    </w:p>
    <w:p w14:paraId="3B935432"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Developed governed analytical datasets and reporting solutions supporting retail banking deposits, payments, cards, insurance claims, policies, and underwriting performance.</w:t>
      </w:r>
    </w:p>
    <w:p w14:paraId="1E11E55F"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Built interactive Tableau and Power BI dashboards for deposit performance, payment activity, card transactions, claims trends, claim severity, policy performance, and underwriting metrics.</w:t>
      </w:r>
    </w:p>
    <w:p w14:paraId="2F9933DF"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Performed source-to-report data validation, reconciliation, exception analysis, and root cause analysis to identify duplicate records, missing data, transformation issues, schema changes, and reporting discrepancies.</w:t>
      </w:r>
    </w:p>
    <w:p w14:paraId="2367BAFE"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Used Python, pandas, and Alteryx to automate reconciliation, exception reporting, file validation, and recurring analytical processes, reducing manual spreadsheet-based activities.</w:t>
      </w:r>
    </w:p>
    <w:p w14:paraId="5D7D78F7"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Experienced with AWS and Azure data environments, including Amazon Redshift, Amazon S3, AWS Glue, Azure Synapse Analytics, Azure Data Factory, Azure Data Lake Storage Gen2, and Azure SQL Database.</w:t>
      </w:r>
    </w:p>
    <w:p w14:paraId="31967BA4"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Collaborated with business, data engineering, product, governance, claims, underwriting, actuarial, and payments teams throughout requirements gathering, analysis, UAT, validation, and production deployment.</w:t>
      </w:r>
    </w:p>
    <w:p w14:paraId="4AE1FDC3" w14:textId="7512093C" w:rsidR="005450B0" w:rsidRDefault="005C0DFE" w:rsidP="005C0DFE">
      <w:pPr>
        <w:pStyle w:val="ListParagraph"/>
        <w:numPr>
          <w:ilvl w:val="0"/>
          <w:numId w:val="2"/>
        </w:numPr>
        <w:spacing w:after="60"/>
        <w:jc w:val="both"/>
      </w:pPr>
      <w:r w:rsidRPr="005C0DFE">
        <w:rPr>
          <w:rFonts w:ascii="Calibri" w:eastAsia="Calibri" w:hAnsi="Calibri" w:cs="Calibri"/>
          <w:sz w:val="21"/>
          <w:szCs w:val="21"/>
        </w:rPr>
        <w:t>Documented KPI definitions, business rules, data requirements, lineage, and acceptance criteria using Jira, Confluence, and Alation, ensuring consistent and trusted reporting across business teams.</w:t>
      </w:r>
    </w:p>
    <w:p w14:paraId="5AD0FC47" w14:textId="77777777" w:rsidR="005450B0" w:rsidRDefault="00000000">
      <w:pPr>
        <w:pBdr>
          <w:bottom w:val="single" w:sz="6" w:space="2" w:color="404040"/>
        </w:pBdr>
        <w:spacing w:before="220" w:after="100"/>
      </w:pPr>
      <w:r>
        <w:rPr>
          <w:rFonts w:ascii="Calibri" w:eastAsia="Calibri" w:hAnsi="Calibri" w:cs="Calibri"/>
          <w:b/>
          <w:bCs/>
          <w:color w:val="000000"/>
          <w:spacing w:val="30"/>
          <w:sz w:val="21"/>
          <w:szCs w:val="21"/>
        </w:rPr>
        <w:t>TECHNICAL SKILLS</w:t>
      </w:r>
    </w:p>
    <w:p w14:paraId="1E6B12DA" w14:textId="77777777" w:rsidR="005450B0" w:rsidRDefault="00000000">
      <w:pPr>
        <w:spacing w:after="50"/>
      </w:pPr>
      <w:r>
        <w:rPr>
          <w:rFonts w:ascii="Calibri" w:eastAsia="Calibri" w:hAnsi="Calibri" w:cs="Calibri"/>
          <w:b/>
          <w:bCs/>
          <w:sz w:val="21"/>
          <w:szCs w:val="21"/>
        </w:rPr>
        <w:t xml:space="preserve">Analysis and Programming: </w:t>
      </w:r>
      <w:r>
        <w:rPr>
          <w:rFonts w:ascii="Calibri" w:eastAsia="Calibri" w:hAnsi="Calibri" w:cs="Calibri"/>
          <w:sz w:val="21"/>
          <w:szCs w:val="21"/>
        </w:rPr>
        <w:t>SQL, Transact-SQL, Python, pandas, SAS, Microsoft Excel</w:t>
      </w:r>
    </w:p>
    <w:p w14:paraId="0CBEED9F" w14:textId="77777777" w:rsidR="005450B0" w:rsidRDefault="00000000">
      <w:pPr>
        <w:spacing w:after="50"/>
      </w:pPr>
      <w:r>
        <w:rPr>
          <w:rFonts w:ascii="Calibri" w:eastAsia="Calibri" w:hAnsi="Calibri" w:cs="Calibri"/>
          <w:b/>
          <w:bCs/>
          <w:sz w:val="21"/>
          <w:szCs w:val="21"/>
        </w:rPr>
        <w:t xml:space="preserve">BI and Reporting: </w:t>
      </w:r>
      <w:r>
        <w:rPr>
          <w:rFonts w:ascii="Calibri" w:eastAsia="Calibri" w:hAnsi="Calibri" w:cs="Calibri"/>
          <w:sz w:val="21"/>
          <w:szCs w:val="21"/>
        </w:rPr>
        <w:t>Power BI, Tableau, Looker, SSRS</w:t>
      </w:r>
    </w:p>
    <w:p w14:paraId="13AE97A0" w14:textId="77777777" w:rsidR="005450B0" w:rsidRDefault="00000000">
      <w:pPr>
        <w:spacing w:after="50"/>
      </w:pPr>
      <w:r>
        <w:rPr>
          <w:rFonts w:ascii="Calibri" w:eastAsia="Calibri" w:hAnsi="Calibri" w:cs="Calibri"/>
          <w:b/>
          <w:bCs/>
          <w:sz w:val="21"/>
          <w:szCs w:val="21"/>
        </w:rPr>
        <w:t xml:space="preserve">Data Platforms: </w:t>
      </w:r>
      <w:r>
        <w:rPr>
          <w:rFonts w:ascii="Calibri" w:eastAsia="Calibri" w:hAnsi="Calibri" w:cs="Calibri"/>
          <w:sz w:val="21"/>
          <w:szCs w:val="21"/>
        </w:rPr>
        <w:t>Teradata, Amazon Redshift, Azure Synapse Analytics, Azure SQL Database, Microsoft SQL Server, Oracle, Hive, Databricks on AWS</w:t>
      </w:r>
    </w:p>
    <w:p w14:paraId="2BFB84B5" w14:textId="77777777" w:rsidR="005450B0" w:rsidRDefault="00000000">
      <w:pPr>
        <w:spacing w:after="50"/>
      </w:pPr>
      <w:r>
        <w:rPr>
          <w:rFonts w:ascii="Calibri" w:eastAsia="Calibri" w:hAnsi="Calibri" w:cs="Calibri"/>
          <w:b/>
          <w:bCs/>
          <w:sz w:val="21"/>
          <w:szCs w:val="21"/>
        </w:rPr>
        <w:t xml:space="preserve">Microsoft Azure: </w:t>
      </w:r>
      <w:r>
        <w:rPr>
          <w:rFonts w:ascii="Calibri" w:eastAsia="Calibri" w:hAnsi="Calibri" w:cs="Calibri"/>
          <w:sz w:val="21"/>
          <w:szCs w:val="21"/>
        </w:rPr>
        <w:t>Azure Data Factory, Azure Data Lake Storage Gen2, Azure Blob Storage, Azure Key Vault, Azure Monitor, Azure Machine Learning Studio, Azure OpenAI Service</w:t>
      </w:r>
    </w:p>
    <w:p w14:paraId="6B1ED457" w14:textId="77777777" w:rsidR="005450B0" w:rsidRDefault="00000000">
      <w:pPr>
        <w:spacing w:after="50"/>
      </w:pPr>
      <w:r>
        <w:rPr>
          <w:rFonts w:ascii="Calibri" w:eastAsia="Calibri" w:hAnsi="Calibri" w:cs="Calibri"/>
          <w:b/>
          <w:bCs/>
          <w:sz w:val="21"/>
          <w:szCs w:val="21"/>
        </w:rPr>
        <w:t xml:space="preserve">Amazon Web Services: </w:t>
      </w:r>
      <w:r>
        <w:rPr>
          <w:rFonts w:ascii="Calibri" w:eastAsia="Calibri" w:hAnsi="Calibri" w:cs="Calibri"/>
          <w:sz w:val="21"/>
          <w:szCs w:val="21"/>
        </w:rPr>
        <w:t>Amazon S3, AWS Glue, AWS Glue Data Catalog, Amazon Athena, AWS Lambda, AWS Step Functions, Amazon CloudWatch, AWS IAM, AWS Secrets Manager</w:t>
      </w:r>
    </w:p>
    <w:p w14:paraId="583CEC23" w14:textId="77777777" w:rsidR="005450B0" w:rsidRDefault="00000000">
      <w:pPr>
        <w:spacing w:after="50"/>
      </w:pPr>
      <w:r>
        <w:rPr>
          <w:rFonts w:ascii="Calibri" w:eastAsia="Calibri" w:hAnsi="Calibri" w:cs="Calibri"/>
          <w:b/>
          <w:bCs/>
          <w:sz w:val="21"/>
          <w:szCs w:val="21"/>
        </w:rPr>
        <w:t xml:space="preserve">ETL and Data Preparation: </w:t>
      </w:r>
      <w:r>
        <w:rPr>
          <w:rFonts w:ascii="Calibri" w:eastAsia="Calibri" w:hAnsi="Calibri" w:cs="Calibri"/>
          <w:sz w:val="21"/>
          <w:szCs w:val="21"/>
        </w:rPr>
        <w:t>Informatica PowerCenter, SSIS, Alteryx</w:t>
      </w:r>
    </w:p>
    <w:p w14:paraId="343BEB1C" w14:textId="77777777" w:rsidR="005450B0" w:rsidRDefault="00000000">
      <w:pPr>
        <w:spacing w:after="50"/>
      </w:pPr>
      <w:r>
        <w:rPr>
          <w:rFonts w:ascii="Calibri" w:eastAsia="Calibri" w:hAnsi="Calibri" w:cs="Calibri"/>
          <w:b/>
          <w:bCs/>
          <w:sz w:val="21"/>
          <w:szCs w:val="21"/>
        </w:rPr>
        <w:t xml:space="preserve">Governance and AI Enablement: </w:t>
      </w:r>
      <w:r>
        <w:rPr>
          <w:rFonts w:ascii="Calibri" w:eastAsia="Calibri" w:hAnsi="Calibri" w:cs="Calibri"/>
          <w:sz w:val="21"/>
          <w:szCs w:val="21"/>
        </w:rPr>
        <w:t>Alation, Microsoft Copilot, Azure OpenAI Service</w:t>
      </w:r>
    </w:p>
    <w:p w14:paraId="79B75654" w14:textId="77777777" w:rsidR="005450B0" w:rsidRDefault="00000000">
      <w:pPr>
        <w:spacing w:after="50"/>
      </w:pPr>
      <w:r>
        <w:rPr>
          <w:rFonts w:ascii="Calibri" w:eastAsia="Calibri" w:hAnsi="Calibri" w:cs="Calibri"/>
          <w:b/>
          <w:bCs/>
          <w:sz w:val="21"/>
          <w:szCs w:val="21"/>
        </w:rPr>
        <w:t xml:space="preserve">Delivery Tools: </w:t>
      </w:r>
      <w:r>
        <w:rPr>
          <w:rFonts w:ascii="Calibri" w:eastAsia="Calibri" w:hAnsi="Calibri" w:cs="Calibri"/>
          <w:sz w:val="21"/>
          <w:szCs w:val="21"/>
        </w:rPr>
        <w:t>Jira, Confluence, ServiceNow</w:t>
      </w:r>
    </w:p>
    <w:p w14:paraId="0977C776" w14:textId="77777777" w:rsidR="005450B0" w:rsidRDefault="00000000">
      <w:pPr>
        <w:pBdr>
          <w:bottom w:val="single" w:sz="6" w:space="2" w:color="404040"/>
        </w:pBdr>
        <w:spacing w:before="220" w:after="100"/>
      </w:pPr>
      <w:r>
        <w:rPr>
          <w:rFonts w:ascii="Calibri" w:eastAsia="Calibri" w:hAnsi="Calibri" w:cs="Calibri"/>
          <w:b/>
          <w:bCs/>
          <w:color w:val="000000"/>
          <w:spacing w:val="30"/>
          <w:sz w:val="21"/>
          <w:szCs w:val="21"/>
        </w:rPr>
        <w:t>PROFESSIONAL EXPERIENCE</w:t>
      </w:r>
    </w:p>
    <w:p w14:paraId="532B9F8E" w14:textId="77777777" w:rsidR="005450B0" w:rsidRDefault="00000000">
      <w:pPr>
        <w:tabs>
          <w:tab w:val="right" w:pos="10800"/>
        </w:tabs>
        <w:spacing w:before="40"/>
      </w:pPr>
      <w:r>
        <w:rPr>
          <w:rFonts w:ascii="Calibri" w:eastAsia="Calibri" w:hAnsi="Calibri" w:cs="Calibri"/>
          <w:b/>
          <w:bCs/>
          <w:sz w:val="21"/>
          <w:szCs w:val="21"/>
        </w:rPr>
        <w:t>Senior Data Analyst, PNC Bank</w:t>
      </w:r>
      <w:r>
        <w:rPr>
          <w:rFonts w:ascii="Calibri" w:eastAsia="Calibri" w:hAnsi="Calibri" w:cs="Calibri"/>
          <w:sz w:val="21"/>
          <w:szCs w:val="21"/>
        </w:rPr>
        <w:tab/>
      </w:r>
      <w:r>
        <w:rPr>
          <w:rFonts w:ascii="Calibri" w:eastAsia="Calibri" w:hAnsi="Calibri" w:cs="Calibri"/>
          <w:b/>
          <w:bCs/>
          <w:sz w:val="19"/>
          <w:szCs w:val="19"/>
        </w:rPr>
        <w:t>January 2025 to Present</w:t>
      </w:r>
    </w:p>
    <w:p w14:paraId="4B94F270" w14:textId="77777777" w:rsidR="005450B0" w:rsidRDefault="00000000">
      <w:pPr>
        <w:spacing w:after="60"/>
      </w:pPr>
      <w:r>
        <w:rPr>
          <w:rFonts w:ascii="Calibri" w:eastAsia="Calibri" w:hAnsi="Calibri" w:cs="Calibri"/>
          <w:i/>
          <w:iCs/>
          <w:sz w:val="19"/>
          <w:szCs w:val="19"/>
        </w:rPr>
        <w:t>Pittsburgh, Pennsylvania</w:t>
      </w:r>
    </w:p>
    <w:p w14:paraId="2C258316" w14:textId="56ABF7CE" w:rsidR="005450B0" w:rsidRDefault="001F2ED5">
      <w:pPr>
        <w:spacing w:after="70"/>
        <w:jc w:val="both"/>
      </w:pPr>
      <w:r w:rsidRPr="001F2ED5">
        <w:rPr>
          <w:rFonts w:ascii="Calibri" w:eastAsia="Calibri" w:hAnsi="Calibri" w:cs="Calibri"/>
          <w:sz w:val="21"/>
          <w:szCs w:val="21"/>
        </w:rPr>
        <w:t xml:space="preserve">Analyzed retail banking deposit activity and payments/card analytics across customer accounts, deposit products, card transactions, and payment activity, working from enterprise banking data into an AWS analytics environment. The reporting </w:t>
      </w:r>
      <w:r w:rsidRPr="001F2ED5">
        <w:rPr>
          <w:rFonts w:ascii="Calibri" w:eastAsia="Calibri" w:hAnsi="Calibri" w:cs="Calibri"/>
          <w:sz w:val="21"/>
          <w:szCs w:val="21"/>
        </w:rPr>
        <w:lastRenderedPageBreak/>
        <w:t>supported retail banking product managers, payments teams, card stakeholders, and finance partners, while a modernization effort moved recurring reporting from manual extracts to governed cloud-based datasets.</w:t>
      </w:r>
    </w:p>
    <w:p w14:paraId="66ABB8F4" w14:textId="1526C7DB"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Wrote and tuned Teradata SQL against retail deposit and customer account history to produce daily balance, deposit growth, account attrition, product penetration, and customer activity metrics for retail banking product managers.</w:t>
      </w:r>
    </w:p>
    <w:p w14:paraId="64E34D31"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Analyzed checking and savings account activity, deposit balances, transaction volumes, and customer behavior to identify changes in account utilization and product performance.</w:t>
      </w:r>
    </w:p>
    <w:p w14:paraId="7F1547DC"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Performed data profiling and SQL validation on customer, account, deposit, payment, and transaction datasets, identifying missing records, duplicate transactions, inconsistent account attributes, and other data quality issues before reporting.</w:t>
      </w:r>
    </w:p>
    <w:p w14:paraId="6E72B4CF"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Built curated analytical datasets in Amazon Redshift, enabling business analysts to query governed retail banking, deposit, and payment data without impacting operational warehouse performance.</w:t>
      </w:r>
    </w:p>
    <w:p w14:paraId="418F6D00"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Analyzed debit and credit card transaction activity, payment volumes, merchant spend, transaction trends, and card product utilization to support payments and card business stakeholders.</w:t>
      </w:r>
    </w:p>
    <w:p w14:paraId="36555FF5"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Published Tableau dashboards covering retail deposit balances, account activity, product penetration, card spend, payment volumes, transaction trends, and treasury management payment activity.</w:t>
      </w:r>
    </w:p>
    <w:p w14:paraId="044F145F"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Developed KPI calculations and business rules for deposit growth, customer attrition, transaction volume, card utilization, payment activity, and product performance in collaboration with product owners and business stakeholders.</w:t>
      </w:r>
    </w:p>
    <w:p w14:paraId="68CD363C"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Analyzed payment transaction trends across channels and products, identifying unusual volume changes, processing patterns, and operational exceptions for payments stakeholders.</w:t>
      </w:r>
    </w:p>
    <w:p w14:paraId="23A67EB4"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Automated reconciliation between card settlement extracts and general ledger balances using Python, pandas, and Alteryx, reducing manual spreadsheet-based validation.</w:t>
      </w:r>
    </w:p>
    <w:p w14:paraId="4557903D"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Reconciled payment and card transaction data between source systems and Amazon Redshift reporting tables to validate transaction counts, financial amounts, and reporting completeness.</w:t>
      </w:r>
    </w:p>
    <w:p w14:paraId="4B454DA0"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Registered certified datasets, business glossary terms, and lineage in Alation, improving data discoverability and consistency for retail banking and payments reporting.</w:t>
      </w:r>
    </w:p>
    <w:p w14:paraId="3CBFC852"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Investigated production reporting issues including duplicate transaction loads, delayed source files, schema changes, and refresh failures using SQL, correcting affected reporting datasets within the same business day.</w:t>
      </w:r>
    </w:p>
    <w:p w14:paraId="2474B96C"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Coordinated user acceptance testing with retail banking and payments stakeholders, validated dashboard results against source systems, and obtained business sign-off before production deployment.</w:t>
      </w:r>
    </w:p>
    <w:p w14:paraId="561E1FEF" w14:textId="2CFA3096" w:rsidR="005450B0" w:rsidRDefault="005C0DFE" w:rsidP="005C0DFE">
      <w:pPr>
        <w:pStyle w:val="ListParagraph"/>
        <w:numPr>
          <w:ilvl w:val="0"/>
          <w:numId w:val="2"/>
        </w:numPr>
        <w:spacing w:after="60"/>
        <w:jc w:val="both"/>
      </w:pPr>
      <w:r w:rsidRPr="005C0DFE">
        <w:rPr>
          <w:rFonts w:ascii="Calibri" w:eastAsia="Calibri" w:hAnsi="Calibri" w:cs="Calibri"/>
          <w:sz w:val="21"/>
          <w:szCs w:val="21"/>
        </w:rPr>
        <w:t>Worked with product owners, retail banking analysts, payments teams, data governance, and data engineering teams using Jira and Confluence to define requirements, document business rules, and finalize acceptance criteria.</w:t>
      </w:r>
    </w:p>
    <w:p w14:paraId="5CBC014B" w14:textId="4F9D7778" w:rsidR="005450B0" w:rsidRDefault="00000000">
      <w:pPr>
        <w:spacing w:before="60" w:after="40"/>
        <w:jc w:val="both"/>
      </w:pPr>
      <w:r>
        <w:rPr>
          <w:rFonts w:ascii="Calibri" w:eastAsia="Calibri" w:hAnsi="Calibri" w:cs="Calibri"/>
          <w:b/>
          <w:bCs/>
          <w:sz w:val="19"/>
          <w:szCs w:val="19"/>
        </w:rPr>
        <w:t xml:space="preserve">Environment: </w:t>
      </w:r>
      <w:r w:rsidR="00E535EC" w:rsidRPr="00E535EC">
        <w:rPr>
          <w:rFonts w:ascii="Calibri" w:eastAsia="Calibri" w:hAnsi="Calibri" w:cs="Calibri"/>
          <w:sz w:val="19"/>
          <w:szCs w:val="19"/>
        </w:rPr>
        <w:t>Teradata, SQL, Python, pandas, Alteryx, Tableau, Amazon Redshift, Amazon S3, AWS Glue, AWS Glue Data Catalog, Amazon Athena, AWS Lambda, AWS Step Functions, Amazon CloudWatch, AWS IAM, AWS Secrets Manager, Alation, Jira, Confluence, Amazon Web Services (AWS).</w:t>
      </w:r>
    </w:p>
    <w:p w14:paraId="338A828C" w14:textId="77777777" w:rsidR="005450B0" w:rsidRDefault="00000000">
      <w:pPr>
        <w:tabs>
          <w:tab w:val="right" w:pos="10800"/>
        </w:tabs>
        <w:spacing w:before="220"/>
      </w:pPr>
      <w:r>
        <w:rPr>
          <w:rFonts w:ascii="Calibri" w:eastAsia="Calibri" w:hAnsi="Calibri" w:cs="Calibri"/>
          <w:b/>
          <w:bCs/>
          <w:sz w:val="21"/>
          <w:szCs w:val="21"/>
        </w:rPr>
        <w:t>Senior Data Analyst, Allstate</w:t>
      </w:r>
      <w:r>
        <w:rPr>
          <w:rFonts w:ascii="Calibri" w:eastAsia="Calibri" w:hAnsi="Calibri" w:cs="Calibri"/>
          <w:sz w:val="21"/>
          <w:szCs w:val="21"/>
        </w:rPr>
        <w:tab/>
      </w:r>
      <w:r>
        <w:rPr>
          <w:rFonts w:ascii="Calibri" w:eastAsia="Calibri" w:hAnsi="Calibri" w:cs="Calibri"/>
          <w:b/>
          <w:bCs/>
          <w:sz w:val="19"/>
          <w:szCs w:val="19"/>
        </w:rPr>
        <w:t>September 2023 to December 2024</w:t>
      </w:r>
    </w:p>
    <w:p w14:paraId="63BF08B4" w14:textId="77777777" w:rsidR="005450B0" w:rsidRDefault="00000000">
      <w:pPr>
        <w:spacing w:after="60"/>
      </w:pPr>
      <w:r>
        <w:rPr>
          <w:rFonts w:ascii="Calibri" w:eastAsia="Calibri" w:hAnsi="Calibri" w:cs="Calibri"/>
          <w:i/>
          <w:iCs/>
          <w:sz w:val="19"/>
          <w:szCs w:val="19"/>
        </w:rPr>
        <w:t>Northbrook, Illinois</w:t>
      </w:r>
    </w:p>
    <w:p w14:paraId="32BDC50C" w14:textId="731FBDEC" w:rsidR="005450B0" w:rsidRDefault="005C0DFE">
      <w:pPr>
        <w:spacing w:after="70"/>
        <w:jc w:val="both"/>
      </w:pPr>
      <w:r w:rsidRPr="005C0DFE">
        <w:rPr>
          <w:rFonts w:ascii="Calibri" w:eastAsia="Calibri" w:hAnsi="Calibri" w:cs="Calibri"/>
          <w:sz w:val="21"/>
          <w:szCs w:val="21"/>
        </w:rPr>
        <w:t>Analyzed P&amp;C insurance claims and underwriting data across the enterprise Azure data platform. The analysis supported claims operations, underwriting teams, actuarial stakeholders, and insurance leadership by providing reporting on claim frequency, severity, cycle time, policy performance, coverage, and risk characteristics. The work also supported the consolidation of legacy reporting into governed Power BI semantic models and Azure analytics services.</w:t>
      </w:r>
    </w:p>
    <w:p w14:paraId="64C7CA44" w14:textId="24D3E5F6"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Wrote complex SQL against policy and claims datasets in Azure Synapse Analytics to analyze claim frequency, severity, claim status, coverage, policy characteristics, and operational performance.</w:t>
      </w:r>
    </w:p>
    <w:p w14:paraId="5FA783FE"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Conducted requirements workshops with claims managers, underwriting teams, actuarial analysts, and business stakeholders to define KPIs, business rules, reporting requirements, and acceptance criteria.</w:t>
      </w:r>
    </w:p>
    <w:p w14:paraId="387F99B1"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Analyzed First Notice of Loss (FNOL) records to identify missing claim information, incomplete data elements, and process issues affecting claim handling and adjuster assignment.</w:t>
      </w:r>
    </w:p>
    <w:p w14:paraId="1237DCCB"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Performed claims severity analysis across vehicle type, coverage, driver profile, geographic territory, and policy characteristics to support underwriting and actuarial analysis.</w:t>
      </w:r>
    </w:p>
    <w:p w14:paraId="041E01C9"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Analyzed claim frequency and loss trends by policy segment, coverage type, geography, and customer characteristics to identify patterns affecting portfolio performance.</w:t>
      </w:r>
    </w:p>
    <w:p w14:paraId="0E372BAD"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lastRenderedPageBreak/>
        <w:t>Supported underwriting analytics by comparing policy characteristics, premium information, claims history, and loss outcomes across risk segments.</w:t>
      </w:r>
    </w:p>
    <w:p w14:paraId="75935367"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Validated Azure Data Factory pipelines moving policy, claims, and underwriting data into Azure Synapse Analytics, verifying row counts, transformation accuracy, business rules, and exception handling.</w:t>
      </w:r>
    </w:p>
    <w:p w14:paraId="2FF3822B"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Performed data profiling and reconciliation on policy and claims datasets to identify missing records, duplicate claims, inconsistent policy attributes, invalid coverage values, and other data quality issues before reporting publication.</w:t>
      </w:r>
    </w:p>
    <w:p w14:paraId="2BD566E4"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Developed Power BI dashboards covering claim volumes, claim severity, claim cycle time, loss trends, policy performance, and underwriting metrics for claims and insurance leadership.</w:t>
      </w:r>
    </w:p>
    <w:p w14:paraId="34D9064E"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Automated recurring claims and underwriting reporting using Python, pandas, and SQL, reducing manual spreadsheet-based reporting and reconciliation activities.</w:t>
      </w:r>
    </w:p>
    <w:p w14:paraId="04D3B123"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Investigated a production reporting issue caused by a schema modification in the policy administration system, tracing data lineage through Azure Data Factory and correcting downstream Power BI datasets before executive reporting.</w:t>
      </w:r>
    </w:p>
    <w:p w14:paraId="483F342D"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Performed post-deployment validation by reconciling policy and claims counts, financial measures, and key reporting metrics against source systems before business dashboards became available.</w:t>
      </w:r>
    </w:p>
    <w:p w14:paraId="3BC17F7C"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Conducted user acceptance testing with claims and underwriting business users and validated Power BI dashboards before production release.</w:t>
      </w:r>
    </w:p>
    <w:p w14:paraId="0944896C" w14:textId="77777777" w:rsidR="005C0DFE" w:rsidRPr="005C0DFE" w:rsidRDefault="005C0DFE" w:rsidP="005C0DFE">
      <w:pPr>
        <w:pStyle w:val="ListParagraph"/>
        <w:numPr>
          <w:ilvl w:val="0"/>
          <w:numId w:val="2"/>
        </w:numPr>
        <w:spacing w:after="60"/>
        <w:jc w:val="both"/>
        <w:rPr>
          <w:rFonts w:ascii="Calibri" w:eastAsia="Calibri" w:hAnsi="Calibri" w:cs="Calibri"/>
          <w:sz w:val="21"/>
          <w:szCs w:val="21"/>
        </w:rPr>
      </w:pPr>
      <w:r w:rsidRPr="005C0DFE">
        <w:rPr>
          <w:rFonts w:ascii="Calibri" w:eastAsia="Calibri" w:hAnsi="Calibri" w:cs="Calibri"/>
          <w:sz w:val="21"/>
          <w:szCs w:val="21"/>
        </w:rPr>
        <w:t>Presented claims trends, underwriting performance insights, and data-quality findings to claims managers, actuarial analysts, underwriting teams, and leadership.</w:t>
      </w:r>
    </w:p>
    <w:p w14:paraId="7B37ECD3" w14:textId="2558B1C1" w:rsidR="005450B0" w:rsidRDefault="005C0DFE" w:rsidP="005C0DFE">
      <w:pPr>
        <w:pStyle w:val="ListParagraph"/>
        <w:numPr>
          <w:ilvl w:val="0"/>
          <w:numId w:val="2"/>
        </w:numPr>
        <w:spacing w:after="60"/>
        <w:jc w:val="both"/>
      </w:pPr>
      <w:r w:rsidRPr="005C0DFE">
        <w:rPr>
          <w:rFonts w:ascii="Calibri" w:eastAsia="Calibri" w:hAnsi="Calibri" w:cs="Calibri"/>
          <w:sz w:val="21"/>
          <w:szCs w:val="21"/>
        </w:rPr>
        <w:t>Partnered with claims, underwriting, actuarial, and data engineering teams to document KPI calculations, business rules, data definitions, and reporting requirements in Jira and Confluence.</w:t>
      </w:r>
    </w:p>
    <w:p w14:paraId="2B854953" w14:textId="09E895CE" w:rsidR="005450B0" w:rsidRDefault="00000000">
      <w:pPr>
        <w:spacing w:before="60" w:after="40"/>
        <w:jc w:val="both"/>
      </w:pPr>
      <w:r>
        <w:rPr>
          <w:rFonts w:ascii="Calibri" w:eastAsia="Calibri" w:hAnsi="Calibri" w:cs="Calibri"/>
          <w:b/>
          <w:bCs/>
          <w:sz w:val="19"/>
          <w:szCs w:val="19"/>
        </w:rPr>
        <w:t xml:space="preserve">Environment: </w:t>
      </w:r>
      <w:r w:rsidR="00E535EC" w:rsidRPr="00E535EC">
        <w:rPr>
          <w:rFonts w:ascii="Calibri" w:eastAsia="Calibri" w:hAnsi="Calibri" w:cs="Calibri"/>
          <w:sz w:val="19"/>
          <w:szCs w:val="19"/>
        </w:rPr>
        <w:t>Azure Synapse Analytics, Azure Data Factory, Azure Data Lake Storage Gen2, Azure SQL Database, Power BI, SQL, Python, pandas, Azure Blob Storage, Azure Monitor, Azure Key Vault, Microsoft Entra ID (Azure AD), Jira, Confluence, Microsoft Azure.</w:t>
      </w:r>
    </w:p>
    <w:p w14:paraId="335AB392" w14:textId="77777777" w:rsidR="005450B0" w:rsidRDefault="00000000">
      <w:pPr>
        <w:tabs>
          <w:tab w:val="right" w:pos="10800"/>
        </w:tabs>
        <w:spacing w:before="220"/>
      </w:pPr>
      <w:r>
        <w:rPr>
          <w:rFonts w:ascii="Calibri" w:eastAsia="Calibri" w:hAnsi="Calibri" w:cs="Calibri"/>
          <w:b/>
          <w:bCs/>
          <w:sz w:val="21"/>
          <w:szCs w:val="21"/>
        </w:rPr>
        <w:t>Data Analyst, American Express</w:t>
      </w:r>
      <w:r>
        <w:rPr>
          <w:rFonts w:ascii="Calibri" w:eastAsia="Calibri" w:hAnsi="Calibri" w:cs="Calibri"/>
          <w:sz w:val="21"/>
          <w:szCs w:val="21"/>
        </w:rPr>
        <w:tab/>
      </w:r>
      <w:r>
        <w:rPr>
          <w:rFonts w:ascii="Calibri" w:eastAsia="Calibri" w:hAnsi="Calibri" w:cs="Calibri"/>
          <w:b/>
          <w:bCs/>
          <w:sz w:val="19"/>
          <w:szCs w:val="19"/>
        </w:rPr>
        <w:t>January 2022 to July 2023</w:t>
      </w:r>
    </w:p>
    <w:p w14:paraId="39A7A747" w14:textId="77777777" w:rsidR="005450B0" w:rsidRDefault="00000000">
      <w:pPr>
        <w:spacing w:after="60"/>
      </w:pPr>
      <w:r>
        <w:rPr>
          <w:rFonts w:ascii="Calibri" w:eastAsia="Calibri" w:hAnsi="Calibri" w:cs="Calibri"/>
          <w:i/>
          <w:iCs/>
          <w:sz w:val="19"/>
          <w:szCs w:val="19"/>
        </w:rPr>
        <w:t>New York, New York</w:t>
      </w:r>
    </w:p>
    <w:p w14:paraId="6FC93451" w14:textId="0981862D" w:rsidR="005450B0" w:rsidRDefault="006B444C">
      <w:pPr>
        <w:spacing w:after="70"/>
        <w:jc w:val="both"/>
      </w:pPr>
      <w:r w:rsidRPr="006B444C">
        <w:rPr>
          <w:rFonts w:ascii="Calibri" w:eastAsia="Calibri" w:hAnsi="Calibri" w:cs="Calibri"/>
          <w:sz w:val="21"/>
          <w:szCs w:val="21"/>
        </w:rPr>
        <w:t>Analyzed card authorization, payment, fraud, and dispute activity to improve approval rate monitoring, chargeback operations, and merchant performance reporting. Partnered with risk, merchant services, customer operations, and product teams to gather reporting requirements, define business metrics, and deliver governed Tableau dashboards using AWS analytics services.</w:t>
      </w:r>
    </w:p>
    <w:p w14:paraId="6604F9FD" w14:textId="77777777"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Conducted requirement workshops with risk analysts, merchant services teams, and product owners to define reporting requirements, KPI calculations, and business rules for card authorization and dispute reporting. </w:t>
      </w:r>
    </w:p>
    <w:p w14:paraId="17FA4DDB" w14:textId="7B848CE0"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Performed data discovery and profiling on authorization, settlement, dispute, and merchant transaction datasets using SQL, identifying missing records, duplicate transactions, data anomalies, and quality issues before analytical reporting.</w:t>
      </w:r>
    </w:p>
    <w:p w14:paraId="50BA2E27" w14:textId="271D6D5B"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Wrote complex SQL against Amazon Redshift authorization and settlement tables to analyze approval rates, decline reasons, merchant category performance, and card product utilization. </w:t>
      </w:r>
    </w:p>
    <w:p w14:paraId="5FF1E030" w14:textId="40257EE0"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Validated AWS Glue transformations by reconciling source transaction files from Amazon S3 with Amazon Redshift reporting tables, ensuring data completeness, business rule compliance, and reporting accuracy before dashboard publication.</w:t>
      </w:r>
    </w:p>
    <w:p w14:paraId="7712DD5E" w14:textId="05A33147"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Developed Tableau dashboards for authorization trends, dispute aging, chargeback volumes, fraud monitoring, and merchant performance, translating business requirements into executive-ready KPI visualizations.</w:t>
      </w:r>
    </w:p>
    <w:p w14:paraId="627869E6" w14:textId="77777777" w:rsidR="00B35DCE" w:rsidRPr="00B35DCE"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Analyzed Membership Rewards redemption behavior using SQL and Python, identifying redemption trends across customer segments and card products to support marketing analytics initiatives. </w:t>
      </w:r>
      <w:r w:rsidR="00B35DCE">
        <w:rPr>
          <w:rFonts w:ascii="Calibri" w:eastAsia="Calibri" w:hAnsi="Calibri" w:cs="Calibri"/>
          <w:sz w:val="21"/>
          <w:szCs w:val="21"/>
        </w:rPr>
        <w:t xml:space="preserve"> </w:t>
      </w:r>
    </w:p>
    <w:p w14:paraId="487B4271" w14:textId="3FD827B7" w:rsidR="006B444C" w:rsidRPr="006B444C" w:rsidRDefault="00B35DCE" w:rsidP="00BB2D50">
      <w:pPr>
        <w:pStyle w:val="ListParagraph"/>
        <w:numPr>
          <w:ilvl w:val="0"/>
          <w:numId w:val="2"/>
        </w:numPr>
        <w:spacing w:after="60"/>
        <w:jc w:val="both"/>
      </w:pPr>
      <w:r w:rsidRPr="00B35DCE">
        <w:rPr>
          <w:rFonts w:ascii="Calibri" w:eastAsia="Calibri" w:hAnsi="Calibri" w:cs="Calibri"/>
          <w:sz w:val="21"/>
          <w:szCs w:val="21"/>
        </w:rPr>
        <w:t>Performed trend analysis and ad hoc SQL analysis on authorization approvals, dispute volumes, merchant activity, and fraud patterns to identify operational risks and support business decision-making.</w:t>
      </w:r>
    </w:p>
    <w:p w14:paraId="058529C6" w14:textId="2F0ECA6C"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Optimized complex SQL queries in Amazon Redshift through distribution keys, sort keys, and query tuning techniques, improving dashboard performance and reducing report execution time. </w:t>
      </w:r>
    </w:p>
    <w:p w14:paraId="7F647BD6" w14:textId="1315278A" w:rsidR="006B444C" w:rsidRPr="006B444C" w:rsidRDefault="00B35DCE" w:rsidP="00BB2D50">
      <w:pPr>
        <w:pStyle w:val="ListParagraph"/>
        <w:numPr>
          <w:ilvl w:val="0"/>
          <w:numId w:val="2"/>
        </w:numPr>
        <w:spacing w:after="60"/>
        <w:jc w:val="both"/>
      </w:pPr>
      <w:r w:rsidRPr="00B35DCE">
        <w:rPr>
          <w:rFonts w:ascii="Calibri" w:eastAsia="Calibri" w:hAnsi="Calibri" w:cs="Calibri"/>
          <w:sz w:val="21"/>
          <w:szCs w:val="21"/>
        </w:rPr>
        <w:t>Validated KPI calculations and reconciled reporting metrics against legacy Teradata and Hive datasets, documenting discrepancies and obtaining business approval before production deployment.</w:t>
      </w:r>
    </w:p>
    <w:p w14:paraId="2692E12D" w14:textId="12DC2E66"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Conducted user acceptance testing (UAT) with business stakeholders, validating KPI calculations, dashboard results, and reporting accuracy before production release. </w:t>
      </w:r>
    </w:p>
    <w:p w14:paraId="6E01B458" w14:textId="23ECBC46" w:rsidR="006B444C" w:rsidRPr="006B444C" w:rsidRDefault="006B444C" w:rsidP="00BB2D50">
      <w:pPr>
        <w:pStyle w:val="ListParagraph"/>
        <w:numPr>
          <w:ilvl w:val="0"/>
          <w:numId w:val="2"/>
        </w:numPr>
        <w:spacing w:after="60"/>
        <w:jc w:val="both"/>
      </w:pPr>
      <w:r w:rsidRPr="006B444C">
        <w:rPr>
          <w:rFonts w:ascii="Calibri" w:eastAsia="Calibri" w:hAnsi="Calibri" w:cs="Calibri"/>
          <w:sz w:val="21"/>
          <w:szCs w:val="21"/>
        </w:rPr>
        <w:t xml:space="preserve">Investigated production reporting failures caused by delayed settlement files, incomplete ETL processing, and schema changes, performing root cause analysis and restoring reporting within agreed service levels. </w:t>
      </w:r>
    </w:p>
    <w:p w14:paraId="444769DA" w14:textId="189B6A0C" w:rsidR="006B444C" w:rsidRPr="006B444C" w:rsidRDefault="00B35DCE" w:rsidP="00BB2D50">
      <w:pPr>
        <w:pStyle w:val="ListParagraph"/>
        <w:numPr>
          <w:ilvl w:val="0"/>
          <w:numId w:val="2"/>
        </w:numPr>
        <w:spacing w:after="60"/>
        <w:jc w:val="both"/>
      </w:pPr>
      <w:r w:rsidRPr="00B35DCE">
        <w:rPr>
          <w:rFonts w:ascii="Calibri" w:eastAsia="Calibri" w:hAnsi="Calibri" w:cs="Calibri"/>
          <w:sz w:val="21"/>
          <w:szCs w:val="21"/>
        </w:rPr>
        <w:lastRenderedPageBreak/>
        <w:t>Supported production reporting by monitoring scheduled refreshes, investigating failed data loads, and coordinating issue resolution with data engineering teams to ensure timely report availability.</w:t>
      </w:r>
    </w:p>
    <w:p w14:paraId="28F800D3" w14:textId="15DD20E5" w:rsidR="005450B0" w:rsidRDefault="00B35DCE" w:rsidP="00BB2D50">
      <w:pPr>
        <w:pStyle w:val="ListParagraph"/>
        <w:numPr>
          <w:ilvl w:val="0"/>
          <w:numId w:val="2"/>
        </w:numPr>
        <w:spacing w:after="60"/>
        <w:jc w:val="both"/>
      </w:pPr>
      <w:r w:rsidRPr="00B35DCE">
        <w:rPr>
          <w:rFonts w:ascii="Calibri" w:eastAsia="Calibri" w:hAnsi="Calibri" w:cs="Calibri"/>
          <w:sz w:val="21"/>
          <w:szCs w:val="21"/>
        </w:rPr>
        <w:t>Presented analytical findings, business insights, and reporting recommendations to risk, merchant services, and operations stakeholders while documenting business requirements, KPI definitions, and acceptance criteria in Jira and Confluence.</w:t>
      </w:r>
    </w:p>
    <w:p w14:paraId="4D44745F" w14:textId="79DCA8B5" w:rsidR="005450B0" w:rsidRDefault="00000000">
      <w:pPr>
        <w:spacing w:before="60" w:after="40"/>
        <w:jc w:val="both"/>
      </w:pPr>
      <w:r>
        <w:rPr>
          <w:rFonts w:ascii="Calibri" w:eastAsia="Calibri" w:hAnsi="Calibri" w:cs="Calibri"/>
          <w:b/>
          <w:bCs/>
          <w:sz w:val="19"/>
          <w:szCs w:val="19"/>
        </w:rPr>
        <w:t xml:space="preserve">Environment: </w:t>
      </w:r>
      <w:r w:rsidR="006B444C" w:rsidRPr="006B444C">
        <w:rPr>
          <w:rFonts w:ascii="Calibri" w:eastAsia="Calibri" w:hAnsi="Calibri" w:cs="Calibri"/>
          <w:sz w:val="19"/>
          <w:szCs w:val="19"/>
        </w:rPr>
        <w:t>Amazon Redshift, Amazon S3, AWS Glue, Amazon Athena, Amazon CloudWatch, AWS IAM, Tableau, SQL, Python, Teradata, Hive, Jira, Confluence, Amazon Web Services (AWS).</w:t>
      </w:r>
    </w:p>
    <w:p w14:paraId="5631328F" w14:textId="77777777" w:rsidR="005450B0" w:rsidRDefault="00000000">
      <w:pPr>
        <w:tabs>
          <w:tab w:val="right" w:pos="10800"/>
        </w:tabs>
        <w:spacing w:before="220"/>
      </w:pPr>
      <w:r>
        <w:rPr>
          <w:rFonts w:ascii="Calibri" w:eastAsia="Calibri" w:hAnsi="Calibri" w:cs="Calibri"/>
          <w:b/>
          <w:bCs/>
          <w:sz w:val="21"/>
          <w:szCs w:val="21"/>
        </w:rPr>
        <w:t>Data Analyst, Cigna Healthcare</w:t>
      </w:r>
      <w:r>
        <w:rPr>
          <w:rFonts w:ascii="Calibri" w:eastAsia="Calibri" w:hAnsi="Calibri" w:cs="Calibri"/>
          <w:sz w:val="21"/>
          <w:szCs w:val="21"/>
        </w:rPr>
        <w:tab/>
      </w:r>
      <w:r>
        <w:rPr>
          <w:rFonts w:ascii="Calibri" w:eastAsia="Calibri" w:hAnsi="Calibri" w:cs="Calibri"/>
          <w:b/>
          <w:bCs/>
          <w:sz w:val="19"/>
          <w:szCs w:val="19"/>
        </w:rPr>
        <w:t>February 2020 to December 2021</w:t>
      </w:r>
    </w:p>
    <w:p w14:paraId="386D6DD1" w14:textId="77777777" w:rsidR="005450B0" w:rsidRDefault="00000000">
      <w:pPr>
        <w:spacing w:after="60"/>
      </w:pPr>
      <w:r>
        <w:rPr>
          <w:rFonts w:ascii="Calibri" w:eastAsia="Calibri" w:hAnsi="Calibri" w:cs="Calibri"/>
          <w:i/>
          <w:iCs/>
          <w:sz w:val="19"/>
          <w:szCs w:val="19"/>
        </w:rPr>
        <w:t>Bloomfield, Connecticut</w:t>
      </w:r>
    </w:p>
    <w:p w14:paraId="591ACAE8" w14:textId="77777777" w:rsidR="005450B0" w:rsidRDefault="00000000">
      <w:pPr>
        <w:spacing w:after="70"/>
        <w:jc w:val="both"/>
      </w:pPr>
      <w:r>
        <w:rPr>
          <w:rFonts w:ascii="Calibri" w:eastAsia="Calibri" w:hAnsi="Calibri" w:cs="Calibri"/>
          <w:sz w:val="21"/>
          <w:szCs w:val="21"/>
        </w:rPr>
        <w:t>Produced eligibility, claims and pharmacy reporting for benefit operations and provider network teams on the insurer analytics platform on Amazon Web Services. The reporting supported adjudication review and prior authorization turnaround tracking while legacy on premises jobs moved into the cloud.</w:t>
      </w:r>
    </w:p>
    <w:p w14:paraId="73E71A44" w14:textId="77777777" w:rsidR="005450B0" w:rsidRDefault="00000000">
      <w:pPr>
        <w:pStyle w:val="ListParagraph"/>
        <w:numPr>
          <w:ilvl w:val="0"/>
          <w:numId w:val="2"/>
        </w:numPr>
        <w:spacing w:after="60"/>
        <w:jc w:val="both"/>
      </w:pPr>
      <w:r>
        <w:rPr>
          <w:rFonts w:ascii="Calibri" w:eastAsia="Calibri" w:hAnsi="Calibri" w:cs="Calibri"/>
          <w:sz w:val="21"/>
          <w:szCs w:val="21"/>
        </w:rPr>
        <w:t>Wrote SQL against Amazon Redshift claim and eligibility tables to produce adjudication outcome, denial reason and appeal volume reporting for benefit operations leaders.</w:t>
      </w:r>
    </w:p>
    <w:p w14:paraId="03E7A9CE" w14:textId="77777777" w:rsidR="005450B0" w:rsidRDefault="00000000">
      <w:pPr>
        <w:pStyle w:val="ListParagraph"/>
        <w:numPr>
          <w:ilvl w:val="0"/>
          <w:numId w:val="2"/>
        </w:numPr>
        <w:spacing w:after="60"/>
        <w:jc w:val="both"/>
      </w:pPr>
      <w:r>
        <w:rPr>
          <w:rFonts w:ascii="Calibri" w:eastAsia="Calibri" w:hAnsi="Calibri" w:cs="Calibri"/>
          <w:sz w:val="21"/>
          <w:szCs w:val="21"/>
        </w:rPr>
        <w:t>Analyzed prior authorization turnaround in Databricks on AWS using Python notebooks, comparing request receipt, decision and notification timestamps across service categories.</w:t>
      </w:r>
    </w:p>
    <w:p w14:paraId="6969E421" w14:textId="21D322C7" w:rsidR="005450B0" w:rsidRDefault="00C53FD9">
      <w:pPr>
        <w:pStyle w:val="ListParagraph"/>
        <w:numPr>
          <w:ilvl w:val="0"/>
          <w:numId w:val="2"/>
        </w:numPr>
        <w:spacing w:after="60"/>
        <w:jc w:val="both"/>
      </w:pPr>
      <w:r w:rsidRPr="00C53FD9">
        <w:rPr>
          <w:rFonts w:ascii="Calibri" w:eastAsia="Calibri" w:hAnsi="Calibri" w:cs="Calibri"/>
          <w:sz w:val="21"/>
          <w:szCs w:val="21"/>
        </w:rPr>
        <w:t>Performed SQL data profiling and reconciliation across claims, eligibility, and provider datasets to validate reporting accuracy.</w:t>
      </w:r>
    </w:p>
    <w:p w14:paraId="1E61AAD8" w14:textId="77777777" w:rsidR="005450B0" w:rsidRDefault="00000000">
      <w:pPr>
        <w:pStyle w:val="ListParagraph"/>
        <w:numPr>
          <w:ilvl w:val="0"/>
          <w:numId w:val="2"/>
        </w:numPr>
        <w:spacing w:after="60"/>
        <w:jc w:val="both"/>
      </w:pPr>
      <w:r>
        <w:rPr>
          <w:rFonts w:ascii="Calibri" w:eastAsia="Calibri" w:hAnsi="Calibri" w:cs="Calibri"/>
          <w:sz w:val="21"/>
          <w:szCs w:val="21"/>
        </w:rPr>
        <w:t>Confirmed that daily claim and membership files landing in Amazon S3 converted cleanly into partitioned Parquet through AWS Glue, so analysts read one structure across payer sources.</w:t>
      </w:r>
    </w:p>
    <w:p w14:paraId="23E3E6AE" w14:textId="5ADB4B81" w:rsidR="005450B0" w:rsidRDefault="00C53FD9">
      <w:pPr>
        <w:pStyle w:val="ListParagraph"/>
        <w:numPr>
          <w:ilvl w:val="0"/>
          <w:numId w:val="2"/>
        </w:numPr>
        <w:spacing w:after="60"/>
        <w:jc w:val="both"/>
      </w:pPr>
      <w:r w:rsidRPr="00C53FD9">
        <w:rPr>
          <w:rFonts w:ascii="Calibri" w:eastAsia="Calibri" w:hAnsi="Calibri" w:cs="Calibri"/>
          <w:sz w:val="21"/>
          <w:szCs w:val="21"/>
        </w:rPr>
        <w:t>Gathered reporting requirements from claims operations and provider network teams and translated business questions into analytical solutions.</w:t>
      </w:r>
    </w:p>
    <w:p w14:paraId="79155C40" w14:textId="4370ADF7" w:rsidR="005450B0" w:rsidRDefault="00C53FD9">
      <w:pPr>
        <w:pStyle w:val="ListParagraph"/>
        <w:numPr>
          <w:ilvl w:val="0"/>
          <w:numId w:val="2"/>
        </w:numPr>
        <w:spacing w:after="60"/>
        <w:jc w:val="both"/>
      </w:pPr>
      <w:r w:rsidRPr="00C53FD9">
        <w:rPr>
          <w:rFonts w:ascii="Calibri" w:eastAsia="Calibri" w:hAnsi="Calibri" w:cs="Calibri"/>
          <w:sz w:val="21"/>
          <w:szCs w:val="21"/>
        </w:rPr>
        <w:t>Validated claim status, denial reasons, and provider utilization metrics with business users before dashboard publication.</w:t>
      </w:r>
    </w:p>
    <w:p w14:paraId="4381088C" w14:textId="77777777" w:rsidR="005450B0" w:rsidRDefault="00000000">
      <w:pPr>
        <w:pStyle w:val="ListParagraph"/>
        <w:numPr>
          <w:ilvl w:val="0"/>
          <w:numId w:val="2"/>
        </w:numPr>
        <w:spacing w:after="60"/>
        <w:jc w:val="both"/>
      </w:pPr>
      <w:r>
        <w:rPr>
          <w:rFonts w:ascii="Calibri" w:eastAsia="Calibri" w:hAnsi="Calibri" w:cs="Calibri"/>
          <w:sz w:val="21"/>
          <w:szCs w:val="21"/>
        </w:rPr>
        <w:t>Published Tableau dashboards covering pharmacy claim volumes, generic dispensing patterns and provider network utilization for pharmacy and network leadership.</w:t>
      </w:r>
    </w:p>
    <w:p w14:paraId="4831C218" w14:textId="77777777" w:rsidR="005450B0" w:rsidRDefault="00000000">
      <w:pPr>
        <w:pStyle w:val="ListParagraph"/>
        <w:numPr>
          <w:ilvl w:val="0"/>
          <w:numId w:val="2"/>
        </w:numPr>
        <w:spacing w:after="60"/>
        <w:jc w:val="both"/>
      </w:pPr>
      <w:r>
        <w:rPr>
          <w:rFonts w:ascii="Calibri" w:eastAsia="Calibri" w:hAnsi="Calibri" w:cs="Calibri"/>
          <w:sz w:val="21"/>
          <w:szCs w:val="21"/>
        </w:rPr>
        <w:t>Converted legacy SAS reporting programs into SQL and Python, documenting every logic difference so business owners could sign off before the originals retired.</w:t>
      </w:r>
    </w:p>
    <w:p w14:paraId="37EFE763" w14:textId="77777777" w:rsidR="005450B0" w:rsidRDefault="00000000">
      <w:pPr>
        <w:pStyle w:val="ListParagraph"/>
        <w:numPr>
          <w:ilvl w:val="0"/>
          <w:numId w:val="2"/>
        </w:numPr>
        <w:spacing w:after="60"/>
        <w:jc w:val="both"/>
      </w:pPr>
      <w:r>
        <w:rPr>
          <w:rFonts w:ascii="Calibri" w:eastAsia="Calibri" w:hAnsi="Calibri" w:cs="Calibri"/>
          <w:sz w:val="21"/>
          <w:szCs w:val="21"/>
        </w:rPr>
        <w:t>Investigated a production discrepancy in denial counts traced to duplicate claim rows loaded after a source reprocessing run, then corrected and reissued the affected extracts.</w:t>
      </w:r>
    </w:p>
    <w:p w14:paraId="098CA48C" w14:textId="1B4E812C" w:rsidR="005450B0" w:rsidRDefault="00C53FD9">
      <w:pPr>
        <w:pStyle w:val="ListParagraph"/>
        <w:numPr>
          <w:ilvl w:val="0"/>
          <w:numId w:val="2"/>
        </w:numPr>
        <w:spacing w:after="60"/>
        <w:jc w:val="both"/>
      </w:pPr>
      <w:r w:rsidRPr="00C53FD9">
        <w:rPr>
          <w:rFonts w:ascii="Calibri" w:eastAsia="Calibri" w:hAnsi="Calibri" w:cs="Calibri"/>
          <w:sz w:val="21"/>
          <w:szCs w:val="21"/>
        </w:rPr>
        <w:t>Supported user acceptance testing and reconciled reporting metrics before monthly production releases.</w:t>
      </w:r>
    </w:p>
    <w:p w14:paraId="739151B1" w14:textId="77777777" w:rsidR="005450B0" w:rsidRDefault="00000000">
      <w:pPr>
        <w:pStyle w:val="ListParagraph"/>
        <w:numPr>
          <w:ilvl w:val="0"/>
          <w:numId w:val="2"/>
        </w:numPr>
        <w:spacing w:after="60"/>
        <w:jc w:val="both"/>
      </w:pPr>
      <w:r>
        <w:rPr>
          <w:rFonts w:ascii="Calibri" w:eastAsia="Calibri" w:hAnsi="Calibri" w:cs="Calibri"/>
          <w:sz w:val="21"/>
          <w:szCs w:val="21"/>
        </w:rPr>
        <w:t>Documented membership count and claim status definitions with claims business analysts, provider data stewards and testers so reporting used one interpretation.</w:t>
      </w:r>
    </w:p>
    <w:p w14:paraId="28F7F467" w14:textId="77777777" w:rsidR="005450B0" w:rsidRDefault="00000000">
      <w:pPr>
        <w:pStyle w:val="ListParagraph"/>
        <w:numPr>
          <w:ilvl w:val="0"/>
          <w:numId w:val="2"/>
        </w:numPr>
        <w:spacing w:after="60"/>
        <w:jc w:val="both"/>
      </w:pPr>
      <w:r>
        <w:rPr>
          <w:rFonts w:ascii="Calibri" w:eastAsia="Calibri" w:hAnsi="Calibri" w:cs="Calibri"/>
          <w:sz w:val="21"/>
          <w:szCs w:val="21"/>
        </w:rPr>
        <w:t>Raised data corrections through ServiceNow change records, so fixes landed on a scheduled release rather than ad hoc.</w:t>
      </w:r>
    </w:p>
    <w:p w14:paraId="4B67EC0F" w14:textId="77777777" w:rsidR="005450B0" w:rsidRDefault="00000000">
      <w:pPr>
        <w:spacing w:before="60" w:after="40"/>
        <w:jc w:val="both"/>
      </w:pPr>
      <w:r>
        <w:rPr>
          <w:rFonts w:ascii="Calibri" w:eastAsia="Calibri" w:hAnsi="Calibri" w:cs="Calibri"/>
          <w:b/>
          <w:bCs/>
          <w:sz w:val="19"/>
          <w:szCs w:val="19"/>
        </w:rPr>
        <w:t xml:space="preserve">Environment: </w:t>
      </w:r>
      <w:r>
        <w:rPr>
          <w:rFonts w:ascii="Calibri" w:eastAsia="Calibri" w:hAnsi="Calibri" w:cs="Calibri"/>
          <w:sz w:val="19"/>
          <w:szCs w:val="19"/>
        </w:rPr>
        <w:t>Amazon Redshift, Amazon S3, AWS Glue, AWS Lambda, Amazon CloudWatch, AWS IAM, Databricks on AWS, Informatica PowerCenter, Oracle, SAS, Tableau, SQL, Python, ServiceNow, Amazon Web Services.</w:t>
      </w:r>
    </w:p>
    <w:p w14:paraId="6CD7D0B7" w14:textId="77777777" w:rsidR="005450B0" w:rsidRDefault="00000000">
      <w:pPr>
        <w:tabs>
          <w:tab w:val="right" w:pos="10800"/>
        </w:tabs>
        <w:spacing w:before="220"/>
      </w:pPr>
      <w:r>
        <w:rPr>
          <w:rFonts w:ascii="Calibri" w:eastAsia="Calibri" w:hAnsi="Calibri" w:cs="Calibri"/>
          <w:b/>
          <w:bCs/>
          <w:sz w:val="21"/>
          <w:szCs w:val="21"/>
        </w:rPr>
        <w:t>Associate Data Analyst, Apollo Hospitals</w:t>
      </w:r>
      <w:r>
        <w:rPr>
          <w:rFonts w:ascii="Calibri" w:eastAsia="Calibri" w:hAnsi="Calibri" w:cs="Calibri"/>
          <w:sz w:val="21"/>
          <w:szCs w:val="21"/>
        </w:rPr>
        <w:tab/>
      </w:r>
      <w:r>
        <w:rPr>
          <w:rFonts w:ascii="Calibri" w:eastAsia="Calibri" w:hAnsi="Calibri" w:cs="Calibri"/>
          <w:b/>
          <w:bCs/>
          <w:sz w:val="19"/>
          <w:szCs w:val="19"/>
        </w:rPr>
        <w:t>April 2017 to November 2019</w:t>
      </w:r>
    </w:p>
    <w:p w14:paraId="2E6EF172" w14:textId="6AB95A25" w:rsidR="005450B0" w:rsidRDefault="00B35DCE">
      <w:pPr>
        <w:spacing w:after="60"/>
      </w:pPr>
      <w:r>
        <w:rPr>
          <w:rFonts w:ascii="Calibri" w:eastAsia="Calibri" w:hAnsi="Calibri" w:cs="Calibri"/>
          <w:i/>
          <w:iCs/>
          <w:sz w:val="19"/>
          <w:szCs w:val="19"/>
        </w:rPr>
        <w:t>Bangalore, India</w:t>
      </w:r>
    </w:p>
    <w:p w14:paraId="71316AB8" w14:textId="77777777" w:rsidR="005450B0" w:rsidRDefault="00000000">
      <w:pPr>
        <w:spacing w:after="70"/>
        <w:jc w:val="both"/>
      </w:pPr>
      <w:r>
        <w:rPr>
          <w:rFonts w:ascii="Calibri" w:eastAsia="Calibri" w:hAnsi="Calibri" w:cs="Calibri"/>
          <w:sz w:val="21"/>
          <w:szCs w:val="21"/>
        </w:rPr>
        <w:t>Prepared clinical and operational reporting for hospital administrators covering master health check programs, bed occupancy and pharmacy stock movement, drawing from the hospital information system into an Azure reporting environment. The reporting supported daily unit level operations review and the preventive cardiac screening program run with a technology partner.</w:t>
      </w:r>
    </w:p>
    <w:p w14:paraId="0FD7F98D" w14:textId="77777777" w:rsidR="005450B0" w:rsidRDefault="00000000">
      <w:pPr>
        <w:pStyle w:val="ListParagraph"/>
        <w:numPr>
          <w:ilvl w:val="0"/>
          <w:numId w:val="2"/>
        </w:numPr>
        <w:spacing w:after="60"/>
        <w:jc w:val="both"/>
      </w:pPr>
      <w:r>
        <w:rPr>
          <w:rFonts w:ascii="Calibri" w:eastAsia="Calibri" w:hAnsi="Calibri" w:cs="Calibri"/>
          <w:sz w:val="21"/>
          <w:szCs w:val="21"/>
        </w:rPr>
        <w:t>Wrote Transact-SQL against Microsoft SQL Server tables in the hospital information system to produce daily admission, discharge and bed occupancy reporting for unit administrators across the network.</w:t>
      </w:r>
    </w:p>
    <w:p w14:paraId="6B8D4E7E" w14:textId="77777777" w:rsidR="005450B0" w:rsidRDefault="00000000">
      <w:pPr>
        <w:pStyle w:val="ListParagraph"/>
        <w:numPr>
          <w:ilvl w:val="0"/>
          <w:numId w:val="2"/>
        </w:numPr>
        <w:spacing w:after="60"/>
        <w:jc w:val="both"/>
      </w:pPr>
      <w:r>
        <w:rPr>
          <w:rFonts w:ascii="Calibri" w:eastAsia="Calibri" w:hAnsi="Calibri" w:cs="Calibri"/>
          <w:sz w:val="21"/>
          <w:szCs w:val="21"/>
        </w:rPr>
        <w:t>Consolidated laboratory, radiology and pharmacy extracts into a reporting database on a nightly SSIS schedule, replacing spreadsheets that ward clerks compiled by hand.</w:t>
      </w:r>
    </w:p>
    <w:p w14:paraId="2709216D" w14:textId="77777777" w:rsidR="005450B0" w:rsidRDefault="00000000">
      <w:pPr>
        <w:pStyle w:val="ListParagraph"/>
        <w:numPr>
          <w:ilvl w:val="0"/>
          <w:numId w:val="2"/>
        </w:numPr>
        <w:spacing w:after="60"/>
        <w:jc w:val="both"/>
      </w:pPr>
      <w:r>
        <w:rPr>
          <w:rFonts w:ascii="Calibri" w:eastAsia="Calibri" w:hAnsi="Calibri" w:cs="Calibri"/>
          <w:sz w:val="21"/>
          <w:szCs w:val="21"/>
        </w:rPr>
        <w:t>Loaded curated health check and clinical extracts into Azure SQL Database with source files staged in Azure Blob Storage, so late corrections could be reprocessed without disturbing published reports.</w:t>
      </w:r>
    </w:p>
    <w:p w14:paraId="24540A92" w14:textId="13EC8502" w:rsidR="005450B0" w:rsidRDefault="00C53FD9">
      <w:pPr>
        <w:pStyle w:val="ListParagraph"/>
        <w:numPr>
          <w:ilvl w:val="0"/>
          <w:numId w:val="2"/>
        </w:numPr>
        <w:spacing w:after="60"/>
        <w:jc w:val="both"/>
      </w:pPr>
      <w:r w:rsidRPr="00C53FD9">
        <w:rPr>
          <w:rFonts w:ascii="Calibri" w:eastAsia="Calibri" w:hAnsi="Calibri" w:cs="Calibri"/>
          <w:sz w:val="21"/>
          <w:szCs w:val="21"/>
        </w:rPr>
        <w:t>Profiled admission, discharge, pharmacy, and billing datasets using SQL to identify missing records and data quality issues before reporting.</w:t>
      </w:r>
    </w:p>
    <w:p w14:paraId="472650D1" w14:textId="77777777" w:rsidR="005450B0" w:rsidRDefault="00000000">
      <w:pPr>
        <w:pStyle w:val="ListParagraph"/>
        <w:numPr>
          <w:ilvl w:val="0"/>
          <w:numId w:val="2"/>
        </w:numPr>
        <w:spacing w:after="60"/>
        <w:jc w:val="both"/>
      </w:pPr>
      <w:r>
        <w:rPr>
          <w:rFonts w:ascii="Calibri" w:eastAsia="Calibri" w:hAnsi="Calibri" w:cs="Calibri"/>
          <w:sz w:val="21"/>
          <w:szCs w:val="21"/>
        </w:rPr>
        <w:t>Prepared de identified health check datasets for the preventive cardiac screening program scored on Azure Machine Learning Studio, checking vitals and lifestyle field completeness before handover.</w:t>
      </w:r>
    </w:p>
    <w:p w14:paraId="23F72A3C" w14:textId="77777777" w:rsidR="005450B0" w:rsidRDefault="00000000">
      <w:pPr>
        <w:pStyle w:val="ListParagraph"/>
        <w:numPr>
          <w:ilvl w:val="0"/>
          <w:numId w:val="2"/>
        </w:numPr>
        <w:spacing w:after="60"/>
        <w:jc w:val="both"/>
      </w:pPr>
      <w:r>
        <w:rPr>
          <w:rFonts w:ascii="Calibri" w:eastAsia="Calibri" w:hAnsi="Calibri" w:cs="Calibri"/>
          <w:sz w:val="21"/>
          <w:szCs w:val="21"/>
        </w:rPr>
        <w:lastRenderedPageBreak/>
        <w:t>Published Power BI reports on theatre utilization, average length of stay and outpatient volumes for hospital leadership review.</w:t>
      </w:r>
    </w:p>
    <w:p w14:paraId="5C1BFE23" w14:textId="77777777" w:rsidR="005450B0" w:rsidRDefault="00000000">
      <w:pPr>
        <w:pStyle w:val="ListParagraph"/>
        <w:numPr>
          <w:ilvl w:val="0"/>
          <w:numId w:val="2"/>
        </w:numPr>
        <w:spacing w:after="60"/>
        <w:jc w:val="both"/>
      </w:pPr>
      <w:r>
        <w:rPr>
          <w:rFonts w:ascii="Calibri" w:eastAsia="Calibri" w:hAnsi="Calibri" w:cs="Calibri"/>
          <w:sz w:val="21"/>
          <w:szCs w:val="21"/>
        </w:rPr>
        <w:t>Built SSRS outputs for pharmacy stock movement and expiry tracking used by store managers across units.</w:t>
      </w:r>
    </w:p>
    <w:p w14:paraId="38F1635A" w14:textId="77777777" w:rsidR="005450B0" w:rsidRDefault="00000000">
      <w:pPr>
        <w:pStyle w:val="ListParagraph"/>
        <w:numPr>
          <w:ilvl w:val="0"/>
          <w:numId w:val="2"/>
        </w:numPr>
        <w:spacing w:after="60"/>
        <w:jc w:val="both"/>
      </w:pPr>
      <w:r>
        <w:rPr>
          <w:rFonts w:ascii="Calibri" w:eastAsia="Calibri" w:hAnsi="Calibri" w:cs="Calibri"/>
          <w:sz w:val="21"/>
          <w:szCs w:val="21"/>
        </w:rPr>
        <w:t>Analyzed third party administrator claim settlement delays in SQL, showing where missing discharge documentation extended payment cycles on insurance backed admissions.</w:t>
      </w:r>
    </w:p>
    <w:p w14:paraId="1F7D36FC" w14:textId="77777777" w:rsidR="005450B0" w:rsidRDefault="00000000">
      <w:pPr>
        <w:pStyle w:val="ListParagraph"/>
        <w:numPr>
          <w:ilvl w:val="0"/>
          <w:numId w:val="2"/>
        </w:numPr>
        <w:spacing w:after="60"/>
        <w:jc w:val="both"/>
      </w:pPr>
      <w:r>
        <w:rPr>
          <w:rFonts w:ascii="Calibri" w:eastAsia="Calibri" w:hAnsi="Calibri" w:cs="Calibri"/>
          <w:sz w:val="21"/>
          <w:szCs w:val="21"/>
        </w:rPr>
        <w:t>Investigated recurring nightly load failures caused by locked source tables, adjusting extraction windows and confirming corrected data ahead of morning reporting.</w:t>
      </w:r>
    </w:p>
    <w:p w14:paraId="21B3195F" w14:textId="64C3C943" w:rsidR="005450B0" w:rsidRDefault="00C53FD9">
      <w:pPr>
        <w:pStyle w:val="ListParagraph"/>
        <w:numPr>
          <w:ilvl w:val="0"/>
          <w:numId w:val="2"/>
        </w:numPr>
        <w:spacing w:after="60"/>
        <w:jc w:val="both"/>
      </w:pPr>
      <w:r w:rsidRPr="00C53FD9">
        <w:rPr>
          <w:rFonts w:ascii="Calibri" w:eastAsia="Calibri" w:hAnsi="Calibri" w:cs="Calibri"/>
          <w:sz w:val="21"/>
          <w:szCs w:val="21"/>
        </w:rPr>
        <w:t>Conducted user acceptance testing with hospital administrators and department managers before operational dashboards were released.</w:t>
      </w:r>
    </w:p>
    <w:p w14:paraId="6EE11159" w14:textId="77777777" w:rsidR="005450B0" w:rsidRDefault="00000000">
      <w:pPr>
        <w:pStyle w:val="ListParagraph"/>
        <w:numPr>
          <w:ilvl w:val="0"/>
          <w:numId w:val="2"/>
        </w:numPr>
        <w:spacing w:after="60"/>
        <w:jc w:val="both"/>
      </w:pPr>
      <w:r>
        <w:rPr>
          <w:rFonts w:ascii="Calibri" w:eastAsia="Calibri" w:hAnsi="Calibri" w:cs="Calibri"/>
          <w:sz w:val="21"/>
          <w:szCs w:val="21"/>
        </w:rPr>
        <w:t>Modeled department level revenue and expense summaries in Microsoft Excel for heads of department who worked outside the reporting portal.</w:t>
      </w:r>
    </w:p>
    <w:p w14:paraId="4B637A3E" w14:textId="075F193E" w:rsidR="005450B0" w:rsidRDefault="00C53FD9">
      <w:pPr>
        <w:pStyle w:val="ListParagraph"/>
        <w:numPr>
          <w:ilvl w:val="0"/>
          <w:numId w:val="2"/>
        </w:numPr>
        <w:spacing w:after="60"/>
        <w:jc w:val="both"/>
      </w:pPr>
      <w:r w:rsidRPr="00C53FD9">
        <w:rPr>
          <w:rFonts w:ascii="Calibri" w:eastAsia="Calibri" w:hAnsi="Calibri" w:cs="Calibri"/>
          <w:sz w:val="21"/>
          <w:szCs w:val="21"/>
        </w:rPr>
        <w:t>Gathered reporting requirements from clinical departments, billing teams, and hospital leadership, documenting KPI definitions and business rules for future reporting enhancements.</w:t>
      </w:r>
    </w:p>
    <w:p w14:paraId="4255808E" w14:textId="77777777" w:rsidR="005450B0" w:rsidRDefault="00000000">
      <w:pPr>
        <w:spacing w:before="60" w:after="40"/>
        <w:jc w:val="both"/>
      </w:pPr>
      <w:r>
        <w:rPr>
          <w:rFonts w:ascii="Calibri" w:eastAsia="Calibri" w:hAnsi="Calibri" w:cs="Calibri"/>
          <w:b/>
          <w:bCs/>
          <w:sz w:val="19"/>
          <w:szCs w:val="19"/>
        </w:rPr>
        <w:t xml:space="preserve">Environment: </w:t>
      </w:r>
      <w:r>
        <w:rPr>
          <w:rFonts w:ascii="Calibri" w:eastAsia="Calibri" w:hAnsi="Calibri" w:cs="Calibri"/>
          <w:sz w:val="19"/>
          <w:szCs w:val="19"/>
        </w:rPr>
        <w:t>Microsoft SQL Server, Transact-SQL, SSIS, SSRS, Azure SQL Database, Azure Blob Storage, Azure Data Factory, Azure Machine Learning Studio, Power BI, Microsoft Excel, Microsoft Azure.</w:t>
      </w:r>
    </w:p>
    <w:p w14:paraId="65318DDE" w14:textId="77777777" w:rsidR="005450B0" w:rsidRDefault="00000000">
      <w:pPr>
        <w:pBdr>
          <w:bottom w:val="single" w:sz="6" w:space="2" w:color="404040"/>
        </w:pBdr>
        <w:spacing w:before="220" w:after="100"/>
      </w:pPr>
      <w:r>
        <w:rPr>
          <w:rFonts w:ascii="Calibri" w:eastAsia="Calibri" w:hAnsi="Calibri" w:cs="Calibri"/>
          <w:b/>
          <w:bCs/>
          <w:color w:val="000000"/>
          <w:spacing w:val="30"/>
          <w:sz w:val="21"/>
          <w:szCs w:val="21"/>
        </w:rPr>
        <w:t>EDUCATION</w:t>
      </w:r>
    </w:p>
    <w:p w14:paraId="391C6606" w14:textId="02687DCC" w:rsidR="005450B0" w:rsidRDefault="00000000">
      <w:pPr>
        <w:spacing w:after="40"/>
      </w:pPr>
      <w:r>
        <w:rPr>
          <w:rFonts w:ascii="Calibri" w:eastAsia="Calibri" w:hAnsi="Calibri" w:cs="Calibri"/>
          <w:sz w:val="21"/>
          <w:szCs w:val="21"/>
        </w:rPr>
        <w:t xml:space="preserve">Bachelor of </w:t>
      </w:r>
      <w:r w:rsidR="00B35DCE">
        <w:rPr>
          <w:rFonts w:ascii="Calibri" w:eastAsia="Calibri" w:hAnsi="Calibri" w:cs="Calibri"/>
          <w:sz w:val="21"/>
          <w:szCs w:val="21"/>
        </w:rPr>
        <w:t>Technology</w:t>
      </w:r>
      <w:r>
        <w:rPr>
          <w:rFonts w:ascii="Calibri" w:eastAsia="Calibri" w:hAnsi="Calibri" w:cs="Calibri"/>
          <w:sz w:val="21"/>
          <w:szCs w:val="21"/>
        </w:rPr>
        <w:t xml:space="preserve">, </w:t>
      </w:r>
      <w:r w:rsidR="00B35DCE">
        <w:rPr>
          <w:rFonts w:ascii="Calibri" w:eastAsia="Calibri" w:hAnsi="Calibri" w:cs="Calibri"/>
          <w:sz w:val="21"/>
          <w:szCs w:val="21"/>
        </w:rPr>
        <w:t>Computer Science</w:t>
      </w:r>
      <w:r>
        <w:rPr>
          <w:rFonts w:ascii="Calibri" w:eastAsia="Calibri" w:hAnsi="Calibri" w:cs="Calibri"/>
          <w:sz w:val="21"/>
          <w:szCs w:val="21"/>
        </w:rPr>
        <w:t xml:space="preserve">, </w:t>
      </w:r>
      <w:r w:rsidR="00B35DCE">
        <w:rPr>
          <w:rFonts w:ascii="Calibri" w:eastAsia="Calibri" w:hAnsi="Calibri" w:cs="Calibri"/>
          <w:sz w:val="21"/>
          <w:szCs w:val="21"/>
        </w:rPr>
        <w:t>LPU University</w:t>
      </w:r>
      <w:r>
        <w:rPr>
          <w:rFonts w:ascii="Calibri" w:eastAsia="Calibri" w:hAnsi="Calibri" w:cs="Calibri"/>
          <w:sz w:val="21"/>
          <w:szCs w:val="21"/>
        </w:rPr>
        <w:t xml:space="preserve">, </w:t>
      </w:r>
      <w:r w:rsidR="00B35DCE">
        <w:rPr>
          <w:rFonts w:ascii="Calibri" w:eastAsia="Calibri" w:hAnsi="Calibri" w:cs="Calibri"/>
          <w:sz w:val="21"/>
          <w:szCs w:val="21"/>
        </w:rPr>
        <w:t>Punjab</w:t>
      </w:r>
      <w:r>
        <w:rPr>
          <w:rFonts w:ascii="Calibri" w:eastAsia="Calibri" w:hAnsi="Calibri" w:cs="Calibri"/>
          <w:sz w:val="21"/>
          <w:szCs w:val="21"/>
        </w:rPr>
        <w:t xml:space="preserve">, </w:t>
      </w:r>
      <w:r w:rsidR="00B35DCE">
        <w:rPr>
          <w:rFonts w:ascii="Calibri" w:eastAsia="Calibri" w:hAnsi="Calibri" w:cs="Calibri"/>
          <w:sz w:val="21"/>
          <w:szCs w:val="21"/>
        </w:rPr>
        <w:t>2017</w:t>
      </w:r>
    </w:p>
    <w:sectPr w:rsidR="005450B0">
      <w:pgSz w:w="12240" w:h="15840"/>
      <w:pgMar w:top="700" w:right="720" w:bottom="7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00321"/>
    <w:multiLevelType w:val="hybridMultilevel"/>
    <w:tmpl w:val="7FDA59D2"/>
    <w:lvl w:ilvl="0" w:tplc="5A54D00A">
      <w:start w:val="1"/>
      <w:numFmt w:val="bullet"/>
      <w:lvlText w:val="●"/>
      <w:lvlJc w:val="left"/>
      <w:pPr>
        <w:ind w:left="720" w:hanging="360"/>
      </w:pPr>
    </w:lvl>
    <w:lvl w:ilvl="1" w:tplc="8B2E0190">
      <w:start w:val="1"/>
      <w:numFmt w:val="bullet"/>
      <w:lvlText w:val="○"/>
      <w:lvlJc w:val="left"/>
      <w:pPr>
        <w:ind w:left="1440" w:hanging="360"/>
      </w:pPr>
    </w:lvl>
    <w:lvl w:ilvl="2" w:tplc="59C8B49E">
      <w:start w:val="1"/>
      <w:numFmt w:val="bullet"/>
      <w:lvlText w:val="■"/>
      <w:lvlJc w:val="left"/>
      <w:pPr>
        <w:ind w:left="2160" w:hanging="360"/>
      </w:pPr>
    </w:lvl>
    <w:lvl w:ilvl="3" w:tplc="BC405552">
      <w:start w:val="1"/>
      <w:numFmt w:val="bullet"/>
      <w:lvlText w:val="●"/>
      <w:lvlJc w:val="left"/>
      <w:pPr>
        <w:ind w:left="2880" w:hanging="360"/>
      </w:pPr>
    </w:lvl>
    <w:lvl w:ilvl="4" w:tplc="8B44491C">
      <w:start w:val="1"/>
      <w:numFmt w:val="bullet"/>
      <w:lvlText w:val="○"/>
      <w:lvlJc w:val="left"/>
      <w:pPr>
        <w:ind w:left="3600" w:hanging="360"/>
      </w:pPr>
    </w:lvl>
    <w:lvl w:ilvl="5" w:tplc="40266136">
      <w:start w:val="1"/>
      <w:numFmt w:val="bullet"/>
      <w:lvlText w:val="■"/>
      <w:lvlJc w:val="left"/>
      <w:pPr>
        <w:ind w:left="4320" w:hanging="360"/>
      </w:pPr>
    </w:lvl>
    <w:lvl w:ilvl="6" w:tplc="E7F40EF0">
      <w:start w:val="1"/>
      <w:numFmt w:val="bullet"/>
      <w:lvlText w:val="●"/>
      <w:lvlJc w:val="left"/>
      <w:pPr>
        <w:ind w:left="5040" w:hanging="360"/>
      </w:pPr>
    </w:lvl>
    <w:lvl w:ilvl="7" w:tplc="68BEC3AA">
      <w:start w:val="1"/>
      <w:numFmt w:val="bullet"/>
      <w:lvlText w:val="●"/>
      <w:lvlJc w:val="left"/>
      <w:pPr>
        <w:ind w:left="5760" w:hanging="360"/>
      </w:pPr>
    </w:lvl>
    <w:lvl w:ilvl="8" w:tplc="D13A4662">
      <w:start w:val="1"/>
      <w:numFmt w:val="bullet"/>
      <w:lvlText w:val="●"/>
      <w:lvlJc w:val="left"/>
      <w:pPr>
        <w:ind w:left="6480" w:hanging="360"/>
      </w:pPr>
    </w:lvl>
  </w:abstractNum>
  <w:abstractNum w:abstractNumId="1" w15:restartNumberingAfterBreak="0">
    <w:nsid w:val="584751D9"/>
    <w:multiLevelType w:val="hybridMultilevel"/>
    <w:tmpl w:val="6C406F20"/>
    <w:lvl w:ilvl="0" w:tplc="8F66B56E">
      <w:start w:val="1"/>
      <w:numFmt w:val="bullet"/>
      <w:lvlText w:val="•"/>
      <w:lvlJc w:val="left"/>
      <w:pPr>
        <w:ind w:left="245" w:hanging="175"/>
      </w:pPr>
    </w:lvl>
    <w:lvl w:ilvl="1" w:tplc="C9566B2A">
      <w:numFmt w:val="decimal"/>
      <w:lvlText w:val=""/>
      <w:lvlJc w:val="left"/>
    </w:lvl>
    <w:lvl w:ilvl="2" w:tplc="97786F5C">
      <w:numFmt w:val="decimal"/>
      <w:lvlText w:val=""/>
      <w:lvlJc w:val="left"/>
    </w:lvl>
    <w:lvl w:ilvl="3" w:tplc="9D1EF4D8">
      <w:numFmt w:val="decimal"/>
      <w:lvlText w:val=""/>
      <w:lvlJc w:val="left"/>
    </w:lvl>
    <w:lvl w:ilvl="4" w:tplc="8B18B8C8">
      <w:numFmt w:val="decimal"/>
      <w:lvlText w:val=""/>
      <w:lvlJc w:val="left"/>
    </w:lvl>
    <w:lvl w:ilvl="5" w:tplc="41B63A92">
      <w:numFmt w:val="decimal"/>
      <w:lvlText w:val=""/>
      <w:lvlJc w:val="left"/>
    </w:lvl>
    <w:lvl w:ilvl="6" w:tplc="6C686D94">
      <w:numFmt w:val="decimal"/>
      <w:lvlText w:val=""/>
      <w:lvlJc w:val="left"/>
    </w:lvl>
    <w:lvl w:ilvl="7" w:tplc="2D3CB2C6">
      <w:numFmt w:val="decimal"/>
      <w:lvlText w:val=""/>
      <w:lvlJc w:val="left"/>
    </w:lvl>
    <w:lvl w:ilvl="8" w:tplc="D8A6EF5E">
      <w:numFmt w:val="decimal"/>
      <w:lvlText w:val=""/>
      <w:lvlJc w:val="left"/>
    </w:lvl>
  </w:abstractNum>
  <w:num w:numId="1" w16cid:durableId="1447045374">
    <w:abstractNumId w:val="0"/>
    <w:lvlOverride w:ilvl="0">
      <w:startOverride w:val="1"/>
    </w:lvlOverride>
  </w:num>
  <w:num w:numId="2" w16cid:durableId="692267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B0"/>
    <w:rsid w:val="001F2ED5"/>
    <w:rsid w:val="00430C75"/>
    <w:rsid w:val="005450B0"/>
    <w:rsid w:val="005C0DFE"/>
    <w:rsid w:val="006B444C"/>
    <w:rsid w:val="00B35DCE"/>
    <w:rsid w:val="00BB2D50"/>
    <w:rsid w:val="00C53FD9"/>
    <w:rsid w:val="00D57845"/>
    <w:rsid w:val="00E53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3C56"/>
  <w15:docId w15:val="{02576320-100E-4846-9351-72335FBB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Mangalpawar</cp:lastModifiedBy>
  <cp:revision>3</cp:revision>
  <dcterms:created xsi:type="dcterms:W3CDTF">2026-07-22T19:28:00Z</dcterms:created>
  <dcterms:modified xsi:type="dcterms:W3CDTF">2026-08-18T13:38:00Z</dcterms:modified>
</cp:coreProperties>
</file>