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SANGEETHA S</w:t>
      </w:r>
    </w:p>
    <w:p>
      <w:pPr>
        <w:spacing w:after="120"/>
        <w:jc w:val="center"/>
      </w:pPr>
      <w:r>
        <w:rPr>
          <w:i/>
          <w:iCs/>
          <w:color w:val="555555"/>
          <w:sz w:val="22"/>
          <w:szCs w:val="22"/>
        </w:rPr>
        <w:t xml:space="preserve">DevOps Engineer / SRE — AWS &amp; Azure Infrastructure, CI/CD, Observability</w:t>
      </w:r>
    </w:p>
    <w:p>
      <w:pPr>
        <w:spacing w:after="200"/>
        <w:jc w:val="center"/>
      </w:pPr>
      <w:r>
        <w:rPr>
          <w:color w:val="555555"/>
          <w:sz w:val="18"/>
          <w:szCs w:val="18"/>
        </w:rPr>
        <w:t xml:space="preserve">(214) 899-9917  |  sanjosie2024@gmail.com  |  linkedin.com/in/sangeetha-devops  |  H-1B, open to transfer  |  Available immediately</w:t>
      </w:r>
    </w:p>
    <w:p>
      <w:pPr>
        <w:pBdr>
          <w:bottom w:val="single" w:color="1F3864" w:sz="6" w:space="2"/>
        </w:pBdr>
        <w:spacing w:after="100" w:before="240"/>
      </w:pPr>
      <w:r>
        <w:rPr>
          <w:b/>
          <w:bCs/>
          <w:color w:val="1F3864"/>
          <w:sz w:val="22"/>
          <w:szCs w:val="22"/>
        </w:rPr>
        <w:t xml:space="preserve">SUMMARY</w:t>
      </w:r>
    </w:p>
    <w:p>
      <w:pPr>
        <w:spacing w:after="160"/>
      </w:pPr>
      <w:r>
        <w:rPr>
          <w:sz w:val="21"/>
          <w:szCs w:val="21"/>
        </w:rPr>
        <w:t xml:space="preserve">DevOps/SRE engineer with 5+ years running production infrastructure on AWS and Azure. Most of that time has been on the operational side — building the pipelines, monitoring stacks, and automation that keep production applications up and let other engineers ship without babysitting deployments. I'd rather fix the root cause than patch the symptom, which is probably why RCA and runbook work keeps showing up across every role below. Certified as an AWS DevOps Engineer (Professional), AWS Solutions Architect (Associate), and Azure Administrator (AZ-104).</w:t>
      </w:r>
    </w:p>
    <w:p>
      <w:pPr>
        <w:pBdr>
          <w:bottom w:val="single" w:color="1F3864" w:sz="6" w:space="2"/>
        </w:pBdr>
        <w:spacing w:after="100" w:before="240"/>
      </w:pPr>
      <w:r>
        <w:rPr>
          <w:b/>
          <w:bCs/>
          <w:color w:val="1F3864"/>
          <w:sz w:val="22"/>
          <w:szCs w:val="22"/>
        </w:rPr>
        <w:t xml:space="preserve">TECHNICAL SKILLS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shd w:fill="F2F2F2" w:val="clear"/>
            <w:tcMar>
              <w:top w:type="dxa" w:w="60"/>
              <w:left w:type="dxa" w:w="100"/>
              <w:bottom w:type="dxa" w:w="60"/>
              <w:right w:type="dxa" w:w="100"/>
            </w:tcMar>
          </w:tcPr>
          <w:p>
            <w:r>
              <w:rPr>
                <w:b/>
                <w:bCs/>
                <w:sz w:val="19"/>
                <w:szCs w:val="19"/>
              </w:rPr>
              <w:t xml:space="preserve">Cloud</w:t>
            </w:r>
          </w:p>
        </w:tc>
        <w:tc>
          <w:tcPr>
            <w:tcW w:type="dxa" w:w="7600"/>
            <w:tcMar>
              <w:top w:type="dxa" w:w="60"/>
              <w:left w:type="dxa" w:w="100"/>
              <w:bottom w:type="dxa" w:w="60"/>
              <w:right w:type="dxa" w:w="100"/>
            </w:tcMar>
          </w:tcPr>
          <w:p>
            <w:r>
              <w:rPr>
                <w:sz w:val="19"/>
                <w:szCs w:val="19"/>
              </w:rPr>
              <w:t xml:space="preserve">AWS (EC2, S3, RDS, VPC, IAM, ELB, Route 53, Auto Scaling, CloudWatch, Systems Manager, CodePipeline), Azure (AKS, Azure DevOps, Monitor, Log Analytics), some GCP</w:t>
            </w:r>
          </w:p>
        </w:tc>
      </w:tr>
      <w:tr>
        <w:tc>
          <w:tcPr>
            <w:tcW w:type="dxa" w:w="2400"/>
            <w:shd w:fill="F2F2F2" w:val="clear"/>
            <w:tcMar>
              <w:top w:type="dxa" w:w="60"/>
              <w:left w:type="dxa" w:w="100"/>
              <w:bottom w:type="dxa" w:w="60"/>
              <w:right w:type="dxa" w:w="100"/>
            </w:tcMar>
          </w:tcPr>
          <w:p>
            <w:r>
              <w:rPr>
                <w:b/>
                <w:bCs/>
                <w:sz w:val="19"/>
                <w:szCs w:val="19"/>
              </w:rPr>
              <w:t xml:space="preserve">Containers</w:t>
            </w:r>
          </w:p>
        </w:tc>
        <w:tc>
          <w:tcPr>
            <w:tcW w:type="dxa" w:w="7600"/>
            <w:tcMar>
              <w:top w:type="dxa" w:w="60"/>
              <w:left w:type="dxa" w:w="100"/>
              <w:bottom w:type="dxa" w:w="60"/>
              <w:right w:type="dxa" w:w="100"/>
            </w:tcMar>
          </w:tcPr>
          <w:p>
            <w:r>
              <w:rPr>
                <w:sz w:val="19"/>
                <w:szCs w:val="19"/>
              </w:rPr>
              <w:t xml:space="preserve">Kubernetes (EKS, AKS), Docker, Helm, pod autoscaling, namespace/resource-quota policy</w:t>
            </w:r>
          </w:p>
        </w:tc>
      </w:tr>
      <w:tr>
        <w:tc>
          <w:tcPr>
            <w:tcW w:type="dxa" w:w="2400"/>
            <w:shd w:fill="F2F2F2" w:val="clear"/>
            <w:tcMar>
              <w:top w:type="dxa" w:w="60"/>
              <w:left w:type="dxa" w:w="100"/>
              <w:bottom w:type="dxa" w:w="60"/>
              <w:right w:type="dxa" w:w="100"/>
            </w:tcMar>
          </w:tcPr>
          <w:p>
            <w:r>
              <w:rPr>
                <w:b/>
                <w:bCs/>
                <w:sz w:val="19"/>
                <w:szCs w:val="19"/>
              </w:rPr>
              <w:t xml:space="preserve">CI/CD</w:t>
            </w:r>
          </w:p>
        </w:tc>
        <w:tc>
          <w:tcPr>
            <w:tcW w:type="dxa" w:w="7600"/>
            <w:tcMar>
              <w:top w:type="dxa" w:w="60"/>
              <w:left w:type="dxa" w:w="100"/>
              <w:bottom w:type="dxa" w:w="60"/>
              <w:right w:type="dxa" w:w="100"/>
            </w:tcMar>
          </w:tcPr>
          <w:p>
            <w:r>
              <w:rPr>
                <w:sz w:val="19"/>
                <w:szCs w:val="19"/>
              </w:rPr>
              <w:t xml:space="preserve">Jenkins (Groovy), Azure DevOps Pipelines, GitHub Actions, ArgoCD, AWS CodePipeline, SonarQube, Maven</w:t>
            </w:r>
          </w:p>
        </w:tc>
      </w:tr>
      <w:tr>
        <w:tc>
          <w:tcPr>
            <w:tcW w:type="dxa" w:w="2400"/>
            <w:shd w:fill="F2F2F2" w:val="clear"/>
            <w:tcMar>
              <w:top w:type="dxa" w:w="60"/>
              <w:left w:type="dxa" w:w="100"/>
              <w:bottom w:type="dxa" w:w="60"/>
              <w:right w:type="dxa" w:w="100"/>
            </w:tcMar>
          </w:tcPr>
          <w:p>
            <w:r>
              <w:rPr>
                <w:b/>
                <w:bCs/>
                <w:sz w:val="19"/>
                <w:szCs w:val="19"/>
              </w:rPr>
              <w:t xml:space="preserve">IaC &amp; Config</w:t>
            </w:r>
          </w:p>
        </w:tc>
        <w:tc>
          <w:tcPr>
            <w:tcW w:type="dxa" w:w="7600"/>
            <w:tcMar>
              <w:top w:type="dxa" w:w="60"/>
              <w:left w:type="dxa" w:w="100"/>
              <w:bottom w:type="dxa" w:w="60"/>
              <w:right w:type="dxa" w:w="100"/>
            </w:tcMar>
          </w:tcPr>
          <w:p>
            <w:r>
              <w:rPr>
                <w:sz w:val="19"/>
                <w:szCs w:val="19"/>
              </w:rPr>
              <w:t xml:space="preserve">Terraform (multi-environment modules), Ansible, Puppet, policy-as-code</w:t>
            </w:r>
          </w:p>
        </w:tc>
      </w:tr>
      <w:tr>
        <w:tc>
          <w:tcPr>
            <w:tcW w:type="dxa" w:w="2400"/>
            <w:shd w:fill="F2F2F2" w:val="clear"/>
            <w:tcMar>
              <w:top w:type="dxa" w:w="60"/>
              <w:left w:type="dxa" w:w="100"/>
              <w:bottom w:type="dxa" w:w="60"/>
              <w:right w:type="dxa" w:w="100"/>
            </w:tcMar>
          </w:tcPr>
          <w:p>
            <w:r>
              <w:rPr>
                <w:b/>
                <w:bCs/>
                <w:sz w:val="19"/>
                <w:szCs w:val="19"/>
              </w:rPr>
              <w:t xml:space="preserve">Observability</w:t>
            </w:r>
          </w:p>
        </w:tc>
        <w:tc>
          <w:tcPr>
            <w:tcW w:type="dxa" w:w="7600"/>
            <w:tcMar>
              <w:top w:type="dxa" w:w="60"/>
              <w:left w:type="dxa" w:w="100"/>
              <w:bottom w:type="dxa" w:w="60"/>
              <w:right w:type="dxa" w:w="100"/>
            </w:tcMar>
          </w:tcPr>
          <w:p>
            <w:r>
              <w:rPr>
                <w:sz w:val="19"/>
                <w:szCs w:val="19"/>
              </w:rPr>
              <w:t xml:space="preserve">Prometheus, Grafana, Dynatrace, Splunk, Azure Log Analytics, CloudWatch, Icinga2, OpenTelemetry, OpsGenie, PagerDuty, ELK</w:t>
            </w:r>
          </w:p>
        </w:tc>
      </w:tr>
      <w:tr>
        <w:tc>
          <w:tcPr>
            <w:tcW w:type="dxa" w:w="2400"/>
            <w:shd w:fill="F2F2F2" w:val="clear"/>
            <w:tcMar>
              <w:top w:type="dxa" w:w="60"/>
              <w:left w:type="dxa" w:w="100"/>
              <w:bottom w:type="dxa" w:w="60"/>
              <w:right w:type="dxa" w:w="100"/>
            </w:tcMar>
          </w:tcPr>
          <w:p>
            <w:r>
              <w:rPr>
                <w:b/>
                <w:bCs/>
                <w:sz w:val="19"/>
                <w:szCs w:val="19"/>
              </w:rPr>
              <w:t xml:space="preserve">Scripting</w:t>
            </w:r>
          </w:p>
        </w:tc>
        <w:tc>
          <w:tcPr>
            <w:tcW w:type="dxa" w:w="7600"/>
            <w:tcMar>
              <w:top w:type="dxa" w:w="60"/>
              <w:left w:type="dxa" w:w="100"/>
              <w:bottom w:type="dxa" w:w="60"/>
              <w:right w:type="dxa" w:w="100"/>
            </w:tcMar>
          </w:tcPr>
          <w:p>
            <w:r>
              <w:rPr>
                <w:sz w:val="19"/>
                <w:szCs w:val="19"/>
              </w:rPr>
              <w:t xml:space="preserve">Python, Bash, PowerShell, Groovy</w:t>
            </w:r>
          </w:p>
        </w:tc>
      </w:tr>
      <w:tr>
        <w:tc>
          <w:tcPr>
            <w:tcW w:type="dxa" w:w="2400"/>
            <w:shd w:fill="F2F2F2" w:val="clear"/>
            <w:tcMar>
              <w:top w:type="dxa" w:w="60"/>
              <w:left w:type="dxa" w:w="100"/>
              <w:bottom w:type="dxa" w:w="60"/>
              <w:right w:type="dxa" w:w="100"/>
            </w:tcMar>
          </w:tcPr>
          <w:p>
            <w:r>
              <w:rPr>
                <w:b/>
                <w:bCs/>
                <w:sz w:val="19"/>
                <w:szCs w:val="19"/>
              </w:rPr>
              <w:t xml:space="preserve">Incident Mgmt</w:t>
            </w:r>
          </w:p>
        </w:tc>
        <w:tc>
          <w:tcPr>
            <w:tcW w:type="dxa" w:w="7600"/>
            <w:tcMar>
              <w:top w:type="dxa" w:w="60"/>
              <w:left w:type="dxa" w:w="100"/>
              <w:bottom w:type="dxa" w:w="60"/>
              <w:right w:type="dxa" w:w="100"/>
            </w:tcMar>
          </w:tcPr>
          <w:p>
            <w:r>
              <w:rPr>
                <w:sz w:val="19"/>
                <w:szCs w:val="19"/>
              </w:rPr>
              <w:t xml:space="preserve">ServiceNow, JIRA, P1–P4 triage, RCA, CAB, on-call rotations, ITIL v4</w:t>
            </w:r>
          </w:p>
        </w:tc>
      </w:tr>
      <w:tr>
        <w:tc>
          <w:tcPr>
            <w:tcW w:type="dxa" w:w="2400"/>
            <w:shd w:fill="F2F2F2" w:val="clear"/>
            <w:tcMar>
              <w:top w:type="dxa" w:w="60"/>
              <w:left w:type="dxa" w:w="100"/>
              <w:bottom w:type="dxa" w:w="60"/>
              <w:right w:type="dxa" w:w="100"/>
            </w:tcMar>
          </w:tcPr>
          <w:p>
            <w:r>
              <w:rPr>
                <w:b/>
                <w:bCs/>
                <w:sz w:val="19"/>
                <w:szCs w:val="19"/>
              </w:rPr>
              <w:t xml:space="preserve">OS / DB</w:t>
            </w:r>
          </w:p>
        </w:tc>
        <w:tc>
          <w:tcPr>
            <w:tcW w:type="dxa" w:w="7600"/>
            <w:tcMar>
              <w:top w:type="dxa" w:w="60"/>
              <w:left w:type="dxa" w:w="100"/>
              <w:bottom w:type="dxa" w:w="60"/>
              <w:right w:type="dxa" w:w="100"/>
            </w:tcMar>
          </w:tcPr>
          <w:p>
            <w:r>
              <w:rPr>
                <w:sz w:val="19"/>
                <w:szCs w:val="19"/>
              </w:rPr>
              <w:t xml:space="preserve">RHEL, Ubuntu, CentOS, Windows Server, PostgreSQL, Oracle SQL</w:t>
            </w:r>
          </w:p>
        </w:tc>
      </w:tr>
    </w:tbl>
    <w:p>
      <w:pPr>
        <w:pBdr>
          <w:bottom w:val="single" w:color="1F3864" w:sz="6" w:space="2"/>
        </w:pBdr>
        <w:spacing w:after="100" w:before="240"/>
      </w:pPr>
      <w:r>
        <w:rPr>
          <w:b/>
          <w:bCs/>
          <w:color w:val="1F3864"/>
          <w:sz w:val="22"/>
          <w:szCs w:val="22"/>
        </w:rPr>
        <w:t xml:space="preserve">PROFESSIONAL EXPERIENCE</w:t>
      </w:r>
    </w:p>
    <w:p>
      <w:pPr>
        <w:spacing w:after="20" w:before="200"/>
      </w:pPr>
      <w:r>
        <w:rPr>
          <w:b/>
          <w:bCs/>
          <w:sz w:val="22"/>
          <w:szCs w:val="22"/>
        </w:rPr>
        <w:t xml:space="preserve">DevOps / SRE Engineer</w:t>
      </w:r>
      <w:r>
        <w:rPr>
          <w:sz w:val="22"/>
          <w:szCs w:val="22"/>
        </w:rPr>
        <w:t xml:space="preserve">  |  iQuantM Technologies — Frisco, TX</w:t>
      </w:r>
    </w:p>
    <w:p>
      <w:pPr>
        <w:spacing w:after="100"/>
      </w:pPr>
      <w:r>
        <w:rPr>
          <w:i/>
          <w:iCs/>
          <w:color w:val="555555"/>
          <w:sz w:val="19"/>
          <w:szCs w:val="19"/>
        </w:rPr>
        <w:t xml:space="preserve">2026 – Present</w:t>
      </w:r>
    </w:p>
    <w:p>
      <w:pPr>
        <w:pStyle w:val="ListParagraph"/>
        <w:numPr>
          <w:ilvl w:val="0"/>
          <w:numId w:val="2"/>
        </w:numPr>
        <w:spacing w:after="60"/>
      </w:pPr>
      <w:r>
        <w:rPr>
          <w:b/>
          <w:bCs/>
          <w:sz w:val="21"/>
          <w:szCs w:val="21"/>
        </w:rPr>
        <w:t xml:space="preserve">Observability: </w:t>
      </w:r>
      <w:r>
        <w:rPr>
          <w:sz w:val="21"/>
          <w:szCs w:val="21"/>
        </w:rPr>
        <w:t xml:space="preserve">pulled Azure Log Analytics, AWS CloudWatch, Splunk, and Dynatrace into one alerting picture for 6 production applications instead of four separate consoles engineers had to check on their own. Automating the L2/L3 escalation path cut MTTR by around 35%.</w:t>
      </w:r>
    </w:p>
    <w:p>
      <w:pPr>
        <w:pStyle w:val="ListParagraph"/>
        <w:numPr>
          <w:ilvl w:val="0"/>
          <w:numId w:val="2"/>
        </w:numPr>
        <w:spacing w:after="60"/>
      </w:pPr>
      <w:r>
        <w:rPr>
          <w:sz w:val="21"/>
          <w:szCs w:val="21"/>
        </w:rPr>
        <w:t xml:space="preserve">Wrote a set of Python and Bash scripts, scheduled through Windows Task Scheduler and CA Autosys, that took over 15+ workflows the team used to do by hand — patch checks, log rotation, health pings — freeing up roughly two days a week of manual work.</w:t>
      </w:r>
    </w:p>
    <w:p>
      <w:pPr>
        <w:pStyle w:val="ListParagraph"/>
        <w:numPr>
          <w:ilvl w:val="0"/>
          <w:numId w:val="2"/>
        </w:numPr>
        <w:spacing w:after="60"/>
      </w:pPr>
      <w:r>
        <w:rPr>
          <w:sz w:val="21"/>
          <w:szCs w:val="21"/>
        </w:rPr>
        <w:t xml:space="preserve">Moved EC2 patching from a manual, easy-to-forget process to a scheduled one using Systems Manager Patch Manager. Unplanned downtime from missed patches dropped by about 30%.</w:t>
      </w:r>
    </w:p>
    <w:p>
      <w:pPr>
        <w:pStyle w:val="ListParagraph"/>
        <w:numPr>
          <w:ilvl w:val="0"/>
          <w:numId w:val="2"/>
        </w:numPr>
        <w:spacing w:after="60"/>
      </w:pPr>
      <w:r>
        <w:rPr>
          <w:sz w:val="21"/>
          <w:szCs w:val="21"/>
        </w:rPr>
        <w:t xml:space="preserve">Added Groovy-scripted quality gates to the Azure DevOps/Jenkins pipeline across all 6 environments (Dev → QA → QA2R → Prod A → Prod B → FT) after a couple of bad Prod A pushes that should have been caught earlier — nothing gets promoted now without passing the gate.</w:t>
      </w:r>
    </w:p>
    <w:p>
      <w:pPr>
        <w:pStyle w:val="ListParagraph"/>
        <w:numPr>
          <w:ilvl w:val="0"/>
          <w:numId w:val="2"/>
        </w:numPr>
        <w:spacing w:after="60"/>
      </w:pPr>
      <w:r>
        <w:rPr>
          <w:sz w:val="21"/>
          <w:szCs w:val="21"/>
        </w:rPr>
        <w:t xml:space="preserve">Own P1–P4 incident response in ServiceNow/JIRA; wrote the RCA template the team now uses by default for post-incident documentation.</w:t>
      </w:r>
    </w:p>
    <w:p>
      <w:pPr>
        <w:pStyle w:val="ListParagraph"/>
        <w:numPr>
          <w:ilvl w:val="0"/>
          <w:numId w:val="2"/>
        </w:numPr>
        <w:spacing w:after="60"/>
      </w:pPr>
      <w:r>
        <w:rPr>
          <w:sz w:val="21"/>
          <w:szCs w:val="21"/>
        </w:rPr>
        <w:t xml:space="preserve">Ran onboarding for new hires during a team transition using paired sessions and runbooks instead of a single info-dump — got them independently on-call in roughly half the usual ramp time.</w:t>
      </w:r>
    </w:p>
    <w:p>
      <w:pPr>
        <w:spacing w:after="20" w:before="200"/>
      </w:pPr>
      <w:r>
        <w:rPr>
          <w:b/>
          <w:bCs/>
          <w:sz w:val="22"/>
          <w:szCs w:val="22"/>
        </w:rPr>
        <w:t xml:space="preserve">SRE Engineer</w:t>
      </w:r>
      <w:r>
        <w:rPr>
          <w:sz w:val="22"/>
          <w:szCs w:val="22"/>
        </w:rPr>
        <w:t xml:space="preserve">  |  ZF CVCS (formerly ZF Group India) — India</w:t>
      </w:r>
    </w:p>
    <w:p>
      <w:pPr>
        <w:spacing w:after="100"/>
      </w:pPr>
      <w:r>
        <w:rPr>
          <w:i/>
          <w:iCs/>
          <w:color w:val="555555"/>
          <w:sz w:val="19"/>
          <w:szCs w:val="19"/>
        </w:rPr>
        <w:t xml:space="preserve">2025 – 2026</w:t>
      </w:r>
    </w:p>
    <w:p>
      <w:pPr>
        <w:pStyle w:val="ListParagraph"/>
        <w:numPr>
          <w:ilvl w:val="0"/>
          <w:numId w:val="2"/>
        </w:numPr>
        <w:spacing w:after="60"/>
      </w:pPr>
      <w:r>
        <w:rPr>
          <w:sz w:val="21"/>
          <w:szCs w:val="21"/>
        </w:rPr>
        <w:t xml:space="preserve">Shipped 20+ production releases a month through a 5-stage Azure DevOps pipeline with no downtime, using health checks and rollback gates built into each promotion step.</w:t>
      </w:r>
    </w:p>
    <w:p>
      <w:pPr>
        <w:pStyle w:val="ListParagraph"/>
        <w:numPr>
          <w:ilvl w:val="0"/>
          <w:numId w:val="2"/>
        </w:numPr>
        <w:spacing w:after="60"/>
      </w:pPr>
      <w:r>
        <w:rPr>
          <w:sz w:val="21"/>
          <w:szCs w:val="21"/>
        </w:rPr>
        <w:t xml:space="preserve">Rewrote the Jenkins pipeline's Groovy scripting to remove manual handoffs between Dev, QA, Staging, and Prod, which brought deployment cycle time down by about 40%.</w:t>
      </w:r>
    </w:p>
    <w:p>
      <w:pPr>
        <w:pStyle w:val="ListParagraph"/>
        <w:numPr>
          <w:ilvl w:val="0"/>
          <w:numId w:val="2"/>
        </w:numPr>
        <w:spacing w:after="60"/>
      </w:pPr>
      <w:r>
        <w:rPr>
          <w:sz w:val="21"/>
          <w:szCs w:val="21"/>
        </w:rPr>
        <w:t xml:space="preserve">Brought 50+ servers that had been configured by hand under Puppet and Ansible management, enforcing policy-as-code across the fleet.</w:t>
      </w:r>
    </w:p>
    <w:p>
      <w:pPr>
        <w:pStyle w:val="ListParagraph"/>
        <w:numPr>
          <w:ilvl w:val="0"/>
          <w:numId w:val="2"/>
        </w:numPr>
        <w:spacing w:after="60"/>
      </w:pPr>
      <w:r>
        <w:rPr>
          <w:sz w:val="21"/>
          <w:szCs w:val="21"/>
        </w:rPr>
        <w:t xml:space="preserve">Built an observability stack combining CloudWatch, Grafana, Prometheus, and OpsGenie with OpenTelemetry instrumentation — cut time-to-detect by roughly 30%.</w:t>
      </w:r>
    </w:p>
    <w:p>
      <w:pPr>
        <w:pStyle w:val="ListParagraph"/>
        <w:numPr>
          <w:ilvl w:val="0"/>
          <w:numId w:val="2"/>
        </w:numPr>
        <w:spacing w:after="60"/>
      </w:pPr>
      <w:r>
        <w:rPr>
          <w:sz w:val="21"/>
          <w:szCs w:val="21"/>
        </w:rPr>
        <w:t xml:space="preserve">Automated log parsing, health checks, and endpoint validation in Python, saving around 10 hours a week that used to go into manual checks across hybrid infrastructure.</w:t>
      </w:r>
    </w:p>
    <w:p>
      <w:pPr>
        <w:pStyle w:val="ListParagraph"/>
        <w:numPr>
          <w:ilvl w:val="0"/>
          <w:numId w:val="2"/>
        </w:numPr>
        <w:spacing w:after="60"/>
      </w:pPr>
      <w:r>
        <w:rPr>
          <w:sz w:val="21"/>
          <w:szCs w:val="21"/>
        </w:rPr>
        <w:t xml:space="preserve">Led the AWS-to-Azure migration for legacy on-prem systems end to end (assessment, re-platforming, cutover), landing a 35% infrastructure cost reduction with zero data loss.</w:t>
      </w:r>
    </w:p>
    <w:p>
      <w:pPr>
        <w:pStyle w:val="ListParagraph"/>
        <w:numPr>
          <w:ilvl w:val="0"/>
          <w:numId w:val="2"/>
        </w:numPr>
        <w:spacing w:after="60"/>
      </w:pPr>
      <w:r>
        <w:rPr>
          <w:sz w:val="21"/>
          <w:szCs w:val="21"/>
        </w:rPr>
        <w:t xml:space="preserve">Deployed Icinga2 to close a real blind spot — engineers had no unified view across on-prem and Azure, so an incident in one environment was invisible from the other's dashboard.</w:t>
      </w:r>
    </w:p>
    <w:p>
      <w:pPr>
        <w:spacing w:after="20" w:before="200"/>
      </w:pPr>
      <w:r>
        <w:rPr>
          <w:b/>
          <w:bCs/>
          <w:sz w:val="22"/>
          <w:szCs w:val="22"/>
        </w:rPr>
        <w:t xml:space="preserve">Integration Engineer</w:t>
      </w:r>
      <w:r>
        <w:rPr>
          <w:sz w:val="22"/>
          <w:szCs w:val="22"/>
        </w:rPr>
        <w:t xml:space="preserve">  |  Virtusa Corporation — India</w:t>
      </w:r>
    </w:p>
    <w:p>
      <w:pPr>
        <w:spacing w:after="100"/>
      </w:pPr>
      <w:r>
        <w:rPr>
          <w:i/>
          <w:iCs/>
          <w:color w:val="555555"/>
          <w:sz w:val="19"/>
          <w:szCs w:val="19"/>
        </w:rPr>
        <w:t xml:space="preserve">2022 – 2025</w:t>
      </w:r>
    </w:p>
    <w:p>
      <w:pPr>
        <w:pStyle w:val="ListParagraph"/>
        <w:numPr>
          <w:ilvl w:val="0"/>
          <w:numId w:val="2"/>
        </w:numPr>
        <w:spacing w:after="60"/>
      </w:pPr>
      <w:r>
        <w:rPr>
          <w:sz w:val="21"/>
          <w:szCs w:val="21"/>
        </w:rPr>
        <w:t xml:space="preserve">Built a reusable Terraform module set for multi-environment AWS provisioning, cutting new-environment setup from about 2 days to 2 hours for infrastructure serving 10,000+ daily users on a microservices architecture.</w:t>
      </w:r>
    </w:p>
    <w:p>
      <w:pPr>
        <w:pStyle w:val="ListParagraph"/>
        <w:numPr>
          <w:ilvl w:val="0"/>
          <w:numId w:val="2"/>
        </w:numPr>
        <w:spacing w:after="60"/>
      </w:pPr>
      <w:r>
        <w:rPr>
          <w:sz w:val="21"/>
          <w:szCs w:val="21"/>
        </w:rPr>
        <w:t xml:space="preserve">Containerized workloads with Docker and moved them onto AWS EKS via Helm, with autoscaling and resource quotas — improved scalability by around 30%.</w:t>
      </w:r>
    </w:p>
    <w:p>
      <w:pPr>
        <w:pStyle w:val="ListParagraph"/>
        <w:numPr>
          <w:ilvl w:val="0"/>
          <w:numId w:val="2"/>
        </w:numPr>
        <w:spacing w:after="60"/>
      </w:pPr>
      <w:r>
        <w:rPr>
          <w:sz w:val="21"/>
          <w:szCs w:val="21"/>
        </w:rPr>
        <w:t xml:space="preserve">Built CI/CD pipelines with Jenkins, SonarQube, Maven, and AWS CodePipeline, including automated quality gates and vulnerability scanning, which increased deployment frequency by about 35% and removed manual release steps.</w:t>
      </w:r>
    </w:p>
    <w:p>
      <w:pPr>
        <w:pStyle w:val="ListParagraph"/>
        <w:numPr>
          <w:ilvl w:val="0"/>
          <w:numId w:val="2"/>
        </w:numPr>
        <w:spacing w:after="60"/>
      </w:pPr>
      <w:r>
        <w:rPr>
          <w:sz w:val="21"/>
          <w:szCs w:val="21"/>
        </w:rPr>
        <w:t xml:space="preserve">Set up Prometheus/Grafana dashboards tied to PagerDuty so issues surfaced 15+ minutes before users noticed — cut downtime incidents by roughly 20%.</w:t>
      </w:r>
    </w:p>
    <w:p>
      <w:pPr>
        <w:pStyle w:val="ListParagraph"/>
        <w:numPr>
          <w:ilvl w:val="0"/>
          <w:numId w:val="2"/>
        </w:numPr>
        <w:spacing w:after="60"/>
      </w:pPr>
      <w:r>
        <w:rPr>
          <w:sz w:val="21"/>
          <w:szCs w:val="21"/>
        </w:rPr>
        <w:t xml:space="preserve">Configured ELB, Auto Scaling Groups, and predictive scaling policies well enough that scaling ran unattended for over 12 straight months without a manual intervention.</w:t>
      </w:r>
    </w:p>
    <w:p>
      <w:pPr>
        <w:pStyle w:val="ListParagraph"/>
        <w:numPr>
          <w:ilvl w:val="0"/>
          <w:numId w:val="2"/>
        </w:numPr>
        <w:spacing w:after="60"/>
      </w:pPr>
      <w:r>
        <w:rPr>
          <w:sz w:val="21"/>
          <w:szCs w:val="21"/>
        </w:rPr>
        <w:t xml:space="preserve">Kept patching compliance at 100% across a mixed RHEL/Ubuntu/Windows Server fleet using AWS Patch Manager and Ansible.</w:t>
      </w:r>
    </w:p>
    <w:p>
      <w:pPr>
        <w:spacing w:after="20" w:before="200"/>
      </w:pPr>
      <w:r>
        <w:rPr>
          <w:b/>
          <w:bCs/>
          <w:sz w:val="22"/>
          <w:szCs w:val="22"/>
        </w:rPr>
        <w:t xml:space="preserve">Application Backend / Integration Support Engineer</w:t>
      </w:r>
      <w:r>
        <w:rPr>
          <w:sz w:val="22"/>
          <w:szCs w:val="22"/>
        </w:rPr>
        <w:t xml:space="preserve">  |  Virtusa Corporation — India</w:t>
      </w:r>
    </w:p>
    <w:p>
      <w:pPr>
        <w:spacing w:after="100"/>
      </w:pPr>
      <w:r>
        <w:rPr>
          <w:i/>
          <w:iCs/>
          <w:color w:val="555555"/>
          <w:sz w:val="19"/>
          <w:szCs w:val="19"/>
        </w:rPr>
        <w:t xml:space="preserve">2021 – 2022</w:t>
      </w:r>
    </w:p>
    <w:p>
      <w:pPr>
        <w:pStyle w:val="ListParagraph"/>
        <w:numPr>
          <w:ilvl w:val="0"/>
          <w:numId w:val="2"/>
        </w:numPr>
        <w:spacing w:after="60"/>
      </w:pPr>
      <w:r>
        <w:rPr>
          <w:sz w:val="21"/>
          <w:szCs w:val="21"/>
        </w:rPr>
        <w:t xml:space="preserve">Managed CA Autosys job scheduling and escalation for financial end-of-day batch workflows, keeping SLA compliance at 100%.</w:t>
      </w:r>
    </w:p>
    <w:p>
      <w:pPr>
        <w:pStyle w:val="ListParagraph"/>
        <w:numPr>
          <w:ilvl w:val="0"/>
          <w:numId w:val="2"/>
        </w:numPr>
        <w:spacing w:after="60"/>
      </w:pPr>
      <w:r>
        <w:rPr>
          <w:sz w:val="21"/>
          <w:szCs w:val="21"/>
        </w:rPr>
        <w:t xml:space="preserve">Handled deployments through IBM UrbanCode Deploy with rigorous pre-deployment validation and CAB coordination — zero-defect releases across QA and production.</w:t>
      </w:r>
    </w:p>
    <w:p>
      <w:pPr>
        <w:pStyle w:val="ListParagraph"/>
        <w:numPr>
          <w:ilvl w:val="0"/>
          <w:numId w:val="2"/>
        </w:numPr>
        <w:spacing w:after="60"/>
      </w:pPr>
      <w:r>
        <w:rPr>
          <w:sz w:val="21"/>
          <w:szCs w:val="21"/>
        </w:rPr>
        <w:t xml:space="preserve">Supported FlexCube and FlexCube Loans integration interfaces (customer data exchange, session handling), using Oracle SQL log diagnostics to chase down performance issues.</w:t>
      </w:r>
    </w:p>
    <w:p>
      <w:pPr>
        <w:pStyle w:val="ListParagraph"/>
        <w:numPr>
          <w:ilvl w:val="0"/>
          <w:numId w:val="2"/>
        </w:numPr>
        <w:spacing w:after="60"/>
      </w:pPr>
      <w:r>
        <w:rPr>
          <w:sz w:val="21"/>
          <w:szCs w:val="21"/>
        </w:rPr>
        <w:t xml:space="preserve">Reduced recurring incidents by about 15% through systematic RCA and forensic SQL analysis that caught the same failure pattern repeating.</w:t>
      </w:r>
    </w:p>
    <w:p>
      <w:pPr>
        <w:pStyle w:val="ListParagraph"/>
        <w:numPr>
          <w:ilvl w:val="0"/>
          <w:numId w:val="2"/>
        </w:numPr>
        <w:spacing w:after="60"/>
      </w:pPr>
      <w:r>
        <w:rPr>
          <w:sz w:val="21"/>
          <w:szCs w:val="21"/>
        </w:rPr>
        <w:t xml:space="preserve">Ran end-to-end incident response: P1 triage, bridge calls, and ServiceNow change requests.</w:t>
      </w:r>
    </w:p>
    <w:p>
      <w:pPr>
        <w:pBdr>
          <w:bottom w:val="single" w:color="1F3864" w:sz="6" w:space="2"/>
        </w:pBdr>
        <w:spacing w:after="100" w:before="240"/>
      </w:pPr>
      <w:r>
        <w:rPr>
          <w:b/>
          <w:bCs/>
          <w:color w:val="1F3864"/>
          <w:sz w:val="22"/>
          <w:szCs w:val="22"/>
        </w:rPr>
        <w:t xml:space="preserve">CERTIFICATIONS</w:t>
      </w:r>
    </w:p>
    <w:p>
      <w:pPr>
        <w:pStyle w:val="ListParagraph"/>
        <w:numPr>
          <w:ilvl w:val="0"/>
          <w:numId w:val="2"/>
        </w:numPr>
        <w:spacing w:after="60"/>
      </w:pPr>
      <w:r>
        <w:rPr>
          <w:sz w:val="21"/>
          <w:szCs w:val="21"/>
        </w:rPr>
        <w:t xml:space="preserve">AWS Certified DevOps Engineer – Professional</w:t>
      </w:r>
    </w:p>
    <w:p>
      <w:pPr>
        <w:pStyle w:val="ListParagraph"/>
        <w:numPr>
          <w:ilvl w:val="0"/>
          <w:numId w:val="2"/>
        </w:numPr>
        <w:spacing w:after="60"/>
      </w:pPr>
      <w:r>
        <w:rPr>
          <w:sz w:val="21"/>
          <w:szCs w:val="21"/>
        </w:rPr>
        <w:t xml:space="preserve">AWS Certified Solutions Architect – Associate</w:t>
      </w:r>
    </w:p>
    <w:p>
      <w:pPr>
        <w:pStyle w:val="ListParagraph"/>
        <w:numPr>
          <w:ilvl w:val="0"/>
          <w:numId w:val="2"/>
        </w:numPr>
        <w:spacing w:after="60"/>
      </w:pPr>
      <w:r>
        <w:rPr>
          <w:sz w:val="21"/>
          <w:szCs w:val="21"/>
        </w:rPr>
        <w:t xml:space="preserve">Microsoft Certified: Azure Administrator Associate (AZ-104)</w:t>
      </w:r>
    </w:p>
    <w:p>
      <w:pPr>
        <w:pStyle w:val="ListParagraph"/>
        <w:numPr>
          <w:ilvl w:val="0"/>
          <w:numId w:val="2"/>
        </w:numPr>
        <w:spacing w:after="60"/>
      </w:pPr>
      <w:r>
        <w:rPr>
          <w:sz w:val="21"/>
          <w:szCs w:val="21"/>
        </w:rPr>
        <w:t xml:space="preserve">Site Reliability Engineer (SRE) Foundation – DevOps Institute</w:t>
      </w:r>
    </w:p>
    <w:p>
      <w:pPr>
        <w:pStyle w:val="ListParagraph"/>
        <w:numPr>
          <w:ilvl w:val="0"/>
          <w:numId w:val="2"/>
        </w:numPr>
        <w:spacing w:after="60"/>
      </w:pPr>
      <w:r>
        <w:rPr>
          <w:sz w:val="21"/>
          <w:szCs w:val="21"/>
        </w:rPr>
        <w:t xml:space="preserve">Python Programming Certification</w:t>
      </w:r>
    </w:p>
    <w:p>
      <w:pPr>
        <w:pBdr>
          <w:bottom w:val="single" w:color="1F3864" w:sz="6" w:space="2"/>
        </w:pBdr>
        <w:spacing w:after="100" w:before="240"/>
      </w:pPr>
      <w:r>
        <w:rPr>
          <w:b/>
          <w:bCs/>
          <w:color w:val="1F3864"/>
          <w:sz w:val="22"/>
          <w:szCs w:val="22"/>
        </w:rPr>
        <w:t xml:space="preserve">EDUCATION</w:t>
      </w:r>
    </w:p>
    <w:p>
      <w:pPr>
        <w:spacing w:after="160"/>
      </w:pPr>
      <w:r>
        <w:rPr>
          <w:sz w:val="21"/>
          <w:szCs w:val="21"/>
        </w:rPr>
        <w:t xml:space="preserve">B.Sc. Computer Science — Guru Nanak College, Chennai, India (2017 – 2020)</w:t>
      </w:r>
    </w:p>
    <w:p>
      <w:pPr>
        <w:spacing w:before="100"/>
      </w:pPr>
      <w:r>
        <w:rPr>
          <w:i/>
          <w:iCs/>
          <w:color w:val="555555"/>
          <w:sz w:val="18"/>
          <w:szCs w:val="18"/>
        </w:rPr>
        <w:t xml:space="preserve">H-1B visa holder — open to transfer or new sponsorship. References available on request.</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2026-07-06T15:34:35.396Z</dcterms:created>
  <dcterms:modified xsi:type="dcterms:W3CDTF">2026-07-06T15:34:35.397Z</dcterms:modified>
</cp:coreProperties>
</file>

<file path=docProps/custom.xml><?xml version="1.0" encoding="utf-8"?>
<Properties xmlns="http://schemas.openxmlformats.org/officeDocument/2006/custom-properties" xmlns:vt="http://schemas.openxmlformats.org/officeDocument/2006/docPropsVTypes"/>
</file>