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1A"/>
          <w:sz w:val="38"/>
          <w:szCs w:val="38"/>
        </w:rPr>
        <w:t xml:space="preserve">VIDYULLATHA POLAVARAPU</w:t>
      </w:r>
    </w:p>
    <w:p>
      <w:pPr>
        <w:spacing w:after="60" w:before="0"/>
        <w:jc w:val="center"/>
      </w:pPr>
      <w:r>
        <w:rPr>
          <w:rFonts w:ascii="Arial" w:cs="Arial" w:eastAsia="Arial" w:hAnsi="Arial"/>
          <w:color w:val="1D6A6A"/>
          <w:sz w:val="22"/>
          <w:szCs w:val="22"/>
        </w:rPr>
        <w:t xml:space="preserve">Senior Azure Data Engineer  |  Databricks  |  Informatica IDMC  |  Medallion Architecture</w:t>
      </w:r>
    </w:p>
    <w:p>
      <w:pPr>
        <w:spacing w:after="40" w:before="0"/>
        <w:jc w:val="center"/>
      </w:pPr>
      <w:r>
        <w:rPr>
          <w:rFonts w:ascii="Arial" w:cs="Arial" w:eastAsia="Arial" w:hAnsi="Arial"/>
          <w:color w:val="444444"/>
          <w:sz w:val="19"/>
          <w:szCs w:val="19"/>
        </w:rPr>
        <w:t xml:space="preserve">(+1) 407-973-2652  |  latha.rv@yahoo.com  |  github.com/data-engineer-portfolio</w:t>
      </w:r>
    </w:p>
    <w:p>
      <w:pPr>
        <w:pBdr>
          <w:bottom w:val="single" w:color="1D6A6A" w:sz="6" w:space="4"/>
        </w:pBdr>
        <w:spacing w:after="0" w:before="0"/>
        <w:jc w:val="center"/>
      </w:pPr>
      <w:r>
        <w:rPr>
          <w:rFonts w:ascii="Arial" w:cs="Arial" w:eastAsia="Arial" w:hAnsi="Arial"/>
          <w:b/>
          <w:bCs/>
          <w:color w:val="1D6A6A"/>
          <w:sz w:val="19"/>
          <w:szCs w:val="19"/>
        </w:rPr>
        <w:t xml:space="preserve">Work Authorization: EAD — Authorized to work for any US employer. No sponsorship required.</w:t>
      </w:r>
    </w:p>
    <w:p>
      <w:pPr>
        <w:pBdr>
          <w:bottom w:val="single" w:color="1D6A6A" w:sz="6" w:space="2"/>
        </w:pBdr>
        <w:spacing w:after="80" w:before="180"/>
      </w:pPr>
      <w:r>
        <w:rPr>
          <w:rFonts w:ascii="Arial" w:cs="Arial" w:eastAsia="Arial" w:hAnsi="Arial"/>
          <w:b/>
          <w:bCs/>
          <w:color w:val="1D6A6A"/>
          <w:sz w:val="22"/>
          <w:szCs w:val="22"/>
        </w:rPr>
        <w:t xml:space="preserve">PROFESSIONAL SUMMARY</w:t>
      </w:r>
    </w:p>
    <w:p>
      <w:pPr>
        <w:spacing w:after="60" w:before="60"/>
      </w:pPr>
      <w:r>
        <w:rPr>
          <w:rFonts w:ascii="Arial" w:cs="Arial" w:eastAsia="Arial" w:hAnsi="Arial"/>
          <w:color w:val="1A1A1A"/>
          <w:sz w:val="20"/>
          <w:szCs w:val="20"/>
        </w:rPr>
        <w:t xml:space="preserve">Azure Data Engineer with 4+ years of hands-on experience delivering enterprise-scale data platforms in cloud and hybrid environments. Currently leading end-to-end data engineering at a major insurance company — designing Medallion architecture pipelines (Bronze/Silver/Gold), building metadata-driven IDMC frameworks that handle 5,000+ source tables via a single dynamic mapping, and implementing Delta Lake time travel patterns to solve complex pipeline overlap challenges. Experienced in Informatica IDMC, Azure Databricks, ADLS Gen2, PySpark, and Delta Lake. Certified Databricks Data Engineer Associate. Track record of delivering audit-grade reconciliation, performance optimization, and scalable ETL/ELT frameworks that directly support business reporting and analytics.</w:t>
      </w:r>
    </w:p>
    <w:p>
      <w:pPr>
        <w:pBdr>
          <w:bottom w:val="single" w:color="1D6A6A" w:sz="6" w:space="2"/>
        </w:pBdr>
        <w:spacing w:after="80" w:before="180"/>
      </w:pPr>
      <w:r>
        <w:rPr>
          <w:rFonts w:ascii="Arial" w:cs="Arial" w:eastAsia="Arial" w:hAnsi="Arial"/>
          <w:b/>
          <w:bCs/>
          <w:color w:val="1D6A6A"/>
          <w:sz w:val="22"/>
          <w:szCs w:val="22"/>
        </w:rPr>
        <w:t xml:space="preserve">TECHNICAL SKILLS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444444"/>
                <w:sz w:val="19"/>
                <w:szCs w:val="19"/>
              </w:rPr>
              <w:t xml:space="preserve">Databricks</w:t>
            </w:r>
          </w:p>
        </w:tc>
        <w:tc>
          <w:tcPr>
            <w:tcW w:type="dxa" w:w="7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19"/>
                <w:szCs w:val="19"/>
              </w:rPr>
              <w:t xml:space="preserve">Azure Databricks, Delta Lake, Spark SQL, PySpark, Auto Loader, Unity Catalog, Workflows, Liquid Clustering, Time Travel, Predictive Optimization</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444444"/>
                <w:sz w:val="19"/>
                <w:szCs w:val="19"/>
              </w:rPr>
              <w:t xml:space="preserve">IDMC / ETL</w:t>
            </w:r>
          </w:p>
        </w:tc>
        <w:tc>
          <w:tcPr>
            <w:tcW w:type="dxa" w:w="7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19"/>
                <w:szCs w:val="19"/>
              </w:rPr>
              <w:t xml:space="preserve">Informatica IDMC, Dynamic Mappings, Taskflows, Metadata-Driven Framework, Pushdown Optimization, PowerCenter 10.5, Data Quality 10.5</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444444"/>
                <w:sz w:val="19"/>
                <w:szCs w:val="19"/>
              </w:rPr>
              <w:t xml:space="preserve">Cloud &amp; Storage</w:t>
            </w:r>
          </w:p>
        </w:tc>
        <w:tc>
          <w:tcPr>
            <w:tcW w:type="dxa" w:w="7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19"/>
                <w:szCs w:val="19"/>
              </w:rPr>
              <w:t xml:space="preserve">Azure ADLS Gen2, Azure Data Factory, Azure Key Vault, AWS S3, Azure DevOps, Databricks Asset Bundles</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444444"/>
                <w:sz w:val="19"/>
                <w:szCs w:val="19"/>
              </w:rPr>
              <w:t xml:space="preserve">Programming</w:t>
            </w:r>
          </w:p>
        </w:tc>
        <w:tc>
          <w:tcPr>
            <w:tcW w:type="dxa" w:w="7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19"/>
                <w:szCs w:val="19"/>
              </w:rPr>
              <w:t xml:space="preserve">Python, PySpark, Pandas, SQL, Spark SQL, Unix Shell Scripting</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444444"/>
                <w:sz w:val="19"/>
                <w:szCs w:val="19"/>
              </w:rPr>
              <w:t xml:space="preserve">Databases</w:t>
            </w:r>
          </w:p>
        </w:tc>
        <w:tc>
          <w:tcPr>
            <w:tcW w:type="dxa" w:w="7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19"/>
                <w:szCs w:val="19"/>
              </w:rPr>
              <w:t xml:space="preserve">Oracle Exadata, SQL Server, Salesforce</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444444"/>
                <w:sz w:val="19"/>
                <w:szCs w:val="19"/>
              </w:rPr>
              <w:t xml:space="preserve">Reporting / Other</w:t>
            </w:r>
          </w:p>
        </w:tc>
        <w:tc>
          <w:tcPr>
            <w:tcW w:type="dxa" w:w="7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19"/>
                <w:szCs w:val="19"/>
              </w:rPr>
              <w:t xml:space="preserve">Power BI, ERWIN, Stonebranch, Control-M, Service Now, Jira</w:t>
            </w:r>
          </w:p>
        </w:tc>
      </w:tr>
    </w:tbl>
    <w:p>
      <w:pPr>
        <w:pBdr>
          <w:bottom w:val="single" w:color="1D6A6A" w:sz="6" w:space="2"/>
        </w:pBdr>
        <w:spacing w:after="80" w:before="180"/>
      </w:pPr>
      <w:r>
        <w:rPr>
          <w:rFonts w:ascii="Arial" w:cs="Arial" w:eastAsia="Arial" w:hAnsi="Arial"/>
          <w:b/>
          <w:bCs/>
          <w:color w:val="1D6A6A"/>
          <w:sz w:val="22"/>
          <w:szCs w:val="22"/>
        </w:rPr>
        <w:t xml:space="preserve">PROFESSIONAL EXPERIENCE</w:t>
      </w:r>
    </w:p>
    <w:p>
      <w:pPr>
        <w:tabs>
          <w:tab w:val="right" w:pos="9360"/>
        </w:tabs>
        <w:spacing w:after="20" w:before="20"/>
      </w:pPr>
      <w:r>
        <w:rPr>
          <w:rFonts w:ascii="Arial" w:cs="Arial" w:eastAsia="Arial" w:hAnsi="Arial"/>
          <w:b/>
          <w:bCs/>
          <w:color w:val="1A1A1A"/>
          <w:sz w:val="20"/>
          <w:szCs w:val="20"/>
        </w:rPr>
        <w:t xml:space="preserve">Nationwide Insurance — Azure Data Engineer</w:t>
      </w:r>
      <w:r>
        <w:rPr>
          <w:rFonts w:ascii="Arial" w:cs="Arial" w:eastAsia="Arial" w:hAnsi="Arial"/>
          <w:i w:val="false"/>
          <w:iCs w:val="false"/>
          <w:color w:val="666666"/>
          <w:sz w:val="20"/>
          <w:szCs w:val="20"/>
        </w:rPr>
        <w:t xml:space="preserve">	Mar 2022 – Present</w:t>
      </w:r>
    </w:p>
    <w:p>
      <w:pPr>
        <w:spacing w:after="20" w:before="20"/>
      </w:pPr>
      <w:r>
        <w:rPr>
          <w:rFonts w:ascii="Arial" w:cs="Arial" w:eastAsia="Arial" w:hAnsi="Arial"/>
          <w:i/>
          <w:iCs/>
          <w:color w:val="444444"/>
          <w:sz w:val="19"/>
          <w:szCs w:val="19"/>
        </w:rPr>
        <w:t xml:space="preserve">Project: Data Transformation — On-Premises to Azure Cloud Migration</w:t>
      </w:r>
    </w:p>
    <w:p>
      <w:pPr>
        <w:spacing w:after="30" w:before="10"/>
      </w:pPr>
      <w:r>
        <w:rPr>
          <w:rFonts w:ascii="Arial" w:cs="Arial" w:eastAsia="Arial" w:hAnsi="Arial"/>
          <w:color w:val="666666"/>
          <w:sz w:val="18"/>
          <w:szCs w:val="18"/>
        </w:rPr>
        <w:t xml:space="preserve">Environment: Azure Databricks, ADLS Gen2, Informatica IDMC, Oracle Exadata, AWS S3, ADF, Azure DevOps, Power BI, Salesforce</w:t>
      </w:r>
    </w:p>
    <w:p>
      <w:pPr>
        <w:spacing w:after="20" w:before="50"/>
      </w:pPr>
      <w:r>
        <w:rPr>
          <w:rFonts w:ascii="Arial" w:cs="Arial" w:eastAsia="Arial" w:hAnsi="Arial"/>
          <w:b/>
          <w:bCs/>
          <w:color w:val="444444"/>
          <w:sz w:val="20"/>
          <w:szCs w:val="20"/>
        </w:rPr>
        <w:t xml:space="preserve">Architecture &amp; Design</w:t>
      </w:r>
    </w:p>
    <w:p>
      <w:pPr>
        <w:pStyle w:val="ListParagraph"/>
        <w:numPr>
          <w:ilvl w:val="0"/>
          <w:numId w:val="2"/>
        </w:numPr>
        <w:spacing w:after="30" w:before="30"/>
      </w:pPr>
      <w:r>
        <w:rPr>
          <w:rFonts w:ascii="Arial" w:cs="Arial" w:eastAsia="Arial" w:hAnsi="Arial"/>
          <w:color w:val="1A1A1A"/>
          <w:sz w:val="20"/>
          <w:szCs w:val="20"/>
        </w:rPr>
        <w:t xml:space="preserve">Architected and led end-to-end Medallion Lakehouse (Bronze/Silver/Gold) on Azure Databricks + ADLS Gen2 to support migration of 5,000+ tables from on-premises insurance applications (Guidewire, Oracle, CRM) to Azure cloud.</w:t>
      </w:r>
    </w:p>
    <w:p>
      <w:pPr>
        <w:pStyle w:val="ListParagraph"/>
        <w:numPr>
          <w:ilvl w:val="0"/>
          <w:numId w:val="2"/>
        </w:numPr>
        <w:spacing w:after="30" w:before="30"/>
      </w:pPr>
      <w:r>
        <w:rPr>
          <w:rFonts w:ascii="Arial" w:cs="Arial" w:eastAsia="Arial" w:hAnsi="Arial"/>
          <w:color w:val="1A1A1A"/>
          <w:sz w:val="20"/>
          <w:szCs w:val="20"/>
        </w:rPr>
        <w:t xml:space="preserve">Designed a metadata-driven IDMC framework using dynamic mappings and schema evolution — a single mapping ingests all 5,000+ on-prem Oracle tables by reading source/target metadata, key columns, and watermark columns from a central control table, eliminating per-table mapping overhead.</w:t>
      </w:r>
    </w:p>
    <w:p>
      <w:pPr>
        <w:pStyle w:val="ListParagraph"/>
        <w:numPr>
          <w:ilvl w:val="0"/>
          <w:numId w:val="2"/>
        </w:numPr>
        <w:spacing w:after="30" w:before="30"/>
      </w:pPr>
      <w:r>
        <w:rPr>
          <w:rFonts w:ascii="Arial" w:cs="Arial" w:eastAsia="Arial" w:hAnsi="Arial"/>
          <w:color w:val="1A1A1A"/>
          <w:sz w:val="20"/>
          <w:szCs w:val="20"/>
        </w:rPr>
        <w:t xml:space="preserve">Solved a critical pipeline overlap problem using Delta Lake time travel: Bronze refreshes every hour while Silver loads 4×/day — implemented AS OF TIMESTAMP snapshots by reading the last successful batch timestamp from the ABC audit log, ensuring Silver always reads a consistent, frozen Bronze snapshot without locking or pausing ingestion.</w:t>
      </w:r>
    </w:p>
    <w:p>
      <w:pPr>
        <w:spacing w:after="20" w:before="50"/>
      </w:pPr>
      <w:r>
        <w:rPr>
          <w:rFonts w:ascii="Arial" w:cs="Arial" w:eastAsia="Arial" w:hAnsi="Arial"/>
          <w:b/>
          <w:bCs/>
          <w:color w:val="444444"/>
          <w:sz w:val="20"/>
          <w:szCs w:val="20"/>
        </w:rPr>
        <w:t xml:space="preserve">Pipeline Development &amp; Ingestion</w:t>
      </w:r>
    </w:p>
    <w:p>
      <w:pPr>
        <w:pStyle w:val="ListParagraph"/>
        <w:numPr>
          <w:ilvl w:val="0"/>
          <w:numId w:val="2"/>
        </w:numPr>
        <w:spacing w:after="30" w:before="30"/>
      </w:pPr>
      <w:r>
        <w:rPr>
          <w:rFonts w:ascii="Arial" w:cs="Arial" w:eastAsia="Arial" w:hAnsi="Arial"/>
          <w:color w:val="1A1A1A"/>
          <w:sz w:val="20"/>
          <w:szCs w:val="20"/>
        </w:rPr>
        <w:t xml:space="preserve">Built three distinct ingestion frameworks for Bronze layer: (1) IDMC metadata-driven framework for Oracle/SQL Server tables, (2) Databricks Auto Loader framework ingesting Guidewire Cloud Parquet files from AWS S3 using checkpoint-based deduplication, (3) Databricks notebook merge framework for Excel-based reference data from business partners.</w:t>
      </w:r>
    </w:p>
    <w:p>
      <w:pPr>
        <w:pStyle w:val="ListParagraph"/>
        <w:numPr>
          <w:ilvl w:val="0"/>
          <w:numId w:val="2"/>
        </w:numPr>
        <w:spacing w:after="30" w:before="30"/>
      </w:pPr>
      <w:r>
        <w:rPr>
          <w:rFonts w:ascii="Arial" w:cs="Arial" w:eastAsia="Arial" w:hAnsi="Arial"/>
          <w:color w:val="1A1A1A"/>
          <w:sz w:val="20"/>
          <w:szCs w:val="20"/>
        </w:rPr>
        <w:t xml:space="preserve">Developed near-real-time pipelines using Databricks Structured Streaming (Auto Loader with trigger availableNow) processing TB-scale data from Guidewire Cloud into Bronze Delta tables.</w:t>
      </w:r>
    </w:p>
    <w:p>
      <w:pPr>
        <w:pStyle w:val="ListParagraph"/>
        <w:numPr>
          <w:ilvl w:val="0"/>
          <w:numId w:val="2"/>
        </w:numPr>
        <w:spacing w:after="30" w:before="30"/>
      </w:pPr>
      <w:r>
        <w:rPr>
          <w:rFonts w:ascii="Arial" w:cs="Arial" w:eastAsia="Arial" w:hAnsi="Arial"/>
          <w:color w:val="1A1A1A"/>
          <w:sz w:val="20"/>
          <w:szCs w:val="20"/>
        </w:rPr>
        <w:t xml:space="preserve">Integrated Salesforce data using IDMC out-of-box connectors for both full and incremental loads; also built REST API integrations for Earnings and Exposure calculations on Policy and Billing data.</w:t>
      </w:r>
    </w:p>
    <w:p>
      <w:pPr>
        <w:pStyle w:val="ListParagraph"/>
        <w:numPr>
          <w:ilvl w:val="0"/>
          <w:numId w:val="2"/>
        </w:numPr>
        <w:spacing w:after="30" w:before="30"/>
      </w:pPr>
      <w:r>
        <w:rPr>
          <w:rFonts w:ascii="Arial" w:cs="Arial" w:eastAsia="Arial" w:hAnsi="Arial"/>
          <w:color w:val="1A1A1A"/>
          <w:sz w:val="20"/>
          <w:szCs w:val="20"/>
        </w:rPr>
        <w:t xml:space="preserve">Automated pipeline orchestration using Databricks Workflows and Azure DevOps CI/CD with Databricks Asset Bundles, reducing deployment time by 80%.</w:t>
      </w:r>
    </w:p>
    <w:p>
      <w:pPr>
        <w:spacing w:after="20" w:before="50"/>
      </w:pPr>
      <w:r>
        <w:rPr>
          <w:rFonts w:ascii="Arial" w:cs="Arial" w:eastAsia="Arial" w:hAnsi="Arial"/>
          <w:b/>
          <w:bCs/>
          <w:color w:val="444444"/>
          <w:sz w:val="20"/>
          <w:szCs w:val="20"/>
        </w:rPr>
        <w:t xml:space="preserve">Data Quality, Audit &amp; Governance</w:t>
      </w:r>
    </w:p>
    <w:p>
      <w:pPr>
        <w:pStyle w:val="ListParagraph"/>
        <w:numPr>
          <w:ilvl w:val="0"/>
          <w:numId w:val="2"/>
        </w:numPr>
        <w:spacing w:after="30" w:before="30"/>
      </w:pPr>
      <w:r>
        <w:rPr>
          <w:rFonts w:ascii="Arial" w:cs="Arial" w:eastAsia="Arial" w:hAnsi="Arial"/>
          <w:color w:val="1A1A1A"/>
          <w:sz w:val="20"/>
          <w:szCs w:val="20"/>
        </w:rPr>
        <w:t xml:space="preserve">Implemented Audit Balancing Control (ABC) framework at every pipeline stage — reconciling source vs. target record counts and financial amount columns (premium, claims) per batch; discrepancies halt the batch and trigger alerts, meeting mandatory insurance regulatory controls.</w:t>
      </w:r>
    </w:p>
    <w:p>
      <w:pPr>
        <w:pStyle w:val="ListParagraph"/>
        <w:numPr>
          <w:ilvl w:val="0"/>
          <w:numId w:val="2"/>
        </w:numPr>
        <w:spacing w:after="30" w:before="30"/>
      </w:pPr>
      <w:r>
        <w:rPr>
          <w:rFonts w:ascii="Arial" w:cs="Arial" w:eastAsia="Arial" w:hAnsi="Arial"/>
          <w:color w:val="1A1A1A"/>
          <w:sz w:val="20"/>
          <w:szCs w:val="20"/>
        </w:rPr>
        <w:t xml:space="preserve">Implemented pushdown optimization in IDMC for Silver loads processing billions of rows; resolved Normalizer transformation incompatibility by rewriting equivalent logic in SQL, maintaining full pushdown benefit.</w:t>
      </w:r>
    </w:p>
    <w:p>
      <w:pPr>
        <w:pStyle w:val="ListParagraph"/>
        <w:numPr>
          <w:ilvl w:val="0"/>
          <w:numId w:val="2"/>
        </w:numPr>
        <w:spacing w:after="30" w:before="30"/>
      </w:pPr>
      <w:r>
        <w:rPr>
          <w:rFonts w:ascii="Arial" w:cs="Arial" w:eastAsia="Arial" w:hAnsi="Arial"/>
          <w:color w:val="1A1A1A"/>
          <w:sz w:val="20"/>
          <w:szCs w:val="20"/>
        </w:rPr>
        <w:t xml:space="preserve">Applied column-level security on PII columns (SSN, DOB) and row-level security for multi-country data access; masked sensitive data in lower environments (Dev/UAT) so developers never access real customer data.</w:t>
      </w:r>
    </w:p>
    <w:p>
      <w:pPr>
        <w:pStyle w:val="ListParagraph"/>
        <w:numPr>
          <w:ilvl w:val="0"/>
          <w:numId w:val="2"/>
        </w:numPr>
        <w:spacing w:after="30" w:before="30"/>
      </w:pPr>
      <w:r>
        <w:rPr>
          <w:rFonts w:ascii="Arial" w:cs="Arial" w:eastAsia="Arial" w:hAnsi="Arial"/>
          <w:color w:val="1A1A1A"/>
          <w:sz w:val="20"/>
          <w:szCs w:val="20"/>
        </w:rPr>
        <w:t xml:space="preserve">Standardized data formats (phone, date, address) across all source systems in the Silver conformed layer; routed rejected records to error tables for data steward review — no silent drops.</w:t>
      </w:r>
    </w:p>
    <w:p>
      <w:pPr>
        <w:spacing w:after="20" w:before="50"/>
      </w:pPr>
      <w:r>
        <w:rPr>
          <w:rFonts w:ascii="Arial" w:cs="Arial" w:eastAsia="Arial" w:hAnsi="Arial"/>
          <w:b/>
          <w:bCs/>
          <w:color w:val="444444"/>
          <w:sz w:val="20"/>
          <w:szCs w:val="20"/>
        </w:rPr>
        <w:t xml:space="preserve">Performance &amp; Platform</w:t>
      </w:r>
    </w:p>
    <w:p>
      <w:pPr>
        <w:pStyle w:val="ListParagraph"/>
        <w:numPr>
          <w:ilvl w:val="0"/>
          <w:numId w:val="2"/>
        </w:numPr>
        <w:spacing w:after="30" w:before="30"/>
      </w:pPr>
      <w:r>
        <w:rPr>
          <w:rFonts w:ascii="Arial" w:cs="Arial" w:eastAsia="Arial" w:hAnsi="Arial"/>
          <w:color w:val="1A1A1A"/>
          <w:sz w:val="20"/>
          <w:szCs w:val="20"/>
        </w:rPr>
        <w:t xml:space="preserve">Applied Delta Lake best practices across all layers: managed tables only (company policy), predictive optimization for automated OPTIMIZE/VACUUM, liquid clustering to auto-optimize file layout without manual Z-ordering or partitioning decisions.</w:t>
      </w:r>
    </w:p>
    <w:p>
      <w:pPr>
        <w:pStyle w:val="ListParagraph"/>
        <w:numPr>
          <w:ilvl w:val="0"/>
          <w:numId w:val="2"/>
        </w:numPr>
        <w:spacing w:after="30" w:before="30"/>
      </w:pPr>
      <w:r>
        <w:rPr>
          <w:rFonts w:ascii="Arial" w:cs="Arial" w:eastAsia="Arial" w:hAnsi="Arial"/>
          <w:color w:val="1A1A1A"/>
          <w:sz w:val="20"/>
          <w:szCs w:val="20"/>
        </w:rPr>
        <w:t xml:space="preserve">Managed Databricks cluster configuration, workspace security, Unity Catalog governance, and IDMC Secure Agent setup across Dev, UAT, and Production (4-agent HA configuration in Prod).</w:t>
      </w:r>
    </w:p>
    <w:p>
      <w:pPr>
        <w:pStyle w:val="ListParagraph"/>
        <w:numPr>
          <w:ilvl w:val="0"/>
          <w:numId w:val="2"/>
        </w:numPr>
        <w:spacing w:after="30" w:before="30"/>
      </w:pPr>
      <w:r>
        <w:rPr>
          <w:rFonts w:ascii="Arial" w:cs="Arial" w:eastAsia="Arial" w:hAnsi="Arial"/>
          <w:color w:val="1A1A1A"/>
          <w:sz w:val="20"/>
          <w:szCs w:val="20"/>
        </w:rPr>
        <w:t xml:space="preserve">Stored all credentials and connection secrets in Azure Key Vault; referenced via IDMC secure parameter store — no hardcoded secrets in any pipeline or connection configuration.</w:t>
      </w:r>
    </w:p>
    <w:p>
      <w:pPr>
        <w:pBdr>
          <w:bottom w:val="single" w:color="1D6A6A" w:sz="6" w:space="2"/>
        </w:pBdr>
        <w:spacing w:after="80" w:before="180"/>
      </w:pPr>
      <w:r>
        <w:rPr>
          <w:rFonts w:ascii="Arial" w:cs="Arial" w:eastAsia="Arial" w:hAnsi="Arial"/>
          <w:b/>
          <w:bCs/>
          <w:color w:val="1D6A6A"/>
          <w:sz w:val="22"/>
          <w:szCs w:val="22"/>
        </w:rPr>
        <w:t xml:space="preserve">PERSONAL PROJECTS</w:t>
      </w:r>
    </w:p>
    <w:p>
      <w:pPr>
        <w:tabs>
          <w:tab w:val="right" w:pos="9360"/>
        </w:tabs>
        <w:spacing w:after="20" w:before="20"/>
      </w:pPr>
      <w:r>
        <w:rPr>
          <w:rFonts w:ascii="Arial" w:cs="Arial" w:eastAsia="Arial" w:hAnsi="Arial"/>
          <w:b/>
          <w:bCs/>
          <w:color w:val="1A1A1A"/>
          <w:sz w:val="20"/>
          <w:szCs w:val="20"/>
        </w:rPr>
        <w:t xml:space="preserve">Fraud Detection System — Real-Time Streaming + ML Pipeline</w:t>
      </w:r>
      <w:r>
        <w:rPr>
          <w:rFonts w:ascii="Arial" w:cs="Arial" w:eastAsia="Arial" w:hAnsi="Arial"/>
          <w:i w:val="false"/>
          <w:iCs w:val="false"/>
          <w:color w:val="666666"/>
          <w:sz w:val="20"/>
          <w:szCs w:val="20"/>
        </w:rPr>
        <w:t xml:space="preserve">	</w:t>
      </w:r>
    </w:p>
    <w:p>
      <w:pPr>
        <w:pStyle w:val="ListParagraph"/>
        <w:numPr>
          <w:ilvl w:val="0"/>
          <w:numId w:val="2"/>
        </w:numPr>
        <w:spacing w:after="30" w:before="30"/>
      </w:pPr>
      <w:r>
        <w:rPr>
          <w:rFonts w:ascii="Arial" w:cs="Arial" w:eastAsia="Arial" w:hAnsi="Arial"/>
          <w:color w:val="1A1A1A"/>
          <w:sz w:val="20"/>
          <w:szCs w:val="20"/>
        </w:rPr>
        <w:t xml:space="preserve">Built real-time pipeline using PySpark Structured Streaming to process transaction data at scale; integrated ML model predictions for fraud scoring with low-latency, fault-tolerant processing using Delta Lake checkpointing.</w:t>
      </w:r>
    </w:p>
    <w:p>
      <w:pPr>
        <w:spacing w:after="0" w:before="60"/>
      </w:pPr>
    </w:p>
    <w:p>
      <w:pPr>
        <w:tabs>
          <w:tab w:val="right" w:pos="9360"/>
        </w:tabs>
        <w:spacing w:after="20" w:before="20"/>
      </w:pPr>
      <w:r>
        <w:rPr>
          <w:rFonts w:ascii="Arial" w:cs="Arial" w:eastAsia="Arial" w:hAnsi="Arial"/>
          <w:b/>
          <w:bCs/>
          <w:color w:val="1A1A1A"/>
          <w:sz w:val="20"/>
          <w:szCs w:val="20"/>
        </w:rPr>
        <w:t xml:space="preserve">Diabetes Risk Prediction — Healthcare Data Pipeline</w:t>
      </w:r>
      <w:r>
        <w:rPr>
          <w:rFonts w:ascii="Arial" w:cs="Arial" w:eastAsia="Arial" w:hAnsi="Arial"/>
          <w:i w:val="false"/>
          <w:iCs w:val="false"/>
          <w:color w:val="666666"/>
          <w:sz w:val="20"/>
          <w:szCs w:val="20"/>
        </w:rPr>
        <w:t xml:space="preserve">	</w:t>
      </w:r>
    </w:p>
    <w:p>
      <w:pPr>
        <w:pStyle w:val="ListParagraph"/>
        <w:numPr>
          <w:ilvl w:val="0"/>
          <w:numId w:val="2"/>
        </w:numPr>
        <w:spacing w:after="30" w:before="30"/>
      </w:pPr>
      <w:r>
        <w:rPr>
          <w:rFonts w:ascii="Arial" w:cs="Arial" w:eastAsia="Arial" w:hAnsi="Arial"/>
          <w:color w:val="1A1A1A"/>
          <w:sz w:val="20"/>
          <w:szCs w:val="20"/>
        </w:rPr>
        <w:t xml:space="preserve">End-to-end pipeline for healthcare data ingestion, transformation, and ML feature engineering; implemented data validation, deduplication, and standardization workflows delivering analytics-ready datasets for predictive modeling.</w:t>
      </w:r>
    </w:p>
    <w:p>
      <w:pPr>
        <w:spacing w:after="0" w:before="60"/>
      </w:pPr>
    </w:p>
    <w:p>
      <w:pPr>
        <w:tabs>
          <w:tab w:val="right" w:pos="9360"/>
        </w:tabs>
        <w:spacing w:after="20" w:before="20"/>
      </w:pPr>
      <w:r>
        <w:rPr>
          <w:rFonts w:ascii="Arial" w:cs="Arial" w:eastAsia="Arial" w:hAnsi="Arial"/>
          <w:b/>
          <w:bCs/>
          <w:color w:val="1A1A1A"/>
          <w:sz w:val="20"/>
          <w:szCs w:val="20"/>
        </w:rPr>
        <w:t xml:space="preserve">E-Commerce Batch ETL Pipeline</w:t>
      </w:r>
      <w:r>
        <w:rPr>
          <w:rFonts w:ascii="Arial" w:cs="Arial" w:eastAsia="Arial" w:hAnsi="Arial"/>
          <w:i w:val="false"/>
          <w:iCs w:val="false"/>
          <w:color w:val="666666"/>
          <w:sz w:val="20"/>
          <w:szCs w:val="20"/>
        </w:rPr>
        <w:t xml:space="preserve">	</w:t>
      </w:r>
    </w:p>
    <w:p>
      <w:pPr>
        <w:pStyle w:val="ListParagraph"/>
        <w:numPr>
          <w:ilvl w:val="0"/>
          <w:numId w:val="2"/>
        </w:numPr>
        <w:spacing w:after="30" w:before="30"/>
      </w:pPr>
      <w:r>
        <w:rPr>
          <w:rFonts w:ascii="Arial" w:cs="Arial" w:eastAsia="Arial" w:hAnsi="Arial"/>
          <w:color w:val="1A1A1A"/>
          <w:sz w:val="20"/>
          <w:szCs w:val="20"/>
        </w:rPr>
        <w:t xml:space="preserve">Built Medallion architecture (Bronze/Silver/Gold) batch ETL pipeline using PySpark and Databricks SQL; delivered analytics-ready dimensional model for reporting.</w:t>
      </w:r>
    </w:p>
    <w:p>
      <w:pPr>
        <w:pBdr>
          <w:bottom w:val="single" w:color="1D6A6A" w:sz="6" w:space="2"/>
        </w:pBdr>
        <w:spacing w:after="80" w:before="180"/>
      </w:pPr>
      <w:r>
        <w:rPr>
          <w:rFonts w:ascii="Arial" w:cs="Arial" w:eastAsia="Arial" w:hAnsi="Arial"/>
          <w:b/>
          <w:bCs/>
          <w:color w:val="1D6A6A"/>
          <w:sz w:val="22"/>
          <w:szCs w:val="22"/>
        </w:rPr>
        <w:t xml:space="preserve">CERTIFICATIONS</w:t>
      </w:r>
    </w:p>
    <w:p>
      <w:pPr>
        <w:pStyle w:val="ListParagraph"/>
        <w:numPr>
          <w:ilvl w:val="0"/>
          <w:numId w:val="2"/>
        </w:numPr>
        <w:spacing w:after="30" w:before="30"/>
      </w:pPr>
      <w:r>
        <w:rPr>
          <w:rFonts w:ascii="Arial" w:cs="Arial" w:eastAsia="Arial" w:hAnsi="Arial"/>
          <w:color w:val="1A1A1A"/>
          <w:sz w:val="20"/>
          <w:szCs w:val="20"/>
        </w:rPr>
        <w:t xml:space="preserve">Databricks Certified Data Engineer Associate</w:t>
      </w:r>
    </w:p>
    <w:p>
      <w:pPr>
        <w:pStyle w:val="ListParagraph"/>
        <w:numPr>
          <w:ilvl w:val="0"/>
          <w:numId w:val="2"/>
        </w:numPr>
        <w:spacing w:after="30" w:before="30"/>
      </w:pPr>
      <w:r>
        <w:rPr>
          <w:rFonts w:ascii="Arial" w:cs="Arial" w:eastAsia="Arial" w:hAnsi="Arial"/>
          <w:color w:val="1A1A1A"/>
          <w:sz w:val="20"/>
          <w:szCs w:val="20"/>
        </w:rPr>
        <w:t xml:space="preserve">Salesforce Certified Platform Developer I</w:t>
      </w:r>
    </w:p>
    <w:p>
      <w:pPr>
        <w:pStyle w:val="ListParagraph"/>
        <w:numPr>
          <w:ilvl w:val="0"/>
          <w:numId w:val="2"/>
        </w:numPr>
        <w:spacing w:after="30" w:before="30"/>
      </w:pPr>
      <w:r>
        <w:rPr>
          <w:rFonts w:ascii="Arial" w:cs="Arial" w:eastAsia="Arial" w:hAnsi="Arial"/>
          <w:color w:val="1A1A1A"/>
          <w:sz w:val="20"/>
          <w:szCs w:val="20"/>
        </w:rPr>
        <w:t xml:space="preserve">Salesforce Certified Administrator</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2026-04-24T14:49:43.762Z</dcterms:created>
  <dcterms:modified xsi:type="dcterms:W3CDTF">2026-04-24T14:49:43.763Z</dcterms:modified>
</cp:coreProperties>
</file>

<file path=docProps/custom.xml><?xml version="1.0" encoding="utf-8"?>
<Properties xmlns="http://schemas.openxmlformats.org/officeDocument/2006/custom-properties" xmlns:vt="http://schemas.openxmlformats.org/officeDocument/2006/docPropsVTypes"/>
</file>