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FCF13">
      <w:pPr>
        <w:widowControl w:val="0"/>
        <w:kinsoku w:val="0"/>
        <w:wordWrap w:val="0"/>
        <w:autoSpaceDE w:val="0"/>
        <w:autoSpaceDN w:val="0"/>
        <w:adjustRightInd w:val="0"/>
        <w:spacing w:line="246" w:lineRule="auto"/>
        <w:ind w:left="4200"/>
        <w:textAlignment w:val="baseline"/>
        <w:outlineLvl w:val="1"/>
      </w:pPr>
      <w:r>
        <w:rPr>
          <w:color w:val="000000"/>
          <w:sz w:val="50"/>
          <w:szCs w:val="50"/>
        </w:rPr>
        <w:t>Bhargava</w:t>
      </w:r>
      <w:r>
        <w:rPr>
          <w:color w:val="000000"/>
          <w:w w:val="73"/>
          <w:sz w:val="50"/>
          <w:szCs w:val="50"/>
        </w:rPr>
        <w:t xml:space="preserve"> </w:t>
      </w:r>
      <w:r>
        <w:rPr>
          <w:color w:val="000000"/>
          <w:sz w:val="50"/>
          <w:szCs w:val="50"/>
        </w:rPr>
        <w:t>K</w:t>
      </w:r>
    </w:p>
    <w:p w14:paraId="6767CE49">
      <w:pPr>
        <w:widowControl w:val="0"/>
        <w:kinsoku w:val="0"/>
        <w:wordWrap w:val="0"/>
        <w:autoSpaceDE w:val="0"/>
        <w:autoSpaceDN w:val="0"/>
        <w:adjustRightInd w:val="0"/>
        <w:ind w:left="2900"/>
        <w:textAlignment w:val="baseline"/>
      </w:pPr>
      <w:r>
        <w:rPr>
          <w:color w:val="000000"/>
          <w:spacing w:val="1"/>
          <w:sz w:val="18"/>
          <w:szCs w:val="18"/>
        </w:rPr>
        <w:t>Wylie,TX 75098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+1-214-851-5442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fldChar w:fldCharType="begin"/>
      </w:r>
      <w:r>
        <w:instrText xml:space="preserve"> HYPERLINK "mailto:Bhargavask025@gmail.com" \h </w:instrText>
      </w:r>
      <w:r>
        <w:fldChar w:fldCharType="separate"/>
      </w:r>
      <w:r>
        <w:rPr>
          <w:color w:val="000000"/>
          <w:sz w:val="18"/>
          <w:szCs w:val="18"/>
          <w:u w:val="single" w:color="000000"/>
        </w:rPr>
        <w:t>Bhargavask025@gmail.com</w:t>
      </w:r>
      <w:r>
        <w:rPr>
          <w:color w:val="000000"/>
          <w:sz w:val="18"/>
          <w:szCs w:val="18"/>
          <w:u w:val="single" w:color="000000"/>
        </w:rPr>
        <w:fldChar w:fldCharType="end"/>
      </w:r>
    </w:p>
    <w:p w14:paraId="1461C42D">
      <w:pPr>
        <w:widowControl w:val="0"/>
        <w:kinsoku w:val="0"/>
        <w:wordWrap w:val="0"/>
        <w:autoSpaceDE w:val="0"/>
        <w:autoSpaceDN w:val="0"/>
        <w:adjustRightInd w:val="0"/>
        <w:spacing w:line="118" w:lineRule="auto"/>
        <w:jc w:val="both"/>
        <w:textAlignment w:val="baseline"/>
        <w:rPr>
          <w:rFonts w:ascii="Arial" w:hAnsi="Arial" w:eastAsia="Arial" w:cs="Arial"/>
        </w:rPr>
      </w:pPr>
    </w:p>
    <w:p w14:paraId="05AFBD48">
      <w:pPr>
        <w:widowControl w:val="0"/>
        <w:kinsoku w:val="0"/>
        <w:wordWrap w:val="0"/>
        <w:autoSpaceDE w:val="0"/>
        <w:autoSpaceDN w:val="0"/>
        <w:adjustRightInd w:val="0"/>
        <w:spacing w:after="80"/>
        <w:textAlignment w:val="baseline"/>
        <w:outlineLvl w:val="3"/>
      </w:pPr>
      <w:r>
        <w:rPr>
          <w:b/>
          <w:color w:val="000000"/>
          <w:w w:val="99"/>
          <w:sz w:val="22"/>
          <w:szCs w:val="22"/>
        </w:rPr>
        <w:t>PR</w:t>
      </w:r>
      <w:r>
        <w:rPr>
          <w:b/>
          <w:color w:val="000000"/>
          <w:sz w:val="22"/>
          <w:szCs w:val="22"/>
        </w:rPr>
        <w:t>OFESSIONAL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SUMMARY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8E77C">
      <w:pPr>
        <w:widowControl w:val="0"/>
        <w:kinsoku w:val="0"/>
        <w:wordWrap w:val="0"/>
        <w:autoSpaceDE w:val="0"/>
        <w:autoSpaceDN w:val="0"/>
        <w:adjustRightInd w:val="0"/>
        <w:textAlignment w:val="baseline"/>
        <w:outlineLvl w:val="3"/>
      </w:pPr>
      <w:r>
        <w:t>Data Analyst with 5+ years of experience in predictive modeling, dashboard development, and data pipeline optimization. Skilled in Python (Scikit-learn, Pandas, NumPy), SQL, Tableau, Power BI, Azure Data Factory, SSIS, Airflow, and AWS (S3, Redshift). Experienced with healthcare (EHR/EMR, HIPAA, ICD-10, FHIR, HL7) and financial data (credit risk, AML, Basel III, IFRS 9).</w:t>
      </w:r>
    </w:p>
    <w:p w14:paraId="455F603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SKILLS</w: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83805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Programming &amp; Analysis:</w:t>
      </w:r>
      <w:r>
        <w:rPr>
          <w:sz w:val="20"/>
          <w:szCs w:val="20"/>
        </w:rPr>
        <w:t xml:space="preserve"> Python, SQL, Scikit-learn, Pandas, NumPy, A/B Testing, EDA, ML Models</w:t>
      </w:r>
    </w:p>
    <w:p w14:paraId="07B9DA22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Visualization:</w:t>
      </w:r>
      <w:r>
        <w:rPr>
          <w:sz w:val="20"/>
          <w:szCs w:val="20"/>
        </w:rPr>
        <w:t xml:space="preserve"> Tableau, Power BI, Excel (Power Query, Pivot Tables, Advanced Functions)</w:t>
      </w:r>
    </w:p>
    <w:p w14:paraId="7FF20B50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Databases:</w:t>
      </w:r>
      <w:r>
        <w:rPr>
          <w:sz w:val="20"/>
          <w:szCs w:val="20"/>
        </w:rPr>
        <w:t xml:space="preserve"> MySQL, PostgreSQL, Redshift, Azure SQL Database</w:t>
      </w:r>
    </w:p>
    <w:p w14:paraId="03A8E86A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ETL &amp; Data Engineering:</w:t>
      </w:r>
      <w:r>
        <w:rPr>
          <w:sz w:val="20"/>
          <w:szCs w:val="20"/>
        </w:rPr>
        <w:t xml:space="preserve"> Airflow, Talend, SSIS, Azure Data Factory, Python ETL Pipelines</w:t>
      </w:r>
    </w:p>
    <w:p w14:paraId="01E8D0CD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Cloud &amp; Big Data:</w:t>
      </w:r>
      <w:r>
        <w:rPr>
          <w:sz w:val="20"/>
          <w:szCs w:val="20"/>
        </w:rPr>
        <w:t xml:space="preserve"> AWS (S3, Redshift), Azure, Hadoop, Hive, MongoDB, NoSQL</w:t>
      </w:r>
    </w:p>
    <w:p w14:paraId="5B9EF4FB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Healthcare &amp; Compliance:</w:t>
      </w:r>
      <w:r>
        <w:rPr>
          <w:sz w:val="20"/>
          <w:szCs w:val="20"/>
        </w:rPr>
        <w:t xml:space="preserve"> HIPAA, ICD-10, CPT, HL7, FHIR, Basel III, IFRS 9</w:t>
      </w:r>
    </w:p>
    <w:p w14:paraId="7C2916FA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DevOps &amp; Agile:</w:t>
      </w:r>
      <w:r>
        <w:rPr>
          <w:sz w:val="20"/>
          <w:szCs w:val="20"/>
        </w:rPr>
        <w:t xml:space="preserve"> Git, GitHub, Azure DevOps, JIRA, Confluence, CI/CD, Docker, Kubernetes</w:t>
      </w:r>
    </w:p>
    <w:p w14:paraId="4F6364D6">
      <w:pPr>
        <w:pStyle w:val="4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Style w:val="5"/>
          <w:sz w:val="20"/>
          <w:szCs w:val="20"/>
        </w:rPr>
        <w:t>Other:</w:t>
      </w:r>
      <w:r>
        <w:rPr>
          <w:sz w:val="20"/>
          <w:szCs w:val="20"/>
        </w:rPr>
        <w:t xml:space="preserve"> Business Intelligence, KPI tracking, Data Architecture, Problem-Solving, Linux/Windows</w:t>
      </w:r>
    </w:p>
    <w:p w14:paraId="21E58AA6">
      <w:pPr>
        <w:widowControl w:val="0"/>
        <w:kinsoku w:val="0"/>
        <w:wordWrap w:val="0"/>
        <w:autoSpaceDE w:val="0"/>
        <w:autoSpaceDN w:val="0"/>
        <w:adjustRightInd w:val="0"/>
        <w:spacing w:line="251" w:lineRule="auto"/>
        <w:textAlignment w:val="baseline"/>
        <w:outlineLvl w:val="3"/>
      </w:pPr>
      <w:r>
        <w:rPr>
          <w:b/>
          <w:color w:val="000000"/>
        </w:rPr>
        <w:t>PROFESSIONAL</w:t>
      </w:r>
      <w:r>
        <w:rPr>
          <w:b/>
          <w:color w:val="000000"/>
          <w:w w:val="83"/>
        </w:rPr>
        <w:t xml:space="preserve"> </w:t>
      </w:r>
      <w:r>
        <w:rPr>
          <w:b/>
          <w:color w:val="000000"/>
        </w:rPr>
        <w:t>EXPERIENCE</w: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255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4C4FD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color w:val="000000"/>
          <w:sz w:val="21"/>
          <w:szCs w:val="21"/>
        </w:rPr>
        <w:t>CVS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Healthcare</w:t>
      </w:r>
      <w:r>
        <w:rPr>
          <w:b/>
          <w:color w:val="000000"/>
          <w:spacing w:val="7526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Aug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2024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-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Jul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2025</w:t>
      </w:r>
    </w:p>
    <w:p w14:paraId="18061114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color w:val="000000"/>
        </w:rPr>
        <w:t>Data</w:t>
      </w:r>
      <w:r>
        <w:rPr>
          <w:i/>
          <w:color w:val="000000"/>
          <w:spacing w:val="2"/>
        </w:rPr>
        <w:t xml:space="preserve"> </w:t>
      </w:r>
      <w:r>
        <w:rPr>
          <w:i/>
          <w:color w:val="000000"/>
        </w:rPr>
        <w:t>Analyst</w:t>
      </w:r>
      <w:r>
        <w:rPr>
          <w:i/>
          <w:color w:val="000000"/>
          <w:spacing w:val="9466"/>
        </w:rPr>
        <w:t xml:space="preserve"> </w:t>
      </w:r>
      <w:r>
        <w:rPr>
          <w:i/>
          <w:color w:val="000000"/>
          <w:w w:val="99"/>
        </w:rPr>
        <w:t>TX</w:t>
      </w:r>
    </w:p>
    <w:p w14:paraId="7C45BD61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predictive models using Python (Scikit-learn, Pandas, NumPy) to assess patient readmission risks, reducing hospital readmission rates by 18% and optimizing treatment plans through real-time risk scoring.</w:t>
      </w:r>
    </w:p>
    <w:p w14:paraId="1A7F3FC8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deployed interactive Tableau dashboards, enabling real-time KPI tracking for patient outcomes, operational efficiency and cost metrics, reducing report generation time by 35% and improving decision-making.</w:t>
      </w:r>
    </w:p>
    <w:p w14:paraId="1EBE93C8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Optimized SQL queries and indexing strategies for healthcare claims, patient demographics and EDI transactions, improving query execution speed by 40% and reducing ETL processing latency.</w:t>
      </w:r>
    </w:p>
    <w:p w14:paraId="10381502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Engineered and automated ETL pipelines using Azure Data Factory, SSIS and Python, reducing data ingestion and transformation time by 50% while ensuring data accuracy and compliance with healthcare standards.</w:t>
      </w:r>
    </w:p>
    <w:p w14:paraId="528AADCA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Extracted, cleaned and processed EHR/EMR data to identify trends in patient care, diagnoses and treatment effectiveness, enabling data-driven cost optimization and improving patient outcomes.</w:t>
      </w:r>
    </w:p>
    <w:p w14:paraId="2D3A03D6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HIPAA-compliant security measures, including data encryption (AES-256), anonymization techniques and role-based access controls (RBAC) to safeguard sensitive patient records from unauthorized access.</w:t>
      </w:r>
    </w:p>
    <w:p w14:paraId="46E46C7C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 ICD-10/CPT codes to improve billing accuracy and RCM, reducing errors.</w:t>
      </w:r>
    </w:p>
    <w:p w14:paraId="38C3A3AE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and deployed Apache Airflow DAGs to schedule, monitor and optimize ETL workflows, improving pipeline efficiency and ensuring seamless data integration across multiple healthcare systems.</w:t>
      </w:r>
    </w:p>
    <w:p w14:paraId="2E26F185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Agile teams using JIRA, Confluence, and Azure DevOps.</w:t>
      </w:r>
    </w:p>
    <w:p w14:paraId="5A204393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HL7/FHIR standards for secure data exchange across healthcare systems.</w:t>
      </w:r>
    </w:p>
    <w:p w14:paraId="53F92046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Automated Power Query transformations in Excel, streamlining complex claims processing, financial reporting and patient data reconciliation, reducing manual data processing by 45%.</w:t>
      </w:r>
    </w:p>
    <w:p w14:paraId="70E5492B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color w:val="000000"/>
          <w:w w:val="99"/>
          <w:sz w:val="21"/>
          <w:szCs w:val="21"/>
        </w:rPr>
        <w:t>BitInfoCom</w:t>
      </w:r>
      <w:r>
        <w:rPr>
          <w:b/>
          <w:color w:val="000000"/>
          <w:spacing w:val="9"/>
          <w:w w:val="70"/>
          <w:sz w:val="21"/>
          <w:szCs w:val="21"/>
        </w:rPr>
        <w:t xml:space="preserve"> </w:t>
      </w:r>
      <w:r>
        <w:rPr>
          <w:b/>
          <w:color w:val="000000"/>
          <w:w w:val="99"/>
          <w:sz w:val="21"/>
          <w:szCs w:val="21"/>
        </w:rPr>
        <w:t>Technologies</w:t>
      </w:r>
      <w:r>
        <w:rPr>
          <w:b/>
          <w:color w:val="000000"/>
          <w:spacing w:val="6679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Oct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2018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2022</w:t>
      </w:r>
    </w:p>
    <w:p w14:paraId="2734DAA7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color w:val="000000"/>
        </w:rPr>
        <w:t>Data</w:t>
      </w:r>
      <w:r>
        <w:rPr>
          <w:i/>
          <w:color w:val="000000"/>
          <w:spacing w:val="2"/>
        </w:rPr>
        <w:t xml:space="preserve"> </w:t>
      </w:r>
      <w:r>
        <w:rPr>
          <w:i/>
          <w:color w:val="000000"/>
        </w:rPr>
        <w:t>Analyst</w:t>
      </w:r>
      <w:r>
        <w:rPr>
          <w:i/>
          <w:color w:val="000000"/>
          <w:spacing w:val="9275"/>
        </w:rPr>
        <w:t xml:space="preserve"> </w:t>
      </w:r>
      <w:r>
        <w:rPr>
          <w:i/>
          <w:color w:val="000000"/>
          <w:w w:val="99"/>
        </w:rPr>
        <w:t>India</w:t>
      </w:r>
    </w:p>
    <w:p w14:paraId="05C171D6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Spearheaded the creation of an advanced credit risk scoring model utilizing machine learning algorithms, resulting in a 25% 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</w:rPr>
        <w:t>improvement in prediction accuracy and a 15% reduction in default rates over a two-year period.</w:t>
      </w:r>
    </w:p>
    <w:p w14:paraId="6938E300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Executed comprehensive A/B testing methodologies on innovative underwriting processes, achieving a 20% increase in loan approval </w:t>
      </w:r>
    </w:p>
    <w:p w14:paraId="4669630C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Leveraged Python and SQL to conduct in-depth analyses of extensive datasets, uncovering critical trends and patterns in credit risk that informed strategic decision-making and risk management initiatives.</w:t>
      </w:r>
    </w:p>
    <w:p w14:paraId="54099A5A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Engineered and deployed robust ETL processes using Talend, facilitating seamless data integration from diverse sources and ensuring high data quality for analytical purposes.</w:t>
      </w:r>
    </w:p>
    <w:p w14:paraId="0F73441E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Employed AWS services, including S3 and Redshift, to architect scalable and efficient data storage and processing solutions, optimizing data accessibility and performance for analytical tasks.</w:t>
      </w:r>
    </w:p>
    <w:p w14:paraId="5408E912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targeted training sessions for cross-functional teams on data visualization best practices, utilizing tools such as Excel and Power BI to enhance data storytelling and reporting capabilities.</w:t>
      </w:r>
    </w:p>
    <w:p w14:paraId="74E23DE3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strict adherence to regulatory standards, including Basel III and IFRS 9, throughout all analytical processes, thereby mitigating compliance risks and enhancing organizational integrity.</w:t>
      </w:r>
    </w:p>
    <w:p w14:paraId="266D3251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the design and execution of sophisticated AML analytics frameworks, contributing to the identification and prevention of fraudulent activities within the banking sector.</w:t>
      </w:r>
    </w:p>
    <w:p w14:paraId="3AEA2C3A">
      <w:pPr>
        <w:pStyle w:val="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project timelines, deliverables and team collaboration using JIRA and Confluence, ensuring alignment with organizational goals and timely completion of analytical projects.</w:t>
      </w:r>
    </w:p>
    <w:p w14:paraId="6761B4BF">
      <w:pPr>
        <w:widowControl w:val="0"/>
        <w:kinsoku w:val="0"/>
        <w:wordWrap w:val="0"/>
        <w:autoSpaceDE w:val="0"/>
        <w:autoSpaceDN w:val="0"/>
        <w:adjustRightInd w:val="0"/>
        <w:spacing w:before="1" w:line="241" w:lineRule="auto"/>
        <w:textAlignment w:val="baseline"/>
        <w:outlineLvl w:val="3"/>
        <w:rPr>
          <w:u w:val="none"/>
        </w:rPr>
      </w:pPr>
      <w:r>
        <w:rPr>
          <w:b/>
          <w:color w:val="000000"/>
          <w:spacing w:val="-1"/>
          <w:w w:val="99"/>
          <w:sz w:val="22"/>
          <w:szCs w:val="22"/>
          <w:u w:val="none"/>
        </w:rPr>
        <w:t>EDUCATION</w:t>
      </w:r>
      <w:r>
        <w:rPr>
          <w:u w:val="none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255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87652">
      <w:pPr>
        <w:widowControl w:val="0"/>
        <w:kinsoku w:val="0"/>
        <w:wordWrap w:val="0"/>
        <w:autoSpaceDE w:val="0"/>
        <w:autoSpaceDN w:val="0"/>
        <w:adjustRightInd w:val="0"/>
        <w:spacing w:before="2" w:line="236" w:lineRule="auto"/>
        <w:textAlignment w:val="baseline"/>
        <w:rPr>
          <w:rFonts w:hint="default"/>
          <w:lang w:val="en-GB"/>
        </w:rPr>
      </w:pPr>
      <w:r>
        <w:rPr>
          <w:b/>
          <w:color w:val="000000"/>
          <w:w w:val="99"/>
          <w:sz w:val="21"/>
          <w:szCs w:val="21"/>
        </w:rPr>
        <w:t>Trine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university</w:t>
      </w:r>
      <w:r>
        <w:rPr>
          <w:rFonts w:hint="default"/>
          <w:b/>
          <w:color w:val="000000"/>
          <w:sz w:val="21"/>
          <w:szCs w:val="21"/>
          <w:lang w:val="en-GB"/>
        </w:rPr>
        <w:t xml:space="preserve"> </w:t>
      </w:r>
      <w:r>
        <w:rPr>
          <w:i/>
          <w:color w:val="000000"/>
        </w:rPr>
        <w:t>Master's,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Business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Analytics</w:t>
      </w:r>
    </w:p>
    <w:sectPr>
      <w:type w:val="continuous"/>
      <w:pgSz w:w="12240" w:h="15840"/>
      <w:pgMar w:top="500" w:right="600" w:bottom="700" w:left="700" w:header="0" w:footer="0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119F4"/>
    <w:multiLevelType w:val="singleLevel"/>
    <w:tmpl w:val="0BC119F4"/>
    <w:lvl w:ilvl="0" w:tentative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1">
    <w:nsid w:val="14D60A00"/>
    <w:multiLevelType w:val="singleLevel"/>
    <w:tmpl w:val="14D60A00"/>
    <w:lvl w:ilvl="0" w:tentative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2">
    <w:nsid w:val="78FB1781"/>
    <w:multiLevelType w:val="singleLevel"/>
    <w:tmpl w:val="78FB1781"/>
    <w:lvl w:ilvl="0" w:tentative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00D"/>
    <w:rsid w:val="000D65E7"/>
    <w:rsid w:val="00144C58"/>
    <w:rsid w:val="00226CCE"/>
    <w:rsid w:val="0024116E"/>
    <w:rsid w:val="002F5E8C"/>
    <w:rsid w:val="0049410F"/>
    <w:rsid w:val="00701F29"/>
    <w:rsid w:val="00715C9D"/>
    <w:rsid w:val="00A97E84"/>
    <w:rsid w:val="00AC700D"/>
    <w:rsid w:val="00DF6143"/>
    <w:rsid w:val="00E93CFB"/>
    <w:rsid w:val="00E9477F"/>
    <w:rsid w:val="00FF5C49"/>
    <w:rsid w:val="3C7052B5"/>
    <w:rsid w:val="3ED52DD1"/>
    <w:rsid w:val="7FA9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</w:pPr>
    <w:rPr>
      <w:sz w:val="24"/>
      <w:szCs w:val="24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734</Words>
  <Characters>4186</Characters>
  <DocSecurity>0</DocSecurity>
  <Lines>34</Lines>
  <Paragraphs>9</Paragraphs>
  <ScaleCrop>false</ScaleCrop>
  <LinksUpToDate>false</LinksUpToDate>
  <CharactersWithSpaces>4911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2025-09-08T12:07:00Z</dcterms:created>
  <dcterms:modified xsi:type="dcterms:W3CDTF">2025-09-08T16:00:01Z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6F54AE84AF774427BE8D8FA23992F59D_12</vt:lpwstr>
  </property>
</Properties>
</file>