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FAHIMA OSMAN</w:t>
      </w:r>
    </w:p>
    <w:p>
      <w:r>
        <w:rPr>
          <w:sz w:val="22"/>
        </w:rPr>
        <w:t>Kansas City, MO | (503) 740-0391 | fahimak.osman@gmail.com</w:t>
      </w:r>
    </w:p>
    <w:p>
      <w:pPr>
        <w:pStyle w:val="Heading1"/>
      </w:pPr>
      <w:r>
        <w:t>PROFESSIONAL SUMMARY</w:t>
      </w:r>
    </w:p>
    <w:p>
      <w:r>
        <w:rPr>
          <w:sz w:val="22"/>
        </w:rPr>
        <w:t>Highly skilled and dedicated professional with a diverse background in pharmacovigilance, data analysis, program coordination, and education. Currently pursuing CompTIA A+ and Network+ certifications to enhance technical expertise. Proven track record of excellence in problem-solving, managing complex systems, and ensuring compliance with regulatory standards. Proficient in Oracle SQL, Argus Safety, and pharmacovigilance processes across human and veterinary health domains.</w:t>
      </w:r>
    </w:p>
    <w:p>
      <w:pPr>
        <w:pStyle w:val="Heading1"/>
      </w:pPr>
      <w:r>
        <w:t>SKILLS &amp; CERTIFICATIONS</w:t>
      </w:r>
    </w:p>
    <w:p>
      <w:r>
        <w:rPr>
          <w:sz w:val="22"/>
        </w:rPr>
        <w:t>- Certifications: Google IT &amp; Data Analytics; Advanced International Pharmacovigilance &amp; Argus Safety Certification (APVASC)</w:t>
      </w:r>
    </w:p>
    <w:p>
      <w:r>
        <w:rPr>
          <w:sz w:val="22"/>
        </w:rPr>
        <w:t>- In Progress: CompTIA A+ and CompTIA Network+</w:t>
      </w:r>
    </w:p>
    <w:p>
      <w:r>
        <w:rPr>
          <w:sz w:val="22"/>
        </w:rPr>
        <w:t>- Technical Skills: Oracle SQL, Python, SaaS, R; Microsoft Office Suite; SQL Server Reporting Services (SSRS), SQL Server Integration Services (SSIS)</w:t>
      </w:r>
    </w:p>
    <w:p>
      <w:r>
        <w:rPr>
          <w:sz w:val="22"/>
        </w:rPr>
        <w:t>- Languages: Somali (Native), Spanish (Beginner), Arabic (Beginner)</w:t>
      </w:r>
    </w:p>
    <w:p>
      <w:pPr>
        <w:pStyle w:val="Heading1"/>
      </w:pPr>
      <w:r>
        <w:t>PROFESSIONAL EXPERIENCE</w:t>
      </w:r>
    </w:p>
    <w:p>
      <w:r>
        <w:rPr>
          <w:b/>
          <w:sz w:val="22"/>
        </w:rPr>
        <w:t>Pharmacovigilance Specialist</w:t>
      </w:r>
    </w:p>
    <w:p>
      <w:r>
        <w:rPr>
          <w:sz w:val="22"/>
        </w:rPr>
        <w:t>Boehringer Ingelheim | May 2024 – Present</w:t>
      </w:r>
    </w:p>
    <w:p>
      <w:r>
        <w:rPr>
          <w:sz w:val="22"/>
        </w:rPr>
        <w:t>• Managed pharmacovigilance activities for veterinary products, including intake, assessment, and reporting of adverse events for companion and food-producing animals.</w:t>
        <w:br/>
        <w:t>• Ensured compliance with global regulatory requirements (FDA/CVM, EMA/VMD, MAH) and internal SOPs.</w:t>
        <w:br/>
        <w:t>• Entered and coded case data using MedDRA Vet and WHO Drug dictionaries within safety systems (VetCompass, Argus Safety).</w:t>
        <w:br/>
        <w:t>• Conducted causality assessments, reviewed clinical and laboratory data, and authored safety narratives for SAE and non-SAE cases.</w:t>
        <w:br/>
        <w:t>• Supported PSUR preparation, inspections, and regulatory inquiries.</w:t>
        <w:br/>
        <w:t>• Collaborated with global PV teams, regulatory affairs, R&amp;D, and veterinarians to ensure timely reporting and data accuracy.</w:t>
        <w:br/>
        <w:t>• Contributed to signal detection and trend analysis to support proactive risk management strategies.</w:t>
      </w:r>
    </w:p>
    <w:p>
      <w:r>
        <w:rPr>
          <w:b/>
          <w:sz w:val="22"/>
        </w:rPr>
        <w:t>Pharmacovigilance Systems Admin Support</w:t>
      </w:r>
    </w:p>
    <w:p>
      <w:r>
        <w:rPr>
          <w:sz w:val="22"/>
        </w:rPr>
        <w:t>Boehringer Ingelheim | July 2023 – May 2024</w:t>
      </w:r>
    </w:p>
    <w:p>
      <w:r>
        <w:rPr>
          <w:sz w:val="22"/>
        </w:rPr>
        <w:t>• Generated and validated reports from PV-Works, leveraging clinical trial data to ensure accuracy and regulatory compliance.</w:t>
        <w:br/>
        <w:t>• Managed product entries and system maintenance in PV Works; triaged ServiceNow tickets and monitored system performance.</w:t>
        <w:br/>
        <w:t>• Collaborated with IT to resolve issues and maintained content on GPV intranet and PV team’s SharePoint site.</w:t>
        <w:br/>
        <w:t>• Organized pharmacovigilance documentation and training assignments, improving access to critical information and regulatory compliance.</w:t>
      </w:r>
    </w:p>
    <w:p>
      <w:r>
        <w:rPr>
          <w:b/>
          <w:sz w:val="22"/>
        </w:rPr>
        <w:t>Pharmacovigilance Specialist</w:t>
      </w:r>
    </w:p>
    <w:p>
      <w:r>
        <w:rPr>
          <w:sz w:val="22"/>
        </w:rPr>
        <w:t>ProPharma Group | June 2021 – June 2023</w:t>
      </w:r>
    </w:p>
    <w:p>
      <w:r>
        <w:rPr>
          <w:sz w:val="22"/>
        </w:rPr>
        <w:t>• Processed Serious Adverse Events (SAEs) and ensured timely and accurate case reporting.</w:t>
        <w:br/>
        <w:t>• Performed QC checks of SAE/EAE reports and data entry in Oracle/Argus systems.</w:t>
        <w:br/>
        <w:t>• Conducted Argus searches for historical cases and trained new hires on PV processes and tools.</w:t>
      </w:r>
    </w:p>
    <w:p>
      <w:r>
        <w:rPr>
          <w:b/>
          <w:sz w:val="22"/>
        </w:rPr>
        <w:t>Parent Educator</w:t>
      </w:r>
    </w:p>
    <w:p>
      <w:r>
        <w:rPr>
          <w:sz w:val="22"/>
        </w:rPr>
        <w:t>The Family Conservancy | 2018 – 2021</w:t>
      </w:r>
    </w:p>
    <w:p>
      <w:r>
        <w:rPr>
          <w:sz w:val="22"/>
        </w:rPr>
        <w:t>• Analyzed applicant data, developed personalized family plans, and generated reports using Oracle SQL.</w:t>
        <w:br/>
        <w:t>• Prepared program evaluation and financial reports utilizing DAISY and RedCap databases.</w:t>
      </w:r>
    </w:p>
    <w:p>
      <w:r>
        <w:rPr>
          <w:b/>
          <w:sz w:val="22"/>
        </w:rPr>
        <w:t>Special Education Educator</w:t>
      </w:r>
    </w:p>
    <w:p>
      <w:r>
        <w:rPr>
          <w:sz w:val="22"/>
        </w:rPr>
        <w:t>Kansas City Public School | 2017 – 2018</w:t>
      </w:r>
    </w:p>
    <w:p>
      <w:r>
        <w:rPr>
          <w:sz w:val="22"/>
        </w:rPr>
        <w:t>• Supported individualized education plans and monitored student progress through continuous data collection.</w:t>
      </w:r>
    </w:p>
    <w:p>
      <w:pPr>
        <w:pStyle w:val="Heading1"/>
      </w:pPr>
      <w:r>
        <w:t>EDUCATION</w:t>
      </w:r>
    </w:p>
    <w:p>
      <w:r>
        <w:rPr>
          <w:sz w:val="22"/>
        </w:rPr>
        <w:t>• Principles of Clinical Pharmacology and Introduction to Clinical Research – Ongoing</w:t>
      </w:r>
    </w:p>
    <w:p>
      <w:r>
        <w:rPr>
          <w:sz w:val="22"/>
        </w:rPr>
        <w:t>• Bachelor of Science in Speech and Hearing Sciences – Portland State University,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