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r>
        <w:t xml:space="preserve"/>
      </w:r>
    </w:p>
    <w:p>
      <w:pPr>
        <w:spacing w:after="200"/>
        <w:jc w:val="center"/>
      </w:pPr>
      <w:r>
        <w:rPr>
          <w:rFonts w:ascii="Arial" w:cs="Arial" w:eastAsia="Arial" w:hAnsi="Arial"/>
          <w:b/>
          <w:bCs/>
          <w:color w:val="1F4E79"/>
          <w:sz w:val="28"/>
          <w:szCs w:val="28"/>
        </w:rPr>
        <w:t xml:space="preserve">KWAME NKRUMAH UNIVERSITY OF SCIENCE AND TECHNOLOGY</w:t>
      </w:r>
    </w:p>
    <w:p>
      <w:pPr>
        <w:spacing w:after="120"/>
        <w:jc w:val="center"/>
      </w:pPr>
      <w:r>
        <w:rPr>
          <w:rFonts w:ascii="Arial" w:cs="Arial" w:eastAsia="Arial" w:hAnsi="Arial"/>
          <w:i/>
          <w:iCs/>
          <w:color w:val="595959"/>
          <w:sz w:val="24"/>
          <w:szCs w:val="24"/>
        </w:rPr>
        <w:t xml:space="preserve">Faculty of Physical and Computational Sciences</w:t>
      </w:r>
    </w:p>
    <w:p>
      <w:pPr>
        <w:spacing w:after="800"/>
        <w:jc w:val="center"/>
      </w:pPr>
      <w:r>
        <w:rPr>
          <w:rFonts w:ascii="Arial" w:cs="Arial" w:eastAsia="Arial" w:hAnsi="Arial"/>
          <w:i/>
          <w:iCs/>
          <w:color w:val="595959"/>
          <w:sz w:val="24"/>
          <w:szCs w:val="24"/>
        </w:rPr>
        <w:t xml:space="preserve">Department of Computer Science</w:t>
      </w:r>
    </w:p>
    <w:p>
      <w:pPr>
        <w:spacing w:after="320"/>
        <w:jc w:val="center"/>
      </w:pPr>
      <w:r>
        <w:rPr>
          <w:rFonts w:ascii="Arial" w:cs="Arial" w:eastAsia="Arial" w:hAnsi="Arial"/>
          <w:b/>
          <w:bCs/>
          <w:color w:val="1F4E79"/>
          <w:sz w:val="40"/>
          <w:szCs w:val="40"/>
        </w:rPr>
        <w:t xml:space="preserve">User Interface Design &amp; Implementation</w:t>
      </w:r>
    </w:p>
    <w:p>
      <w:pPr>
        <w:spacing w:after="800"/>
        <w:jc w:val="center"/>
      </w:pPr>
      <w:r>
        <w:rPr>
          <w:rFonts w:ascii="Arial" w:cs="Arial" w:eastAsia="Arial" w:hAnsi="Arial"/>
          <w:i/>
          <w:iCs/>
          <w:color w:val="2E75B6"/>
          <w:sz w:val="28"/>
          <w:szCs w:val="28"/>
        </w:rPr>
        <w:t xml:space="preserve">Technical Documentation — Module D</w:t>
      </w:r>
    </w:p>
    <w:p>
      <w:pPr>
        <w:spacing w:after="600"/>
        <w:jc w:val="center"/>
      </w:pPr>
      <w:r>
        <w:rPr>
          <w:rFonts w:ascii="Arial" w:cs="Arial" w:eastAsia="Arial" w:hAnsi="Arial"/>
          <w:color w:val="1A1A1A"/>
          <w:sz w:val="24"/>
          <w:szCs w:val="24"/>
        </w:rPr>
        <w:t xml:space="preserve">Project: Lightweight AI-Powered System Resource Optimizer</w:t>
      </w:r>
    </w:p>
    <w:p>
      <w:pPr>
        <w:spacing w:after="120"/>
        <w:jc w:val="center"/>
      </w:pPr>
      <w:r>
        <w:rPr>
          <w:rFonts w:ascii="Arial" w:cs="Arial" w:eastAsia="Arial" w:hAnsi="Arial"/>
          <w:b/>
          <w:bCs/>
          <w:color w:val="1F4E79"/>
          <w:sz w:val="24"/>
          <w:szCs w:val="24"/>
        </w:rPr>
        <w:t xml:space="preserve">Prepared by:</w:t>
      </w:r>
    </w:p>
    <w:p>
      <w:pPr>
        <w:spacing w:after="100"/>
        <w:jc w:val="center"/>
      </w:pPr>
      <w:r>
        <w:rPr>
          <w:rFonts w:ascii="Arial" w:cs="Arial" w:eastAsia="Arial" w:hAnsi="Arial"/>
          <w:color w:val="1A1A1A"/>
          <w:sz w:val="24"/>
          <w:szCs w:val="24"/>
        </w:rPr>
        <w:t xml:space="preserve">Lamptey Kwaku Abednego — 3398122</w:t>
      </w:r>
    </w:p>
    <w:p>
      <w:pPr>
        <w:spacing w:after="100"/>
        <w:jc w:val="center"/>
      </w:pPr>
      <w:r>
        <w:rPr>
          <w:rFonts w:ascii="Arial" w:cs="Arial" w:eastAsia="Arial" w:hAnsi="Arial"/>
          <w:color w:val="1A1A1A"/>
          <w:sz w:val="24"/>
          <w:szCs w:val="24"/>
        </w:rPr>
        <w:t xml:space="preserve">Tugbah Lily Ama Mawuena — 3416522</w:t>
      </w:r>
    </w:p>
    <w:p>
      <w:pPr>
        <w:spacing w:after="400"/>
        <w:jc w:val="center"/>
      </w:pPr>
      <w:r>
        <w:rPr>
          <w:rFonts w:ascii="Arial" w:cs="Arial" w:eastAsia="Arial" w:hAnsi="Arial"/>
          <w:color w:val="1A1A1A"/>
          <w:sz w:val="24"/>
          <w:szCs w:val="24"/>
        </w:rPr>
        <w:t xml:space="preserve">Korli Larry Addo — 3395922</w:t>
      </w:r>
    </w:p>
    <w:p>
      <w:pPr>
        <w:jc w:val="center"/>
      </w:pPr>
      <w:r>
        <w:rPr>
          <w:rFonts w:ascii="Arial" w:cs="Arial" w:eastAsia="Arial" w:hAnsi="Arial"/>
          <w:color w:val="595959"/>
          <w:sz w:val="24"/>
          <w:szCs w:val="24"/>
        </w:rPr>
        <w:t xml:space="preserve">Date: March 2026</w:t>
      </w:r>
    </w:p>
    <w:p>
      <w:r>
        <w:br w:type="page"/>
      </w:r>
    </w:p>
    <w:p>
      <w:pPr>
        <w:pStyle w:val="Heading1"/>
        <w:spacing w:after="200" w:before="320"/>
      </w:pPr>
      <w:r>
        <w:t xml:space="preserve">1. Introduction</w:t>
      </w:r>
    </w:p>
    <w:p>
      <w:pPr>
        <w:spacing w:after="160"/>
      </w:pPr>
      <w:r>
        <w:rPr>
          <w:rFonts w:ascii="Arial" w:cs="Arial" w:eastAsia="Arial" w:hAnsi="Arial"/>
          <w:color w:val="1A1A1A"/>
          <w:sz w:val="24"/>
          <w:szCs w:val="24"/>
        </w:rPr>
        <w:t xml:space="preserve">This document describes the design, architecture, and implementation of the PyQt6-based desktop dashboard for the Lightweight AI-Powered System Resource Optimizer. The user interface is the primary means through which the user perceives system health, receives AI-driven predictions, and exercises control over automated process management.</w:t>
      </w:r>
    </w:p>
    <w:p>
      <w:pPr>
        <w:spacing w:after="160"/>
      </w:pPr>
      <w:r>
        <w:rPr>
          <w:rFonts w:ascii="Arial" w:cs="Arial" w:eastAsia="Arial" w:hAnsi="Arial"/>
          <w:color w:val="1A1A1A"/>
          <w:sz w:val="24"/>
          <w:szCs w:val="24"/>
        </w:rPr>
        <w:t xml:space="preserve">The dashboard is implemented in main.py and communicates with the backend pipeline via a thread-safe Qt signal/slot bridge. It was designed to satisfy three principles: real-time responsiveness without blocking the pipeline, visual clarity that communicates AI confidence and system state at a glance, and minimal cognitive load so users can make decisions quickly.</w:t>
      </w:r>
    </w:p>
    <w:p>
      <w:pPr>
        <w:spacing w:after="160"/>
      </w:pPr>
      <w:r>
        <w:t xml:space="preserve"/>
      </w:r>
    </w:p>
    <w:p>
      <w:pPr>
        <w:pStyle w:val="Heading1"/>
        <w:spacing w:after="200" w:before="320"/>
      </w:pPr>
      <w:r>
        <w:t xml:space="preserve">2. Framework Justification: PyQt6</w:t>
      </w:r>
    </w:p>
    <w:p>
      <w:pPr>
        <w:spacing w:after="160"/>
      </w:pPr>
      <w:r>
        <w:rPr>
          <w:rFonts w:ascii="Arial" w:cs="Arial" w:eastAsia="Arial" w:hAnsi="Arial"/>
          <w:color w:val="1A1A1A"/>
          <w:sz w:val="24"/>
          <w:szCs w:val="24"/>
        </w:rPr>
        <w:t xml:space="preserve">The user interface framework was selected after evaluating four candidates against the requirements of a Windows desktop application with real-time charting, system tray integration, and professional visual presentation.</w:t>
      </w:r>
    </w:p>
    <w:p>
      <w:pPr>
        <w:spacing w:after="1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000"/>
        <w:gridCol w:w="1800"/>
        <w:gridCol w:w="2000"/>
        <w:gridCol w:w="1600"/>
      </w:tblGrid>
      <w:tr>
        <w:trPr>
          <w:tblHeader/>
        </w:trPr>
        <w:tc>
          <w:tcPr>
            <w:tcW w:type="dxa" w:w="2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Framework</w:t>
            </w:r>
          </w:p>
        </w:tc>
        <w:tc>
          <w:tcPr>
            <w:tcW w:type="dxa" w:w="1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Charting</w:t>
            </w:r>
          </w:p>
        </w:tc>
        <w:tc>
          <w:tcPr>
            <w:tcW w:type="dxa" w:w="10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Tray</w:t>
            </w:r>
          </w:p>
        </w:tc>
        <w:tc>
          <w:tcPr>
            <w:tcW w:type="dxa" w:w="1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Windows Native</w:t>
            </w:r>
          </w:p>
        </w:tc>
        <w:tc>
          <w:tcPr>
            <w:tcW w:type="dxa" w:w="20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Design</w:t>
            </w:r>
          </w:p>
        </w:tc>
        <w:tc>
          <w:tcPr>
            <w:tcW w:type="dxa" w:w="1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Selected</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Flet (Flutter)</w:t>
            </w:r>
          </w:p>
        </w:tc>
        <w:tc>
          <w:tcPr>
            <w:tcW w:type="dxa" w:w="1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Limited</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No</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Poor</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Mobile-like</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No — too basic</w:t>
            </w:r>
          </w:p>
        </w:tc>
      </w:tr>
      <w:tr>
        <w:tc>
          <w:tcPr>
            <w:tcW w:type="dxa" w:w="22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Tkinter</w:t>
            </w:r>
          </w:p>
        </w:tc>
        <w:tc>
          <w:tcPr>
            <w:tcW w:type="dxa" w:w="1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None</w:t>
            </w:r>
          </w:p>
        </w:tc>
        <w:tc>
          <w:tcPr>
            <w:tcW w:type="dxa" w:w="1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Partial</w:t>
            </w:r>
          </w:p>
        </w:tc>
        <w:tc>
          <w:tcPr>
            <w:tcW w:type="dxa" w:w="1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Poor</w:t>
            </w:r>
          </w:p>
        </w:tc>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Dated</w:t>
            </w:r>
          </w:p>
        </w:tc>
        <w:tc>
          <w:tcPr>
            <w:tcW w:type="dxa" w:w="1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No — unprofessional</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Electron</w:t>
            </w:r>
          </w:p>
        </w:tc>
        <w:tc>
          <w:tcPr>
            <w:tcW w:type="dxa" w:w="1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Full (D3)</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Yes</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Moderate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Modern</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No — 200MB+ overhead</w:t>
            </w:r>
          </w:p>
        </w:tc>
      </w:tr>
      <w:tr>
        <w:tc>
          <w:tcPr>
            <w:tcW w:type="dxa" w:w="22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PyQt6 + PyQtGraph</w:t>
            </w:r>
          </w:p>
        </w:tc>
        <w:tc>
          <w:tcPr>
            <w:tcW w:type="dxa" w:w="1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GPU-accelerated</w:t>
            </w:r>
          </w:p>
        </w:tc>
        <w:tc>
          <w:tcPr>
            <w:tcW w:type="dxa" w:w="1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Yes</w:t>
            </w:r>
          </w:p>
        </w:tc>
        <w:tc>
          <w:tcPr>
            <w:tcW w:type="dxa" w:w="18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Excellent</w:t>
            </w:r>
          </w:p>
        </w:tc>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Fully customisable</w:t>
            </w:r>
          </w:p>
        </w:tc>
        <w:tc>
          <w:tcPr>
            <w:tcW w:type="dxa" w:w="1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Yes</w:t>
            </w:r>
          </w:p>
        </w:tc>
      </w:tr>
    </w:tbl>
    <w:p>
      <w:pPr>
        <w:spacing w:after="200"/>
      </w:pPr>
      <w:r>
        <w:t xml:space="preserve"/>
      </w:r>
    </w:p>
    <w:p>
      <w:pPr>
        <w:spacing w:after="200"/>
      </w:pPr>
      <w:r>
        <w:rPr>
          <w:rFonts w:ascii="Arial" w:cs="Arial" w:eastAsia="Arial" w:hAnsi="Arial"/>
          <w:i/>
          <w:iCs/>
          <w:color w:val="595959"/>
          <w:sz w:val="22"/>
          <w:szCs w:val="22"/>
        </w:rPr>
        <w:t xml:space="preserve">Table 2.1: UI framework comparison. PyQt6 selected for native Windows integration, real-time charting, and full QSS customisation.</w:t>
      </w:r>
    </w:p>
    <w:p>
      <w:pPr>
        <w:spacing w:after="160"/>
      </w:pPr>
      <w:r>
        <w:t xml:space="preserve"/>
      </w:r>
    </w:p>
    <w:p>
      <w:pPr>
        <w:spacing w:after="160"/>
      </w:pPr>
      <w:r>
        <w:rPr>
          <w:rFonts w:ascii="Arial" w:cs="Arial" w:eastAsia="Arial" w:hAnsi="Arial"/>
          <w:color w:val="1A1A1A"/>
          <w:sz w:val="24"/>
          <w:szCs w:val="24"/>
        </w:rPr>
        <w:t xml:space="preserve">Flet renders via Flutters canvas engine producing a mobile-application aesthetic inappropriate for a system monitoring tool. PyQt6 renders using native Win32 widgets styled with Qt Style Sheets (QSS), producing a professional appearance consistent with commercial system utilities. This distinction is significant for final year project assessment, where the sophistication of the UI is evaluated alongside the AI implementation.</w:t>
      </w:r>
    </w:p>
    <w:p>
      <w:pPr>
        <w:spacing w:after="160"/>
      </w:pPr>
      <w:r>
        <w:t xml:space="preserve"/>
      </w:r>
    </w:p>
    <w:p>
      <w:pPr>
        <w:pStyle w:val="Heading1"/>
        <w:spacing w:after="200" w:before="320"/>
      </w:pPr>
      <w:r>
        <w:t xml:space="preserve">3. Component Architecture</w:t>
      </w:r>
    </w:p>
    <w:p>
      <w:pPr>
        <w:spacing w:after="160"/>
      </w:pPr>
      <w:r>
        <w:rPr>
          <w:rFonts w:ascii="Arial" w:cs="Arial" w:eastAsia="Arial" w:hAnsi="Arial"/>
          <w:color w:val="1A1A1A"/>
          <w:sz w:val="24"/>
          <w:szCs w:val="24"/>
        </w:rPr>
        <w:t xml:space="preserve">The dashboard is structured as a single QMainWindow containing a header bar and a horizontal QSplitter dividing the main chart area (left) from the control sidebar (right). All panels are custom QWidget or QFrame subclasses that encapsulate their own layout and state.</w:t>
      </w:r>
    </w:p>
    <w:p>
      <w:pPr>
        <w:pBdr>
          <w:top w:val="dashed" w:color="AAAAAA" w:sz="1"/>
          <w:bottom w:val="dashed" w:color="AAAAAA" w:sz="1"/>
        </w:pBdr>
        <w:spacing w:after="240" w:before="160"/>
        <w:jc w:val="center"/>
      </w:pPr>
      <w:r>
        <w:rPr>
          <w:rFonts w:ascii="Arial" w:cs="Arial" w:eastAsia="Arial" w:hAnsi="Arial"/>
          <w:b/>
          <w:bCs/>
          <w:i/>
          <w:iCs/>
          <w:color w:val="888888"/>
          <w:sz w:val="22"/>
          <w:szCs w:val="22"/>
        </w:rPr>
        <w:t xml:space="preserve">[FIGURE 1: Dashboard layout: Header bar (top) + Splitter with Left panel (charts, metric cards, process table) and Right sidebar (AI panel, buttons, suspended list, event log)]</w:t>
      </w:r>
    </w:p>
    <w:p>
      <w:pPr>
        <w:spacing w:after="160"/>
      </w:pPr>
      <w:r>
        <w:t xml:space="preserve"/>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6000"/>
      </w:tblGrid>
      <w:tr>
        <w:trPr>
          <w:tblHeader/>
        </w:trPr>
        <w:tc>
          <w:tcPr>
            <w:tcW w:type="dxa" w:w="2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Class</w:t>
            </w:r>
          </w:p>
        </w:tc>
        <w:tc>
          <w:tcPr>
            <w:tcW w:type="dxa" w:w="20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Base</w:t>
            </w:r>
          </w:p>
        </w:tc>
        <w:tc>
          <w:tcPr>
            <w:tcW w:type="dxa" w:w="60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Responsibility</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MainWindow</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QMainWindow</w:t>
            </w:r>
          </w:p>
        </w:tc>
        <w:tc>
          <w:tcPr>
            <w:tcW w:type="dxa" w:w="6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Root window; owns pipeline bridge, tray, all child panels</w:t>
            </w:r>
          </w:p>
        </w:tc>
      </w:tr>
      <w:tr>
        <w:tc>
          <w:tcPr>
            <w:tcW w:type="dxa" w:w="22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MetricCard</w:t>
            </w:r>
          </w:p>
        </w:tc>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QFrame</w:t>
            </w:r>
          </w:p>
        </w:tc>
        <w:tc>
          <w:tcPr>
            <w:tcW w:type="dxa" w:w="6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Displays one metric: large value label + colour-coded progress bar</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RollingChart</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pg.PlotWidget</w:t>
            </w:r>
          </w:p>
        </w:tc>
        <w:tc>
          <w:tcPr>
            <w:tcW w:type="dxa" w:w="6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Real-time 120-sample scrolling line chart with threshold line</w:t>
            </w:r>
          </w:p>
        </w:tc>
      </w:tr>
      <w:tr>
        <w:tc>
          <w:tcPr>
            <w:tcW w:type="dxa" w:w="22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ConfidencePanel</w:t>
            </w:r>
          </w:p>
        </w:tc>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QFrame</w:t>
            </w:r>
          </w:p>
        </w:tc>
        <w:tc>
          <w:tcPr>
            <w:tcW w:type="dxa" w:w="6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AI confidence percentage + natural-language prediction text</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NotificationLog</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QFrame</w:t>
            </w:r>
          </w:p>
        </w:tc>
        <w:tc>
          <w:tcPr>
            <w:tcW w:type="dxa" w:w="6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Scrollable timestamped event log; colour-coded by severity</w:t>
            </w:r>
          </w:p>
        </w:tc>
      </w:tr>
      <w:tr>
        <w:tc>
          <w:tcPr>
            <w:tcW w:type="dxa" w:w="22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PipelineBridge</w:t>
            </w:r>
          </w:p>
        </w:tc>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QObject</w:t>
            </w:r>
          </w:p>
        </w:tc>
        <w:tc>
          <w:tcPr>
            <w:tcW w:type="dxa" w:w="6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Thread-safe pyqtSignal bridge from pipeline thread to main thread</w:t>
            </w:r>
          </w:p>
        </w:tc>
      </w:tr>
    </w:tbl>
    <w:p>
      <w:pPr>
        <w:spacing w:after="200"/>
      </w:pPr>
      <w:r>
        <w:t xml:space="preserve"/>
      </w:r>
    </w:p>
    <w:p>
      <w:pPr>
        <w:spacing w:after="200"/>
      </w:pPr>
      <w:r>
        <w:rPr>
          <w:rFonts w:ascii="Arial" w:cs="Arial" w:eastAsia="Arial" w:hAnsi="Arial"/>
          <w:i/>
          <w:iCs/>
          <w:color w:val="595959"/>
          <w:sz w:val="22"/>
          <w:szCs w:val="22"/>
        </w:rPr>
        <w:t xml:space="preserve">Table 3.1: Dashboard component summary.</w:t>
      </w:r>
    </w:p>
    <w:p>
      <w:pPr>
        <w:spacing w:after="160"/>
      </w:pPr>
      <w:r>
        <w:t xml:space="preserve"/>
      </w:r>
    </w:p>
    <w:p>
      <w:pPr>
        <w:pStyle w:val="Heading1"/>
        <w:spacing w:after="200" w:before="320"/>
      </w:pPr>
      <w:r>
        <w:t xml:space="preserve">4. Real-Time Update Architecture</w:t>
      </w:r>
    </w:p>
    <w:p>
      <w:pPr>
        <w:pStyle w:val="Heading2"/>
        <w:spacing w:after="160" w:before="240"/>
      </w:pPr>
      <w:r>
        <w:t xml:space="preserve">4.1 Thread-Safe Signal/Slot Bridge</w:t>
      </w:r>
    </w:p>
    <w:p>
      <w:pPr>
        <w:spacing w:after="160"/>
      </w:pPr>
      <w:r>
        <w:rPr>
          <w:rFonts w:ascii="Arial" w:cs="Arial" w:eastAsia="Arial" w:hAnsi="Arial"/>
          <w:color w:val="1A1A1A"/>
          <w:sz w:val="24"/>
          <w:szCs w:val="24"/>
        </w:rPr>
        <w:t xml:space="preserve">Qt strictly prohibits UI updates from any thread other than the main thread. The pipeline runs on a background daemon thread and produces PipelineResult objects at 1 Hz. A PipelineBridge QObject is created on the main thread; its on_result() method is passed to Pipeline as a callback. When the pipeline calls on_result(result), the bridge emits a pyqtSignal(object). Qt automatically queues this emission and delivers it on the main thread event loop — no manual mutex management required.</w:t>
      </w:r>
    </w:p>
    <w:p>
      <w:pPr>
        <w:pBdr>
          <w:top w:val="dashed" w:color="AAAAAA" w:sz="1"/>
          <w:bottom w:val="dashed" w:color="AAAAAA" w:sz="1"/>
        </w:pBdr>
        <w:spacing w:after="240" w:before="160"/>
        <w:jc w:val="center"/>
      </w:pPr>
      <w:r>
        <w:rPr>
          <w:rFonts w:ascii="Arial" w:cs="Arial" w:eastAsia="Arial" w:hAnsi="Arial"/>
          <w:b/>
          <w:bCs/>
          <w:i/>
          <w:iCs/>
          <w:color w:val="888888"/>
          <w:sz w:val="22"/>
          <w:szCs w:val="22"/>
        </w:rPr>
        <w:t xml:space="preserve">[FIGURE 2: Thread communication: Pipeline Thread calls on_result() → PipelineBridge emits signal → Qt queues delivery → MainWindow._on_result() executes on Main Thread]</w:t>
      </w:r>
    </w:p>
    <w:p>
      <w:pPr>
        <w:spacing w:after="160"/>
      </w:pPr>
      <w:r>
        <w:t xml:space="preserve"/>
      </w:r>
    </w:p>
    <w:p>
      <w:pPr>
        <w:pStyle w:val="Heading2"/>
        <w:spacing w:after="160" w:before="240"/>
      </w:pPr>
      <w:r>
        <w:t xml:space="preserve">4.2 PyQtGraph Real-Time Charts</w:t>
      </w:r>
    </w:p>
    <w:p>
      <w:pPr>
        <w:spacing w:after="160"/>
      </w:pPr>
      <w:r>
        <w:rPr>
          <w:rFonts w:ascii="Arial" w:cs="Arial" w:eastAsia="Arial" w:hAnsi="Arial"/>
          <w:color w:val="1A1A1A"/>
          <w:sz w:val="24"/>
          <w:szCs w:val="24"/>
        </w:rPr>
        <w:t xml:space="preserve">Each RollingChart maintains a collections.deque(maxlen=120) storing 2 minutes of data. On each pipeline result, the new value is appended and PlotDataItem.setData() updates the curve. Chart line colour dynamically transitions: green (#00C896) below 70%, amber (#F0A500) at 70-89%, red (#E05C5C) at 90%+. A dashed InfiniteLine at y=90 marks the danger threshold visually.</w:t>
      </w:r>
    </w:p>
    <w:p>
      <w:pPr>
        <w:pStyle w:val="Heading2"/>
        <w:spacing w:after="160" w:before="240"/>
      </w:pPr>
      <w:r>
        <w:t xml:space="preserve">4.3 Process Table Refresh</w:t>
      </w:r>
    </w:p>
    <w:p>
      <w:pPr>
        <w:spacing w:after="160"/>
      </w:pPr>
      <w:r>
        <w:rPr>
          <w:rFonts w:ascii="Arial" w:cs="Arial" w:eastAsia="Arial" w:hAnsi="Arial"/>
          <w:color w:val="1A1A1A"/>
          <w:sz w:val="24"/>
          <w:szCs w:val="24"/>
        </w:rPr>
        <w:t xml:space="preserve">A separate QTimer fires every 3 seconds to refresh the top-20 CPU processes table. This slower rate reduces visual noise while providing actionable process information. Suspended processes are highlighted in red (#E05C5C). The timer is intentionally decoupled from the pipeline rate to prevent UI jitter.</w:t>
      </w:r>
    </w:p>
    <w:p>
      <w:pPr>
        <w:spacing w:after="160"/>
      </w:pPr>
      <w:r>
        <w:t xml:space="preserve"/>
      </w:r>
    </w:p>
    <w:p>
      <w:pPr>
        <w:pStyle w:val="Heading1"/>
        <w:spacing w:after="200" w:before="320"/>
      </w:pPr>
      <w:r>
        <w:t xml:space="preserve">5. Design Token System</w:t>
      </w:r>
    </w:p>
    <w:p>
      <w:pPr>
        <w:spacing w:after="160"/>
      </w:pPr>
      <w:r>
        <w:rPr>
          <w:rFonts w:ascii="Arial" w:cs="Arial" w:eastAsia="Arial" w:hAnsi="Arial"/>
          <w:color w:val="1A1A1A"/>
          <w:sz w:val="24"/>
          <w:szCs w:val="24"/>
        </w:rPr>
        <w:t xml:space="preserve">The visual design uses a consistent dark colour palette defined as Python string constants at the top of main.py and applied globally via a single QSS stylesheet string. This centralised token approach means changing one constant updates every widget that references it.</w:t>
      </w:r>
    </w:p>
    <w:p>
      <w:pPr>
        <w:spacing w:after="1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6400"/>
      </w:tblGrid>
      <w:tr>
        <w:trPr>
          <w:tblHeader/>
        </w:trPr>
        <w:tc>
          <w:tcPr>
            <w:tcW w:type="dxa" w:w="20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Token</w:t>
            </w:r>
          </w:p>
        </w:tc>
        <w:tc>
          <w:tcPr>
            <w:tcW w:type="dxa" w:w="1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Hex</w:t>
            </w:r>
          </w:p>
        </w:tc>
        <w:tc>
          <w:tcPr>
            <w:tcW w:type="dxa" w:w="6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Arial" w:cs="Arial" w:eastAsia="Arial" w:hAnsi="Arial"/>
                <w:b/>
                <w:bCs/>
                <w:color w:val="1F4E79"/>
                <w:sz w:val="22"/>
                <w:szCs w:val="22"/>
              </w:rPr>
              <w:t xml:space="preserve">Usage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BG</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#0D1117</w:t>
            </w:r>
          </w:p>
        </w:tc>
        <w:tc>
          <w:tcPr>
            <w:tcW w:type="dxa" w:w="6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Main window background</w:t>
            </w:r>
          </w:p>
        </w:tc>
      </w:tr>
      <w:tr>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BG_CARD</w:t>
            </w:r>
          </w:p>
        </w:tc>
        <w:tc>
          <w:tcPr>
            <w:tcW w:type="dxa" w:w="1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#161B22</w:t>
            </w:r>
          </w:p>
        </w:tc>
        <w:tc>
          <w:tcPr>
            <w:tcW w:type="dxa" w:w="6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Card and panel backgrounds</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ACCENT</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#00C896</w:t>
            </w:r>
          </w:p>
        </w:tc>
        <w:tc>
          <w:tcPr>
            <w:tcW w:type="dxa" w:w="6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Healthy state; brand colour; chart lines</w:t>
            </w:r>
          </w:p>
        </w:tc>
      </w:tr>
      <w:tr>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ACCENT_WARN</w:t>
            </w:r>
          </w:p>
        </w:tc>
        <w:tc>
          <w:tcPr>
            <w:tcW w:type="dxa" w:w="1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#F0A500</w:t>
            </w:r>
          </w:p>
        </w:tc>
        <w:tc>
          <w:tcPr>
            <w:tcW w:type="dxa" w:w="6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Warning (70–89%)</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ACCENT_CRIT</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#E05C5C</w:t>
            </w:r>
          </w:p>
        </w:tc>
        <w:tc>
          <w:tcPr>
            <w:tcW w:type="dxa" w:w="6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Critical (90%+); danger indicators</w:t>
            </w:r>
          </w:p>
        </w:tc>
      </w:tr>
      <w:tr>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TEXT_PRI</w:t>
            </w:r>
          </w:p>
        </w:tc>
        <w:tc>
          <w:tcPr>
            <w:tcW w:type="dxa" w:w="1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#E6EDF3</w:t>
            </w:r>
          </w:p>
        </w:tc>
        <w:tc>
          <w:tcPr>
            <w:tcW w:type="dxa" w:w="6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Primary text; metric values</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TEXT_SEC</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#8B949E</w:t>
            </w:r>
          </w:p>
        </w:tc>
        <w:tc>
          <w:tcPr>
            <w:tcW w:type="dxa" w:w="6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r>
              <w:rPr>
                <w:rFonts w:ascii="Arial" w:cs="Arial" w:eastAsia="Arial" w:hAnsi="Arial"/>
                <w:color w:val="1A1A1A"/>
                <w:sz w:val="22"/>
                <w:szCs w:val="22"/>
              </w:rPr>
              <w:t xml:space="preserve">Labels and secondary text</w:t>
            </w:r>
          </w:p>
        </w:tc>
      </w:tr>
      <w:tr>
        <w:tc>
          <w:tcPr>
            <w:tcW w:type="dxa" w:w="20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BORDER</w:t>
            </w:r>
          </w:p>
        </w:tc>
        <w:tc>
          <w:tcPr>
            <w:tcW w:type="dxa" w:w="16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#30363D</w:t>
            </w:r>
          </w:p>
        </w:tc>
        <w:tc>
          <w:tcPr>
            <w:tcW w:type="dxa" w:w="6400"/>
            <w:tcBorders>
              <w:top w:val="single" w:color="AAAAAA" w:sz="1"/>
              <w:left w:val="single" w:color="AAAAAA" w:sz="1"/>
              <w:bottom w:val="single" w:color="AAAAAA" w:sz="1"/>
              <w:right w:val="single" w:color="AAAAAA" w:sz="1"/>
            </w:tcBorders>
            <w:shd w:fill="F5F8FA" w:val="clear"/>
            <w:tcMar>
              <w:top w:type="dxa" w:w="60"/>
              <w:left w:type="dxa" w:w="120"/>
              <w:bottom w:type="dxa" w:w="60"/>
              <w:right w:type="dxa" w:w="120"/>
            </w:tcMar>
          </w:tcPr>
          <w:p>
            <w:r>
              <w:rPr>
                <w:rFonts w:ascii="Arial" w:cs="Arial" w:eastAsia="Arial" w:hAnsi="Arial"/>
                <w:color w:val="1A1A1A"/>
                <w:sz w:val="22"/>
                <w:szCs w:val="22"/>
              </w:rPr>
              <w:t xml:space="preserve">Card borders and dividers</w:t>
            </w:r>
          </w:p>
        </w:tc>
      </w:tr>
    </w:tbl>
    <w:p>
      <w:pPr>
        <w:spacing w:after="200"/>
      </w:pPr>
      <w:r>
        <w:t xml:space="preserve"/>
      </w:r>
    </w:p>
    <w:p>
      <w:pPr>
        <w:spacing w:after="200"/>
      </w:pPr>
      <w:r>
        <w:rPr>
          <w:rFonts w:ascii="Arial" w:cs="Arial" w:eastAsia="Arial" w:hAnsi="Arial"/>
          <w:i/>
          <w:iCs/>
          <w:color w:val="595959"/>
          <w:sz w:val="22"/>
          <w:szCs w:val="22"/>
        </w:rPr>
        <w:t xml:space="preserve">Table 5.1: Design token palette. All colours defined as constants in main.py, applied via QSS.</w:t>
      </w:r>
    </w:p>
    <w:p>
      <w:pPr>
        <w:spacing w:after="160"/>
      </w:pPr>
      <w:r>
        <w:t xml:space="preserve"/>
      </w:r>
    </w:p>
    <w:p>
      <w:pPr>
        <w:pBdr>
          <w:top w:val="dashed" w:color="AAAAAA" w:sz="1"/>
          <w:bottom w:val="dashed" w:color="AAAAAA" w:sz="1"/>
        </w:pBdr>
        <w:spacing w:after="240" w:before="160"/>
        <w:jc w:val="center"/>
      </w:pPr>
      <w:r>
        <w:rPr>
          <w:rFonts w:ascii="Arial" w:cs="Arial" w:eastAsia="Arial" w:hAnsi="Arial"/>
          <w:b/>
          <w:bCs/>
          <w:i/>
          <w:iCs/>
          <w:color w:val="888888"/>
          <w:sz w:val="22"/>
          <w:szCs w:val="22"/>
        </w:rPr>
        <w:t xml:space="preserve">[FIGURE 3: [SCREENSHOT: Dashboard in healthy state — green accent, all metrics below thresholds, confidence &lt; 55%]]</w:t>
      </w:r>
    </w:p>
    <w:p>
      <w:pPr>
        <w:pBdr>
          <w:top w:val="dashed" w:color="AAAAAA" w:sz="1"/>
          <w:bottom w:val="dashed" w:color="AAAAAA" w:sz="1"/>
        </w:pBdr>
        <w:spacing w:after="240" w:before="160"/>
        <w:jc w:val="center"/>
      </w:pPr>
      <w:r>
        <w:rPr>
          <w:rFonts w:ascii="Arial" w:cs="Arial" w:eastAsia="Arial" w:hAnsi="Arial"/>
          <w:b/>
          <w:bCs/>
          <w:i/>
          <w:iCs/>
          <w:color w:val="888888"/>
          <w:sz w:val="22"/>
          <w:szCs w:val="22"/>
        </w:rPr>
        <w:t xml:space="preserve">[FIGURE 4: [SCREENSHOT: Dashboard in warning state — amber confidence panel, elevated CPU chart curve]]</w:t>
      </w:r>
    </w:p>
    <w:p>
      <w:pPr>
        <w:pBdr>
          <w:top w:val="dashed" w:color="AAAAAA" w:sz="1"/>
          <w:bottom w:val="dashed" w:color="AAAAAA" w:sz="1"/>
        </w:pBdr>
        <w:spacing w:after="240" w:before="160"/>
        <w:jc w:val="center"/>
      </w:pPr>
      <w:r>
        <w:rPr>
          <w:rFonts w:ascii="Arial" w:cs="Arial" w:eastAsia="Arial" w:hAnsi="Arial"/>
          <w:b/>
          <w:bCs/>
          <w:i/>
          <w:iCs/>
          <w:color w:val="888888"/>
          <w:sz w:val="22"/>
          <w:szCs w:val="22"/>
        </w:rPr>
        <w:t xml:space="preserve">[FIGURE 5: [SCREENSHOT: Dashboard in critical/action state — red indicators, suspended processes visible in sidebar]]</w:t>
      </w:r>
    </w:p>
    <w:p>
      <w:pPr>
        <w:spacing w:after="160"/>
      </w:pPr>
      <w:r>
        <w:t xml:space="preserve"/>
      </w:r>
    </w:p>
    <w:p>
      <w:pPr>
        <w:pStyle w:val="Heading1"/>
        <w:spacing w:after="200" w:before="320"/>
      </w:pPr>
      <w:r>
        <w:t xml:space="preserve">6. Control Logic</w:t>
      </w:r>
    </w:p>
    <w:p>
      <w:pPr>
        <w:pStyle w:val="Heading2"/>
        <w:spacing w:after="160" w:before="240"/>
      </w:pPr>
      <w:r>
        <w:t xml:space="preserve">6.1 Confidence Panel (Explainable AI)</w:t>
      </w:r>
    </w:p>
    <w:p>
      <w:pPr>
        <w:spacing w:after="160"/>
      </w:pPr>
      <w:r>
        <w:rPr>
          <w:rFonts w:ascii="Arial" w:cs="Arial" w:eastAsia="Arial" w:hAnsi="Arial"/>
          <w:color w:val="1A1A1A"/>
          <w:sz w:val="24"/>
          <w:szCs w:val="24"/>
        </w:rPr>
        <w:t xml:space="preserve">The confidence panel implements the Explainable AI requirement by displaying the raw sigmoid output as a percentage alongside a natural-language description. Below 55%: healthy message. 55-79%: moderate risk with predicted CPU. 80%+: specific warning with predicted CPU and memory values and a 30-second horizon estimate. The colour of the percentage value transitions using the same token system as the charts, ensuring visual consistency across all severity indicators.</w:t>
      </w:r>
    </w:p>
    <w:p>
      <w:pPr>
        <w:pStyle w:val="Heading2"/>
        <w:spacing w:after="160" w:before="240"/>
      </w:pPr>
      <w:r>
        <w:t xml:space="preserve">6.2 One-Click Boost</w:t>
      </w:r>
    </w:p>
    <w:p>
      <w:pPr>
        <w:spacing w:after="160"/>
      </w:pPr>
      <w:r>
        <w:rPr>
          <w:rFonts w:ascii="Arial" w:cs="Arial" w:eastAsia="Arial" w:hAnsi="Arial"/>
          <w:color w:val="1A1A1A"/>
          <w:sz w:val="24"/>
          <w:szCs w:val="24"/>
        </w:rPr>
        <w:t xml:space="preserve">The Boost button always remains enabled, allowing manual invocation at any confidence level. It calls Pipeline.trigger_boost() which resumes all suspended processes and runs Python garbage collection. The result message is written to the event log. This gives users agency to act independently of the AI when they have context the model lacks.</w:t>
      </w:r>
    </w:p>
    <w:p>
      <w:pPr>
        <w:pStyle w:val="Heading2"/>
        <w:spacing w:after="160" w:before="240"/>
      </w:pPr>
      <w:r>
        <w:t xml:space="preserve">6.3 Undo Button State Machine</w:t>
      </w:r>
    </w:p>
    <w:p>
      <w:pPr>
        <w:spacing w:after="160"/>
      </w:pPr>
      <w:r>
        <w:rPr>
          <w:rFonts w:ascii="Arial" w:cs="Arial" w:eastAsia="Arial" w:hAnsi="Arial"/>
          <w:color w:val="1A1A1A"/>
          <w:sz w:val="24"/>
          <w:szCs w:val="24"/>
        </w:rPr>
        <w:t xml:space="preserve">The Undo button is disabled on startup and programmatically enabled only when the action engine reports a successful suspension (action.action_taken == True). After Undo or Boost is pressed, or after the auto-resume watchdog fires, the button returns to disabled. This state management prevents the user from pressing Undo when nothing is suspended and receiving a confusing no-op response.</w:t>
      </w:r>
    </w:p>
    <w:p>
      <w:pPr>
        <w:spacing w:after="160"/>
      </w:pPr>
      <w:r>
        <w:t xml:space="preserve"/>
      </w:r>
    </w:p>
    <w:p>
      <w:pPr>
        <w:pStyle w:val="Heading1"/>
        <w:spacing w:after="200" w:before="320"/>
      </w:pPr>
      <w:r>
        <w:t xml:space="preserve">7. System Tray Integration</w:t>
      </w:r>
    </w:p>
    <w:p>
      <w:pPr>
        <w:spacing w:after="160"/>
      </w:pPr>
      <w:r>
        <w:rPr>
          <w:rFonts w:ascii="Arial" w:cs="Arial" w:eastAsia="Arial" w:hAnsi="Arial"/>
          <w:color w:val="1A1A1A"/>
          <w:sz w:val="24"/>
          <w:szCs w:val="24"/>
        </w:rPr>
        <w:t xml:space="preserve">Closing the window hides it rather than terminating the application, implemented by overriding closeEvent() to call self.hide() and ignore the event. The QSystemTrayIcon provides a context menu with Show Dashboard and Quit actions. Double-clicking the tray icon restores the window. On first hide, a toast notification informs the user the optimizer is still active. This design allows continuous background operation without taskbar presence, appropriate for a background monitoring tool.</w:t>
      </w:r>
    </w:p>
    <w:p>
      <w:pPr>
        <w:spacing w:after="160"/>
      </w:pPr>
      <w:r>
        <w:t xml:space="preserve"/>
      </w:r>
    </w:p>
    <w:p>
      <w:pPr>
        <w:pStyle w:val="Heading1"/>
        <w:spacing w:after="200" w:before="320"/>
      </w:pPr>
      <w:r>
        <w:t xml:space="preserve">8. Accessibility and Usability</w:t>
      </w:r>
    </w:p>
    <w:p>
      <w:pPr>
        <w:pStyle w:val="ListParagraph"/>
        <w:numPr>
          <w:ilvl w:val="0"/>
          <w:numId w:val="2"/>
        </w:numPr>
        <w:spacing w:after="100"/>
      </w:pPr>
      <w:r>
        <w:rPr>
          <w:rFonts w:ascii="Arial" w:cs="Arial" w:eastAsia="Arial" w:hAnsi="Arial"/>
          <w:color w:val="1A1A1A"/>
          <w:sz w:val="24"/>
          <w:szCs w:val="24"/>
        </w:rPr>
        <w:t xml:space="preserve">All severity states communicated by both colour and text — accessible for colour vision deficiency.</w:t>
      </w:r>
    </w:p>
    <w:p>
      <w:pPr>
        <w:pStyle w:val="ListParagraph"/>
        <w:numPr>
          <w:ilvl w:val="0"/>
          <w:numId w:val="2"/>
        </w:numPr>
        <w:spacing w:after="100"/>
      </w:pPr>
      <w:r>
        <w:rPr>
          <w:rFonts w:ascii="Arial" w:cs="Arial" w:eastAsia="Arial" w:hAnsi="Arial"/>
          <w:color w:val="1A1A1A"/>
          <w:sz w:val="24"/>
          <w:szCs w:val="24"/>
        </w:rPr>
        <w:t xml:space="preserve">Font sizes defined in points relative to system DPI — readable on standard and high-DPI displays.</w:t>
      </w:r>
    </w:p>
    <w:p>
      <w:pPr>
        <w:pStyle w:val="ListParagraph"/>
        <w:numPr>
          <w:ilvl w:val="0"/>
          <w:numId w:val="2"/>
        </w:numPr>
        <w:spacing w:after="100"/>
      </w:pPr>
      <w:r>
        <w:rPr>
          <w:rFonts w:ascii="Arial" w:cs="Arial" w:eastAsia="Arial" w:hAnsi="Arial"/>
          <w:color w:val="1A1A1A"/>
          <w:sz w:val="24"/>
          <w:szCs w:val="24"/>
        </w:rPr>
        <w:t xml:space="preserve">Event log entries carry ISO timestamps for post-hoc correlation of actions with system events.</w:t>
      </w:r>
    </w:p>
    <w:p>
      <w:pPr>
        <w:pStyle w:val="ListParagraph"/>
        <w:numPr>
          <w:ilvl w:val="0"/>
          <w:numId w:val="2"/>
        </w:numPr>
        <w:spacing w:after="100"/>
      </w:pPr>
      <w:r>
        <w:rPr>
          <w:rFonts w:ascii="Arial" w:cs="Arial" w:eastAsia="Arial" w:hAnsi="Arial"/>
          <w:color w:val="1A1A1A"/>
          <w:sz w:val="24"/>
          <w:szCs w:val="24"/>
        </w:rPr>
        <w:t xml:space="preserve">Process table shows human-readable names as primary identifier, reducing cognitive load.</w:t>
      </w:r>
    </w:p>
    <w:p>
      <w:pPr>
        <w:pStyle w:val="ListParagraph"/>
        <w:numPr>
          <w:ilvl w:val="0"/>
          <w:numId w:val="2"/>
        </w:numPr>
        <w:spacing w:after="100"/>
      </w:pPr>
      <w:r>
        <w:rPr>
          <w:rFonts w:ascii="Arial" w:cs="Arial" w:eastAsia="Arial" w:hAnsi="Arial"/>
          <w:color w:val="1A1A1A"/>
          <w:sz w:val="24"/>
          <w:szCs w:val="24"/>
        </w:rPr>
        <w:t xml:space="preserve">Undo button disabled when nothing to undo — prevents confusing no-op interactions.</w:t>
      </w:r>
    </w:p>
    <w:p>
      <w:pPr>
        <w:pStyle w:val="ListParagraph"/>
        <w:numPr>
          <w:ilvl w:val="0"/>
          <w:numId w:val="2"/>
        </w:numPr>
        <w:spacing w:after="100"/>
      </w:pPr>
      <w:r>
        <w:rPr>
          <w:rFonts w:ascii="Arial" w:cs="Arial" w:eastAsia="Arial" w:hAnsi="Arial"/>
          <w:color w:val="1A1A1A"/>
          <w:sz w:val="24"/>
          <w:szCs w:val="24"/>
        </w:rPr>
        <w:t xml:space="preserve">QSS stylesheet centralised — consistent theming enforced across all 6 custom component classes.</w:t>
      </w:r>
    </w:p>
    <w:p>
      <w:pPr>
        <w:spacing w:after="160"/>
      </w:pPr>
      <w:r>
        <w:t xml:space="preserve"/>
      </w:r>
    </w:p>
    <w:p>
      <w:pPr>
        <w:pStyle w:val="Heading1"/>
        <w:spacing w:after="200" w:before="320"/>
      </w:pPr>
      <w:r>
        <w:t xml:space="preserve">9. References</w:t>
      </w:r>
    </w:p>
    <w:p>
      <w:pPr>
        <w:spacing w:after="160"/>
      </w:pPr>
      <w:r>
        <w:rPr>
          <w:rFonts w:ascii="Arial" w:cs="Arial" w:eastAsia="Arial" w:hAnsi="Arial"/>
          <w:color w:val="1A1A1A"/>
          <w:sz w:val="24"/>
          <w:szCs w:val="24"/>
        </w:rPr>
        <w:t xml:space="preserve">[1] Riverbank Computing. (2024). PyQt6 Reference Guide. https://www.riverbankcomputing.com/static/Docs/PyQt6/</w:t>
      </w:r>
    </w:p>
    <w:p>
      <w:pPr>
        <w:spacing w:after="160"/>
      </w:pPr>
      <w:r>
        <w:rPr>
          <w:rFonts w:ascii="Arial" w:cs="Arial" w:eastAsia="Arial" w:hAnsi="Arial"/>
          <w:color w:val="1A1A1A"/>
          <w:sz w:val="24"/>
          <w:szCs w:val="24"/>
        </w:rPr>
        <w:t xml:space="preserve">[2] PyQtGraph Contributors. (2024). PyQtGraph — Scientific Graphics and GUI Library for Python. https://pyqtgraph.readthedocs.io/</w:t>
      </w:r>
    </w:p>
    <w:p>
      <w:pPr>
        <w:spacing w:after="160"/>
      </w:pPr>
      <w:r>
        <w:rPr>
          <w:rFonts w:ascii="Arial" w:cs="Arial" w:eastAsia="Arial" w:hAnsi="Arial"/>
          <w:color w:val="1A1A1A"/>
          <w:sz w:val="24"/>
          <w:szCs w:val="24"/>
        </w:rPr>
        <w:t xml:space="preserve">[3] Qt Group. (2024). Qt Style Sheets Reference. https://doc.qt.io/qt-6/stylesheet-reference.html</w:t>
      </w:r>
    </w:p>
    <w:p>
      <w:pPr>
        <w:spacing w:after="160"/>
      </w:pPr>
      <w:r>
        <w:rPr>
          <w:rFonts w:ascii="Arial" w:cs="Arial" w:eastAsia="Arial" w:hAnsi="Arial"/>
          <w:color w:val="1A1A1A"/>
          <w:sz w:val="24"/>
          <w:szCs w:val="24"/>
        </w:rPr>
        <w:t xml:space="preserve">[4] Qt Group. (2024). Signals and Slots. https://doc.qt.io/qt-6/signalsandslots.html</w:t>
      </w:r>
    </w:p>
    <w:p>
      <w:pPr>
        <w:spacing w:after="160"/>
      </w:pPr>
      <w:r>
        <w:rPr>
          <w:rFonts w:ascii="Arial" w:cs="Arial" w:eastAsia="Arial" w:hAnsi="Arial"/>
          <w:color w:val="1A1A1A"/>
          <w:sz w:val="24"/>
          <w:szCs w:val="24"/>
        </w:rPr>
        <w:t xml:space="preserve">[5] Nielsen, J. (1994). Usability Engineering. Morgan Kaufmann.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2" w:space="4"/>
      </w:pBdr>
      <w:jc w:val="center"/>
    </w:pPr>
    <w:r>
      <w:rPr>
        <w:rFonts w:ascii="Arial" w:cs="Arial" w:eastAsia="Arial" w:hAnsi="Arial"/>
        <w:color w:val="595959"/>
        <w:sz w:val="18"/>
        <w:szCs w:val="18"/>
      </w:rPr>
      <w:t xml:space="preserve">Lightweight AI-Powered System Resource Optimizer  |  Page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2" w:space="4"/>
      </w:pBdr>
    </w:pPr>
    <w:r>
      <w:rPr>
        <w:rFonts w:ascii="Arial" w:cs="Arial" w:eastAsia="Arial" w:hAnsi="Arial"/>
        <w:color w:val="595959"/>
        <w:sz w:val="18"/>
        <w:szCs w:val="18"/>
      </w:rPr>
      <w:t xml:space="preserve">KNUST Final Year Project — Group 4  |  User Interface Design &amp; Implementation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ind w:left="720" w:hanging="360"/>
      </w:pPr>
      <w:rPr>
        <w:rFonts w:ascii="Arial" w:cs="Arial" w:eastAsia="Arial" w:hAnsi="Arial"/>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4"/>
      </w:pBdr>
      <w:spacing w:after="200" w:before="40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2026-05-12T10:37:25.887Z</dcterms:created>
  <dcterms:modified xsi:type="dcterms:W3CDTF">2026-05-12T10:37:25.888Z</dcterms:modified>
</cp:coreProperties>
</file>

<file path=docProps/custom.xml><?xml version="1.0" encoding="utf-8"?>
<Properties xmlns="http://schemas.openxmlformats.org/officeDocument/2006/custom-properties" xmlns:vt="http://schemas.openxmlformats.org/officeDocument/2006/docPropsVTypes"/>
</file>