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KWAME NKRUMAH UNIVERSITY OF SCIENCE AND TECHNOLOGY</w:t>
        <w:br/>
      </w:r>
    </w:p>
    <w:p>
      <w:pPr>
        <w:jc w:val="center"/>
      </w:pPr>
      <w:r>
        <w:rPr>
          <w:rFonts w:ascii="Arial" w:hAnsi="Arial"/>
          <w:b/>
          <w:sz w:val="22"/>
        </w:rPr>
        <w:t>FACULTY OF PHYSICAL AND COMPUTATIONAL SCIENCES</w:t>
        <w:br/>
        <w:t>DEPARTMENT OF COMPUTER SCIENCE</w:t>
        <w:br/>
      </w:r>
    </w:p>
    <w:p/>
    <w:p/>
    <w:p/>
    <w:p>
      <w:pPr>
        <w:jc w:val="center"/>
      </w:pPr>
      <w:r>
        <w:rPr>
          <w:rFonts w:ascii="Arial" w:hAnsi="Arial"/>
          <w:b/>
          <w:color w:val="0D1117"/>
          <w:sz w:val="36"/>
        </w:rPr>
        <w:t>LIGHTWEIGHT AI-POWERED SYSTEM</w:t>
        <w:br/>
        <w:t>RESOURCE OPTIMIZER</w:t>
        <w:br/>
      </w:r>
    </w:p>
    <w:p/>
    <w:p>
      <w:pPr>
        <w:jc w:val="center"/>
      </w:pPr>
      <w:r>
        <w:rPr>
          <w:rFonts w:ascii="Arial" w:hAnsi="Arial"/>
          <w:b/>
          <w:color w:val="1E4678"/>
          <w:sz w:val="32"/>
        </w:rPr>
        <w:t>VOLUME III</w:t>
        <w:br/>
        <w:t>REAL-TIME OPTIMIZATION, UI, AND SYSTEM VERIFICATION</w:t>
        <w:br/>
      </w:r>
    </w:p>
    <w:p>
      <w:pPr>
        <w:jc w:val="center"/>
      </w:pPr>
      <w:r>
        <w:rPr>
          <w:rFonts w:ascii="Arial" w:hAnsi="Arial"/>
          <w:i/>
          <w:sz w:val="22"/>
        </w:rPr>
        <w:t>Desktop Implementation, Dashboard, and Demonstration Protocol</w:t>
        <w:br/>
      </w:r>
    </w:p>
    <w:p/>
    <w:p/>
    <w:p/>
    <w:p/>
    <w:p>
      <w:pPr>
        <w:jc w:val="center"/>
      </w:pPr>
      <w:r>
        <w:rPr>
          <w:rFonts w:ascii="Arial" w:hAnsi="Arial"/>
          <w:b/>
          <w:sz w:val="22"/>
        </w:rPr>
        <w:t>Prepared by:</w:t>
        <w:br/>
      </w:r>
    </w:p>
    <w:p>
      <w:pPr>
        <w:jc w:val="center"/>
      </w:pPr>
      <w:r>
        <w:rPr>
          <w:rFonts w:ascii="Arial" w:hAnsi="Arial"/>
          <w:sz w:val="22"/>
        </w:rPr>
        <w:t>Lamptey Kwaku Abednego — 3398122</w:t>
        <w:br/>
        <w:t>Tugbah Lily Ama Mawuena — 3416522</w:t>
        <w:br/>
        <w:t>Korli Larry Addo — 3395922</w:t>
        <w:br/>
      </w:r>
    </w:p>
    <w:p/>
    <w:p/>
    <w:p/>
    <w:p>
      <w:pPr>
        <w:jc w:val="center"/>
      </w:pPr>
      <w:r>
        <w:rPr>
          <w:rFonts w:ascii="Arial" w:hAnsi="Arial"/>
          <w:b/>
          <w:sz w:val="22"/>
        </w:rPr>
        <w:t>Date: May 2026</w:t>
      </w:r>
    </w:p>
    <w:p>
      <w:r>
        <w:br w:type="page"/>
      </w:r>
    </w:p>
    <w:p>
      <w:pPr>
        <w:pStyle w:val="Heading1"/>
        <w:spacing w:before="360" w:after="120"/>
      </w:pPr>
      <w:r>
        <w:t>Section 1: Real-Time Data Pipeline &amp; Action Engine</w:t>
      </w:r>
    </w:p>
    <w:p>
      <w:pPr>
        <w:spacing w:before="0" w:after="120" w:line="276" w:lineRule="auto"/>
      </w:pPr>
      <w:r>
        <w:t>The real-time data pipeline is the operational core of the Lightweight AI-Powered System Resource Optimizer. It continuously bridges the gap between raw system telemetry and intelligent automated action, operating entirely in the background without user intervention.</w:t>
      </w:r>
    </w:p>
    <w:p>
      <w:pPr>
        <w:spacing w:before="0" w:after="120" w:line="276" w:lineRule="auto"/>
      </w:pPr>
      <w:r>
        <w:t>This document describes the architecture and implementation of four decoupled modules: `src/optimizer_service.py` which runs as a background service; `src/core/pipeline.py`, which orchestrates the end-to-end inference loop; `src/core/action_engine.py`, which manages the lifecycle of process suspensions; and `src/core/notifier.py`, which dispatches non-blocking Windows/macOS Toast alerts. Together, these modules translate AI predictions into concrete, reversible system interventions.</w:t>
      </w:r>
    </w:p>
    <w:p>
      <w:pPr>
        <w:spacing w:before="0" w:after="120" w:line="276" w:lineRule="auto"/>
      </w:pPr>
      <w:r>
        <w:t>The pipeline is designed around a single non-negotiable constraint: it must consume less than 2% of total CPU and a negligible amount of RAM during active operation, so that the optimizer tool does not itself contribute to the resource pressure it is designed to alleviate.</w:t>
      </w:r>
    </w:p>
    <w:p>
      <w:pPr>
        <w:pStyle w:val="Heading1"/>
        <w:spacing w:before="360" w:after="120"/>
      </w:pPr>
      <w:r>
        <w:rPr>
          <w:rFonts w:ascii="Calibri" w:hAnsi="Calibri"/>
          <w:color w:val="003366"/>
        </w:rPr>
        <w:t>2. End-to-End Pipeline Architecture</w:t>
      </w:r>
    </w:p>
    <w:p>
      <w:pPr>
        <w:spacing w:before="0" w:after="120" w:line="276" w:lineRule="auto"/>
      </w:pPr>
      <w:r>
        <w:t>The pipeline follows a linear, single-threaded inference loop executing on a dedicated background daemon thread. Each iteration of the loop processes one new telemetry sample and, when sufficient history has accumulated, produces one model inference. The following diagram illustrates the complete data flow:</w:t>
      </w:r>
    </w:p>
    <w:p>
      <w:pPr>
        <w:spacing w:before="0" w:after="120" w:line="276" w:lineRule="auto"/>
      </w:pPr>
      <w:r>
        <w:t>```</w:t>
      </w:r>
    </w:p>
    <w:p>
      <w:pPr>
        <w:spacing w:before="0" w:after="120" w:line="276" w:lineRule="auto"/>
      </w:pPr>
      <w:r>
        <w:t>┌───────────────────────────────┐</w:t>
      </w:r>
    </w:p>
    <w:p>
      <w:pPr>
        <w:spacing w:before="0" w:after="120" w:line="276" w:lineRule="auto"/>
      </w:pPr>
      <w:r>
        <w:t>│   Non-Blocking psutil Poll    │  (CPU%, RAM%, Swap%, Temp, cores)</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    MinMaxScaler Normalizer    │  (Fits live to [0, 1] range)</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  collections.deque (W=60s)    │  (Rolling sequence window buffer)</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 ONNX Runtime (INT8 GRU) 1Hz   │  (Runs mathematical forward pass)</w:t>
      </w:r>
    </w:p>
    <w:p>
      <w:pPr>
        <w:spacing w:before="0" w:after="120" w:line="276" w:lineRule="auto"/>
      </w:pPr>
      <w:r>
        <w:t>└───────────────┬───────────────┘</w:t>
      </w:r>
    </w:p>
    <w:p>
      <w:pPr>
        <w:spacing w:before="0" w:after="120" w:line="276" w:lineRule="auto"/>
      </w:pPr>
      <w:r>
        <w:t>│</w:t>
      </w:r>
    </w:p>
    <w:p>
      <w:pPr>
        <w:spacing w:before="0" w:after="120" w:line="276" w:lineRule="auto"/>
      </w:pPr>
      <w:r>
        <w:t>┌───────────────────────┴───────────────────────┐</w:t>
      </w:r>
    </w:p>
    <w:p>
      <w:pPr>
        <w:spacing w:before="0" w:after="120" w:line="276" w:lineRule="auto"/>
      </w:pPr>
      <w:r>
        <w:t>▼                                               ▼</w:t>
      </w:r>
    </w:p>
    <w:p>
      <w:pPr>
        <w:spacing w:before="0" w:after="120" w:line="276" w:lineRule="auto"/>
      </w:pPr>
      <w:r>
        <w:t>[Action Engine evaluate()]                      [on_result() Signal Callback]</w:t>
      </w:r>
    </w:p>
    <w:p>
      <w:pPr>
        <w:spacing w:before="0" w:after="120" w:line="276" w:lineRule="auto"/>
      </w:pPr>
      <w:r>
        <w:t>(Suspends top 3 non-whitelisted processes         (Dispatches thread-safe Queue</w:t>
      </w:r>
    </w:p>
    <w:p>
      <w:pPr>
        <w:spacing w:before="0" w:after="120" w:line="276" w:lineRule="auto"/>
      </w:pPr>
      <w:r>
        <w:t>when confidence &gt;= 80% to free core resources)   to Flet main thread dashboard)</w:t>
      </w:r>
    </w:p>
    <w:p>
      <w:pPr>
        <w:spacing w:before="0" w:after="120" w:line="276" w:lineRule="auto"/>
      </w:pPr>
      <w:r>
        <w:t>```</w:t>
      </w:r>
    </w:p>
    <w:p>
      <w:pPr>
        <w:spacing w:before="0" w:after="120" w:line="276" w:lineRule="auto"/>
      </w:pPr>
      <w:r>
        <w:t>The pipeline thread communicates results to the local IPC handler in the background service, which caches the latest telemetry sample and maintains a rolling history. The Flet dashboard in `src/dashboard.py` connects to this background service via local TCP sockets (IPC on port 5050) and polls for updates asynchronously. This socket communication ensures that the dashboard can be opened and closed at any time without impacting the telemetry pipeline or automated process optimizations.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color w:val="003366"/>
              </w:rPr>
              <w:t>Stage</w:t>
            </w:r>
          </w:p>
        </w:tc>
        <w:tc>
          <w:tcPr>
            <w:tcW w:type="dxa" w:w="2340"/>
          </w:tcPr>
          <w:p>
            <w:pPr>
              <w:jc w:val="left"/>
            </w:pPr>
            <w:r>
              <w:rPr>
                <w:b/>
                <w:color w:val="003366"/>
              </w:rPr>
              <w:t>Module / Class</w:t>
            </w:r>
          </w:p>
        </w:tc>
        <w:tc>
          <w:tcPr>
            <w:tcW w:type="dxa" w:w="2340"/>
          </w:tcPr>
          <w:p>
            <w:pPr>
              <w:jc w:val="left"/>
            </w:pPr>
            <w:r>
              <w:rPr>
                <w:b/>
                <w:color w:val="003366"/>
              </w:rPr>
              <w:t>Output</w:t>
            </w:r>
          </w:p>
        </w:tc>
        <w:tc>
          <w:tcPr>
            <w:tcW w:type="dxa" w:w="2340"/>
          </w:tcPr>
          <w:p>
            <w:pPr>
              <w:jc w:val="left"/>
            </w:pPr>
            <w:r>
              <w:rPr>
                <w:b/>
                <w:color w:val="003366"/>
              </w:rPr>
              <w:t>Runs On</w:t>
            </w:r>
          </w:p>
        </w:tc>
      </w:tr>
      <w:tr>
        <w:tc>
          <w:tcPr>
            <w:tcW w:type="dxa" w:w="2340"/>
          </w:tcPr>
          <w:p>
            <w:r>
              <w:t>1. Telemetry Poll</w:t>
            </w:r>
          </w:p>
        </w:tc>
        <w:tc>
          <w:tcPr>
            <w:tcW w:type="dxa" w:w="2340"/>
          </w:tcPr>
          <w:p>
            <w:r>
              <w:t>Pipeline._collect_raw()</w:t>
            </w:r>
          </w:p>
        </w:tc>
        <w:tc>
          <w:tcPr>
            <w:tcW w:type="dxa" w:w="2340"/>
          </w:tcPr>
          <w:p>
            <w:r>
              <w:t>Raw dict {feature: value}</w:t>
            </w:r>
          </w:p>
        </w:tc>
        <w:tc>
          <w:tcPr>
            <w:tcW w:type="dxa" w:w="2340"/>
          </w:tcPr>
          <w:p>
            <w:r>
              <w:t>Pipeline thread</w:t>
            </w:r>
          </w:p>
        </w:tc>
      </w:tr>
      <w:tr>
        <w:tc>
          <w:tcPr>
            <w:tcW w:type="dxa" w:w="2340"/>
          </w:tcPr>
          <w:p>
            <w:r>
              <w:t>2. Normalisation</w:t>
            </w:r>
          </w:p>
        </w:tc>
        <w:tc>
          <w:tcPr>
            <w:tcW w:type="dxa" w:w="2340"/>
          </w:tcPr>
          <w:p>
            <w:r>
              <w:t>Pipeline._scale()</w:t>
            </w:r>
          </w:p>
        </w:tc>
        <w:tc>
          <w:tcPr>
            <w:tcW w:type="dxa" w:w="2340"/>
          </w:tcPr>
          <w:p>
            <w:r>
              <w:t>np.ndarray, shape (F,)</w:t>
            </w:r>
          </w:p>
        </w:tc>
        <w:tc>
          <w:tcPr>
            <w:tcW w:type="dxa" w:w="2340"/>
          </w:tcPr>
          <w:p>
            <w:r>
              <w:t>Pipeline thread</w:t>
            </w:r>
          </w:p>
        </w:tc>
      </w:tr>
      <w:tr>
        <w:tc>
          <w:tcPr>
            <w:tcW w:type="dxa" w:w="2340"/>
          </w:tcPr>
          <w:p>
            <w:r>
              <w:t>3. Window Maintenance</w:t>
            </w:r>
          </w:p>
        </w:tc>
        <w:tc>
          <w:tcPr>
            <w:tcW w:type="dxa" w:w="2340"/>
          </w:tcPr>
          <w:p>
            <w:r>
              <w:t>collections.deque(maxlen=W)</w:t>
            </w:r>
          </w:p>
        </w:tc>
        <w:tc>
          <w:tcPr>
            <w:tcW w:type="dxa" w:w="2340"/>
          </w:tcPr>
          <w:p>
            <w:r>
              <w:t>np.ndarray, shape (W, F)</w:t>
            </w:r>
          </w:p>
        </w:tc>
        <w:tc>
          <w:tcPr>
            <w:tcW w:type="dxa" w:w="2340"/>
          </w:tcPr>
          <w:p>
            <w:r>
              <w:t>Pipeline thread</w:t>
            </w:r>
          </w:p>
        </w:tc>
      </w:tr>
      <w:tr>
        <w:tc>
          <w:tcPr>
            <w:tcW w:type="dxa" w:w="2340"/>
          </w:tcPr>
          <w:p>
            <w:r>
              <w:t>4. Model Inference</w:t>
            </w:r>
          </w:p>
        </w:tc>
        <w:tc>
          <w:tcPr>
            <w:tcW w:type="dxa" w:w="2340"/>
          </w:tcPr>
          <w:p>
            <w:r>
              <w:t>InferenceEngine.predict()</w:t>
            </w:r>
          </w:p>
        </w:tc>
        <w:tc>
          <w:tcPr>
            <w:tcW w:type="dxa" w:w="2340"/>
          </w:tcPr>
          <w:p>
            <w:r>
              <w:t>(confidence, cpu%, mem%)</w:t>
            </w:r>
          </w:p>
        </w:tc>
        <w:tc>
          <w:tcPr>
            <w:tcW w:type="dxa" w:w="2340"/>
          </w:tcPr>
          <w:p>
            <w:r>
              <w:t>Pipeline thread</w:t>
            </w:r>
          </w:p>
        </w:tc>
      </w:tr>
      <w:tr>
        <w:tc>
          <w:tcPr>
            <w:tcW w:type="dxa" w:w="2340"/>
          </w:tcPr>
          <w:p>
            <w:r>
              <w:t>5. Action Decision</w:t>
            </w:r>
          </w:p>
        </w:tc>
        <w:tc>
          <w:tcPr>
            <w:tcW w:type="dxa" w:w="2340"/>
          </w:tcPr>
          <w:p>
            <w:r>
              <w:t>ActionEngine.evaluate()</w:t>
            </w:r>
          </w:p>
        </w:tc>
        <w:tc>
          <w:tcPr>
            <w:tcW w:type="dxa" w:w="2340"/>
          </w:tcPr>
          <w:p>
            <w:r>
              <w:t>ActionResult dataclass</w:t>
            </w:r>
          </w:p>
        </w:tc>
        <w:tc>
          <w:tcPr>
            <w:tcW w:type="dxa" w:w="2340"/>
          </w:tcPr>
          <w:p>
            <w:r>
              <w:t>Pipeline thread</w:t>
            </w:r>
          </w:p>
        </w:tc>
      </w:tr>
      <w:tr>
        <w:tc>
          <w:tcPr>
            <w:tcW w:type="dxa" w:w="2340"/>
          </w:tcPr>
          <w:p>
            <w:r>
              <w:t>6. Notification</w:t>
            </w:r>
          </w:p>
        </w:tc>
        <w:tc>
          <w:tcPr>
            <w:tcW w:type="dxa" w:w="2340"/>
          </w:tcPr>
          <w:p>
            <w:r>
              <w:t>Notifier.send()</w:t>
            </w:r>
          </w:p>
        </w:tc>
        <w:tc>
          <w:tcPr>
            <w:tcW w:type="dxa" w:w="2340"/>
          </w:tcPr>
          <w:p>
            <w:r>
              <w:t>Windows/macOS Toast (async)</w:t>
            </w:r>
          </w:p>
        </w:tc>
        <w:tc>
          <w:tcPr>
            <w:tcW w:type="dxa" w:w="2340"/>
          </w:tcPr>
          <w:p>
            <w:r>
              <w:t>Daemon toast thread</w:t>
            </w:r>
          </w:p>
        </w:tc>
      </w:tr>
      <w:tr>
        <w:tc>
          <w:tcPr>
            <w:tcW w:type="dxa" w:w="2340"/>
          </w:tcPr>
          <w:p>
            <w:r>
              <w:t>7. UI Update</w:t>
            </w:r>
          </w:p>
        </w:tc>
        <w:tc>
          <w:tcPr>
            <w:tcW w:type="dxa" w:w="2340"/>
          </w:tcPr>
          <w:p>
            <w:r>
              <w:t>on_result(PipelineResult)</w:t>
            </w:r>
          </w:p>
        </w:tc>
        <w:tc>
          <w:tcPr>
            <w:tcW w:type="dxa" w:w="2340"/>
          </w:tcPr>
          <w:p>
            <w:r>
              <w:t>PipelineResult dataclass</w:t>
            </w:r>
          </w:p>
        </w:tc>
        <w:tc>
          <w:tcPr>
            <w:tcW w:type="dxa" w:w="2340"/>
          </w:tcPr>
          <w:p>
            <w:r>
              <w:t>Pipeline → IPC TCP Sockets (Port 5050) &amp; Flet Async Task</w:t>
            </w:r>
          </w:p>
        </w:tc>
      </w:tr>
    </w:tbl>
    <w:p>
      <w:pPr>
        <w:spacing w:before="0" w:after="120" w:line="276" w:lineRule="auto"/>
      </w:pPr>
      <w:r>
        <w:t>Table 2.1: Summary of pipeline stages, responsible module, output type, and execution context.</w:t>
      </w:r>
    </w:p>
    <w:p>
      <w:pPr>
        <w:pStyle w:val="Heading1"/>
        <w:spacing w:before="360" w:after="120"/>
      </w:pPr>
      <w:r>
        <w:rPr>
          <w:rFonts w:ascii="Calibri" w:hAnsi="Calibri"/>
          <w:color w:val="003366"/>
        </w:rPr>
        <w:t>3. Data Ingestion and Feature Engineering</w:t>
      </w:r>
    </w:p>
    <w:p>
      <w:pPr>
        <w:pStyle w:val="Heading2"/>
        <w:spacing w:before="240" w:after="80"/>
      </w:pPr>
      <w:r>
        <w:rPr>
          <w:rFonts w:ascii="Calibri" w:hAnsi="Calibri"/>
          <w:color w:val="006699"/>
        </w:rPr>
        <w:t>3.1 psutil Polling Loop</w:t>
      </w:r>
    </w:p>
    <w:p>
      <w:pPr>
        <w:spacing w:before="0" w:after="120" w:line="276" w:lineRule="auto"/>
      </w:pPr>
      <w:r>
        <w:t>The pipeline polls psutil once per POLL_INTERVAL_SEC (default: 1 second) using non-blocking calls. The `psutil.cpu_percent(interval=None)` call is deliberately non-blocking — it returns the CPU utilisation measured since the previous call rather than sleeping to measure a new interval, which would add latency to the loop. A warm-up call is made at pipeline startup and discarded, as the first call to cpu_percent always returns 0.0.</w:t>
      </w:r>
    </w:p>
    <w:p>
      <w:pPr>
        <w:spacing w:before="0" w:after="120" w:line="276" w:lineRule="auto"/>
      </w:pPr>
      <w:r>
        <w:t>The following telemetry is collected on each tick: aggregate CPU percentage, per-logical-core CPU percentages, current CPU frequency, physical memory statistics (used, available, percent), swap memory statistics, and CPU package temperature where hardware sensors are available (falling back to the `ThermalSimulator` first-order lag filter on virtual machines).</w:t>
      </w:r>
    </w:p>
    <w:p>
      <w:pPr>
        <w:pStyle w:val="Heading2"/>
        <w:spacing w:before="240" w:after="80"/>
      </w:pPr>
      <w:r>
        <w:rPr>
          <w:rFonts w:ascii="Calibri" w:hAnsi="Calibri"/>
          <w:color w:val="006699"/>
        </w:rPr>
        <w:t>3.2 Real-Time Feature Engineering</w:t>
      </w:r>
    </w:p>
    <w:p>
      <w:pPr>
        <w:spacing w:before="0" w:after="120" w:line="276" w:lineRule="auto"/>
      </w:pPr>
      <w:r/>
      <w:r>
        <w:t xml:space="preserve">Raw telemetry values are immediately normalised using the MinMaxScaler fitted during the preprocessing stage (Module A). The scaler is loaded once at pipeline startup from `models/scaler.pkl` (or fitted dynamically during the 90-second local calibration phase and stored as `~/.sro_optimizer/scaler_local_v2.pkl`) and applied to every incoming sample without modification. This ensures the live feature vectors occupy the same </w:t>
      </w:r>
      <w:r>
        <w:t>[0, 1]</w:t>
      </w:r>
      <w:r>
        <w:t xml:space="preserve"> distribution as the training data, which is a strict requirement for valid GRU inference.</w:t>
      </w:r>
    </w:p>
    <w:p>
      <w:pPr>
        <w:spacing w:before="0" w:after="120" w:line="276" w:lineRule="auto"/>
      </w:pPr>
      <w:r>
        <w:t>If the scaler file is absent, the pipeline falls back to a hard-coded approximate normalisation using known maximum values per feature. This fallback activates the heuristic inference mode.</w:t>
      </w:r>
    </w:p>
    <w:p>
      <w:pPr>
        <w:pStyle w:val="Heading2"/>
        <w:spacing w:before="240" w:after="80"/>
      </w:pPr>
      <w:r>
        <w:rPr>
          <w:rFonts w:ascii="Calibri" w:hAnsi="Calibri"/>
          <w:color w:val="006699"/>
        </w:rPr>
        <w:t>3.3 Rolling Window Maintenance</w:t>
      </w:r>
    </w:p>
    <w:p>
      <w:pPr>
        <w:spacing w:before="0" w:after="120" w:line="276" w:lineRule="auto"/>
      </w:pPr>
      <w:r>
        <w:t>Normalised feature vectors are appended to a `collections.deque` with `maxlen=WINDOW_SIZE` (60). The deque automatically discards the oldest sample when a new one is appended, maintaining a constant-length sliding window without any copying or shifting of array data. Model inference is suppressed until the deque contains exactly WINDOW_SIZE samples (the first 60 seconds of operation).</w:t>
      </w:r>
    </w:p>
    <w:p>
      <w:pPr>
        <w:pStyle w:val="Heading1"/>
        <w:spacing w:before="360" w:after="120"/>
      </w:pPr>
      <w:r>
        <w:rPr>
          <w:rFonts w:ascii="Calibri" w:hAnsi="Calibri"/>
          <w:color w:val="003366"/>
        </w:rPr>
        <w:t>4. Model Inference Pipeline</w:t>
      </w:r>
    </w:p>
    <w:p>
      <w:pPr>
        <w:pStyle w:val="Heading2"/>
        <w:spacing w:before="240" w:after="80"/>
      </w:pPr>
      <w:r>
        <w:rPr>
          <w:rFonts w:ascii="Calibri" w:hAnsi="Calibri"/>
          <w:color w:val="006699"/>
        </w:rPr>
        <w:t>4.1 Single-Threaded ONNX Runtime Session</w:t>
      </w:r>
    </w:p>
    <w:p>
      <w:pPr>
        <w:spacing w:before="0" w:after="120" w:line="276" w:lineRule="auto"/>
      </w:pPr>
      <w:r>
        <w:t>The quantized GRU model is loaded as an ONNX file (`models/gru_quantized.onnx`) using the onnxruntime library.</w:t>
      </w:r>
    </w:p>
    <w:p>
      <w:pPr>
        <w:spacing w:before="0" w:after="120" w:line="276" w:lineRule="auto"/>
      </w:pPr>
      <w:r>
        <w:t>The ONNX InferenceSession is configured with `intra_op_num_threads=1` and `inter_op_num_threads=1`, restricting the runtime to a single CPU core. While this slightly increases per-inference latency compared to multi-threaded operation, it prevents the model from competing with user workloads for CPU time — critical for a tool whose stated goal is to reduce CPU pressure.</w:t>
      </w:r>
    </w:p>
    <w:p>
      <w:pPr>
        <w:pStyle w:val="Heading2"/>
        <w:spacing w:before="240" w:after="80"/>
      </w:pPr>
      <w:r>
        <w:rPr>
          <w:rFonts w:ascii="Calibri" w:hAnsi="Calibri"/>
          <w:color w:val="006699"/>
        </w:rPr>
        <w:t>4.2 Inference Inputs and Outputs</w:t>
      </w:r>
    </w:p>
    <w:p>
      <w:pPr>
        <w:spacing w:before="0" w:after="120" w:line="276" w:lineRule="auto"/>
      </w:pPr>
      <w:r/>
      <w:r>
        <w:t xml:space="preserve">The model accepts a single input tensor of shape `(1, W, F)` — a batch of one window of W=60 timesteps and F features. It produces two outputs: a regression vector of shape `(1, F)` representing the predicted feature values at the next timestep, and a scalar confidence value in the range </w:t>
      </w:r>
      <w:r>
        <w:t>[0, 1]</w:t>
      </w:r>
      <w:r>
        <w:t xml:space="preserve"> representing the model's estimated probability that a resource bottleneck will occur within the next LABEL_HORIZON seconds.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ONNX Node Name</w:t>
            </w:r>
          </w:p>
        </w:tc>
        <w:tc>
          <w:tcPr>
            <w:tcW w:type="dxa" w:w="3120"/>
          </w:tcPr>
          <w:p>
            <w:pPr>
              <w:jc w:val="left"/>
            </w:pPr>
            <w:r>
              <w:rPr>
                <w:b/>
                <w:color w:val="003366"/>
              </w:rPr>
              <w:t>Data Shape</w:t>
            </w:r>
          </w:p>
        </w:tc>
        <w:tc>
          <w:tcPr>
            <w:tcW w:type="dxa" w:w="3120"/>
          </w:tcPr>
          <w:p>
            <w:pPr>
              <w:jc w:val="left"/>
            </w:pPr>
            <w:r>
              <w:rPr>
                <w:b/>
                <w:color w:val="003366"/>
              </w:rPr>
              <w:t>Description &amp; Type</w:t>
            </w:r>
          </w:p>
        </w:tc>
      </w:tr>
      <w:tr>
        <w:tc>
          <w:tcPr>
            <w:tcW w:type="dxa" w:w="3120"/>
          </w:tcPr>
          <w:p>
            <w:r>
              <w:t>Input: x</w:t>
            </w:r>
          </w:p>
        </w:tc>
        <w:tc>
          <w:tcPr>
            <w:tcW w:type="dxa" w:w="3120"/>
          </w:tcPr>
          <w:p>
            <w:r>
              <w:t>(1, 60, F)</w:t>
            </w:r>
          </w:p>
        </w:tc>
        <w:tc>
          <w:tcPr>
            <w:tcW w:type="dxa" w:w="3120"/>
          </w:tcPr>
          <w:p>
            <w:r>
              <w:t>Normalised rolling window tensor (Float32).</w:t>
            </w:r>
          </w:p>
        </w:tc>
      </w:tr>
      <w:tr>
        <w:tc>
          <w:tcPr>
            <w:tcW w:type="dxa" w:w="3120"/>
          </w:tcPr>
          <w:p>
            <w:r>
              <w:t>Output: reg_out</w:t>
            </w:r>
          </w:p>
        </w:tc>
        <w:tc>
          <w:tcPr>
            <w:tcW w:type="dxa" w:w="3120"/>
          </w:tcPr>
          <w:p>
            <w:r>
              <w:t>(1, F)</w:t>
            </w:r>
          </w:p>
        </w:tc>
        <w:tc>
          <w:tcPr>
            <w:tcW w:type="dxa" w:w="3120"/>
          </w:tcPr>
          <w:p>
            <w:r>
              <w:t>Predicted next-step feature vector (normalised space).</w:t>
            </w:r>
          </w:p>
        </w:tc>
      </w:tr>
      <w:tr>
        <w:tc>
          <w:tcPr>
            <w:tcW w:type="dxa" w:w="3120"/>
          </w:tcPr>
          <w:p>
            <w:r>
              <w:t>Output: conf_out</w:t>
            </w:r>
          </w:p>
        </w:tc>
        <w:tc>
          <w:tcPr>
            <w:tcW w:type="dxa" w:w="3120"/>
          </w:tcPr>
          <w:p>
            <w:r>
              <w:t>(1, 1)</w:t>
            </w:r>
          </w:p>
        </w:tc>
        <w:tc>
          <w:tcPr>
            <w:tcW w:type="dxa" w:w="3120"/>
          </w:tcPr>
          <w:p>
            <w:r>
              <w:t>Bottleneck probability — sigmoid output of classifier head.</w:t>
            </w:r>
          </w:p>
        </w:tc>
      </w:tr>
    </w:tbl>
    <w:p>
      <w:pPr>
        <w:spacing w:before="0" w:after="120" w:line="276" w:lineRule="auto"/>
      </w:pPr>
      <w:r>
        <w:t>Table 4.1: ONNX model input/output specification. F = number of feature columns (varies by machine core count).</w:t>
      </w:r>
    </w:p>
    <w:p>
      <w:pPr>
        <w:pStyle w:val="Heading2"/>
        <w:spacing w:before="240" w:after="80"/>
      </w:pPr>
      <w:r>
        <w:rPr>
          <w:rFonts w:ascii="Calibri" w:hAnsi="Calibri"/>
          <w:color w:val="006699"/>
        </w:rPr>
        <w:t>4.3 Heuristic Fallback Mode</w:t>
      </w:r>
    </w:p>
    <w:p>
      <w:pPr>
        <w:spacing w:before="0" w:after="120" w:line="276" w:lineRule="auto"/>
      </w:pPr>
      <w:r>
        <w:t>When the ONNX model file is absent, the `InferenceEngine._heuristic()` method activates. This method computes a naive confidence score by averaging the CPU utilisation of the last 10 window samples and amplifying any upward trend. This allows the pipeline — and therefore the full application including UI, action engine, and notifications — to be tested end-to-end before model training is complete.</w:t>
      </w:r>
    </w:p>
    <w:p>
      <w:pPr>
        <w:pStyle w:val="Heading1"/>
        <w:spacing w:before="360" w:after="120"/>
      </w:pPr>
      <w:r>
        <w:rPr>
          <w:rFonts w:ascii="Calibri" w:hAnsi="Calibri"/>
          <w:color w:val="003366"/>
        </w:rPr>
        <w:t>5. Action Decision Logic and Engine</w:t>
      </w:r>
    </w:p>
    <w:p>
      <w:pPr>
        <w:pStyle w:val="Heading2"/>
        <w:spacing w:before="240" w:after="80"/>
      </w:pPr>
      <w:r>
        <w:rPr>
          <w:rFonts w:ascii="Calibri" w:hAnsi="Calibri"/>
          <w:color w:val="006699"/>
        </w:rPr>
        <w:t>5.1 Threshold-Based Trigger</w:t>
      </w:r>
    </w:p>
    <w:p>
      <w:pPr>
        <w:spacing w:before="0" w:after="120" w:line="276" w:lineRule="auto"/>
      </w:pPr>
      <w:r>
        <w:t>The `ActionEngine.evaluate()` method is called on every inference cycle. It takes the model's confidence score and predicted CPU/memory percentages as inputs. Action is triggered only when confidence &gt;= CONFIDENCE_THRESHOLD (default: 0.80). To prevent rapid successive suspensions, the action is additionally throttled so that no more than one suspension event can occur within a 45-second window.</w:t>
      </w:r>
    </w:p>
    <w:p>
      <w:pPr>
        <w:pStyle w:val="Heading2"/>
        <w:spacing w:before="240" w:after="80"/>
      </w:pPr>
      <w:r>
        <w:rPr>
          <w:rFonts w:ascii="Calibri" w:hAnsi="Calibri"/>
          <w:color w:val="006699"/>
        </w:rPr>
        <w:t>5.2 Process Selection Algorithm</w:t>
      </w:r>
    </w:p>
    <w:p>
      <w:pPr>
        <w:spacing w:before="0" w:after="120" w:line="276" w:lineRule="auto"/>
      </w:pPr>
      <w:r>
        <w:t>When the confidence threshold is crossed, the ActionEngine iterates over all running processes using `psutil.process_iter()`, collecting candidates that satisfy three conditions:</w:t>
      </w:r>
    </w:p>
    <w:p>
      <w:pPr>
        <w:spacing w:before="0" w:after="120" w:line="276" w:lineRule="auto"/>
      </w:pPr>
      <w:r>
        <w:t>1. The process name is not in the Windows/macOS System Whitelist.</w:t>
      </w:r>
    </w:p>
    <w:p>
      <w:pPr>
        <w:spacing w:before="0" w:after="120" w:line="276" w:lineRule="auto"/>
      </w:pPr>
      <w:r>
        <w:t>2. The process PID is not already in the suspended set.</w:t>
      </w:r>
    </w:p>
    <w:p>
      <w:pPr>
        <w:spacing w:before="0" w:after="120" w:line="276" w:lineRule="auto"/>
      </w:pPr>
      <w:r>
        <w:t>3. The process status is neither zombie nor dead.</w:t>
      </w:r>
    </w:p>
    <w:p>
      <w:pPr>
        <w:spacing w:before="0" w:after="120" w:line="276" w:lineRule="auto"/>
      </w:pPr>
      <w:r>
        <w:t>Candidates are ranked by current CPU utilisation (descending) and the top three consumers are selected for suspension.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Whitelist Category</w:t>
            </w:r>
          </w:p>
        </w:tc>
        <w:tc>
          <w:tcPr>
            <w:tcW w:type="dxa" w:w="3120"/>
          </w:tcPr>
          <w:p>
            <w:pPr>
              <w:jc w:val="left"/>
            </w:pPr>
            <w:r>
              <w:rPr>
                <w:b/>
                <w:color w:val="003366"/>
              </w:rPr>
              <w:t>Protected Binary Names</w:t>
            </w:r>
          </w:p>
        </w:tc>
        <w:tc>
          <w:tcPr>
            <w:tcW w:type="dxa" w:w="3120"/>
          </w:tcPr>
          <w:p>
            <w:pPr>
              <w:jc w:val="left"/>
            </w:pPr>
            <w:r>
              <w:rPr>
                <w:b/>
                <w:color w:val="003366"/>
              </w:rPr>
              <w:t>Reason for Protection</w:t>
            </w:r>
          </w:p>
        </w:tc>
      </w:tr>
      <w:tr>
        <w:tc>
          <w:tcPr>
            <w:tcW w:type="dxa" w:w="3120"/>
          </w:tcPr>
          <w:p>
            <w:r>
              <w:t>Core OS Kernel</w:t>
            </w:r>
          </w:p>
        </w:tc>
        <w:tc>
          <w:tcPr>
            <w:tcW w:type="dxa" w:w="3120"/>
          </w:tcPr>
          <w:p>
            <w:r>
              <w:t>System, registry, smss.exe</w:t>
            </w:r>
          </w:p>
        </w:tc>
        <w:tc>
          <w:tcPr>
            <w:tcW w:type="dxa" w:w="3120"/>
          </w:tcPr>
          <w:p>
            <w:r>
              <w:t>Cannot suspend; causes blue-screen/system crash.</w:t>
            </w:r>
          </w:p>
        </w:tc>
      </w:tr>
      <w:tr>
        <w:tc>
          <w:tcPr>
            <w:tcW w:type="dxa" w:w="3120"/>
          </w:tcPr>
          <w:p>
            <w:r>
              <w:t>Session Management</w:t>
            </w:r>
          </w:p>
        </w:tc>
        <w:tc>
          <w:tcPr>
            <w:tcW w:type="dxa" w:w="3120"/>
          </w:tcPr>
          <w:p>
            <w:r>
              <w:t>csrss.exe, wininit.exe, winlogon.exe</w:t>
            </w:r>
          </w:p>
        </w:tc>
        <w:tc>
          <w:tcPr>
            <w:tcW w:type="dxa" w:w="3120"/>
          </w:tcPr>
          <w:p>
            <w:r>
              <w:t>Suspending freezes active user shell sessions.</w:t>
            </w:r>
          </w:p>
        </w:tc>
      </w:tr>
      <w:tr>
        <w:tc>
          <w:tcPr>
            <w:tcW w:type="dxa" w:w="3120"/>
          </w:tcPr>
          <w:p>
            <w:r>
              <w:t>Service Infrastructure</w:t>
            </w:r>
          </w:p>
        </w:tc>
        <w:tc>
          <w:tcPr>
            <w:tcW w:type="dxa" w:w="3120"/>
          </w:tcPr>
          <w:p>
            <w:r>
              <w:t>services.exe, lsass.exe, svchost.exe</w:t>
            </w:r>
          </w:p>
        </w:tc>
        <w:tc>
          <w:tcPr>
            <w:tcW w:type="dxa" w:w="3120"/>
          </w:tcPr>
          <w:p>
            <w:r>
              <w:t>Suspending breaks RPC authentication.</w:t>
            </w:r>
          </w:p>
        </w:tc>
      </w:tr>
      <w:tr>
        <w:tc>
          <w:tcPr>
            <w:tcW w:type="dxa" w:w="3120"/>
          </w:tcPr>
          <w:p>
            <w:r>
              <w:t>Shell &amp; Compositor</w:t>
            </w:r>
          </w:p>
        </w:tc>
        <w:tc>
          <w:tcPr>
            <w:tcW w:type="dxa" w:w="3120"/>
          </w:tcPr>
          <w:p>
            <w:r>
              <w:t>explorer.exe, dwm.exe, LaunchServices</w:t>
            </w:r>
          </w:p>
        </w:tc>
        <w:tc>
          <w:tcPr>
            <w:tcW w:type="dxa" w:w="3120"/>
          </w:tcPr>
          <w:p>
            <w:r>
              <w:t>Suspending collapses the active graphical desktop.</w:t>
            </w:r>
          </w:p>
        </w:tc>
      </w:tr>
      <w:tr>
        <w:tc>
          <w:tcPr>
            <w:tcW w:type="dxa" w:w="3120"/>
          </w:tcPr>
          <w:p>
            <w:r>
              <w:t>Task Management</w:t>
            </w:r>
          </w:p>
        </w:tc>
        <w:tc>
          <w:tcPr>
            <w:tcW w:type="dxa" w:w="3120"/>
          </w:tcPr>
          <w:p>
            <w:r>
              <w:t>taskmgr.exe, Terminal.app</w:t>
            </w:r>
          </w:p>
        </w:tc>
        <w:tc>
          <w:tcPr>
            <w:tcW w:type="dxa" w:w="3120"/>
          </w:tcPr>
          <w:p>
            <w:r>
              <w:t>User must retain manual override ability.</w:t>
            </w:r>
          </w:p>
        </w:tc>
      </w:tr>
      <w:tr>
        <w:tc>
          <w:tcPr>
            <w:tcW w:type="dxa" w:w="3120"/>
          </w:tcPr>
          <w:p>
            <w:r>
              <w:t>SRO Optimizer</w:t>
            </w:r>
          </w:p>
        </w:tc>
        <w:tc>
          <w:tcPr>
            <w:tcW w:type="dxa" w:w="3120"/>
          </w:tcPr>
          <w:p>
            <w:r>
              <w:t>python.exe, python3, optimizer.exe</w:t>
            </w:r>
          </w:p>
        </w:tc>
        <w:tc>
          <w:tcPr>
            <w:tcW w:type="dxa" w:w="3120"/>
          </w:tcPr>
          <w:p>
            <w:r>
              <w:t>App must never suspend itself or its runner.</w:t>
            </w:r>
          </w:p>
        </w:tc>
      </w:tr>
    </w:tbl>
    <w:p>
      <w:pPr>
        <w:spacing w:before="0" w:after="120" w:line="276" w:lineRule="auto"/>
      </w:pPr>
      <w:r>
        <w:t>Table 5.1: Windows System Whitelist categories. All comparisons are case-insensitive.</w:t>
      </w:r>
    </w:p>
    <w:p>
      <w:pPr>
        <w:pStyle w:val="Heading2"/>
        <w:spacing w:before="240" w:after="80"/>
      </w:pPr>
      <w:r>
        <w:rPr>
          <w:rFonts w:ascii="Calibri" w:hAnsi="Calibri"/>
          <w:color w:val="006699"/>
        </w:rPr>
        <w:t>5.3 Suspension Mechanism</w:t>
      </w:r>
    </w:p>
    <w:p>
      <w:pPr>
        <w:spacing w:before="0" w:after="120" w:line="276" w:lineRule="auto"/>
      </w:pPr>
      <w:r>
        <w:t>Process suspension is performed using `psutil.Process(pid).suspend()`, which sends a SIGSTOP-equivalent signal on Windows (`NtSuspendThread` for each thread in the process). The process remains in memory and retains its address space; it simply ceases to be scheduled by the Windows kernel until resumed. This is fully reversible and does not risk data loss in the way that process termination would.</w:t>
      </w:r>
    </w:p>
    <w:p>
      <w:pPr>
        <w:spacing w:before="0" w:after="120" w:line="276" w:lineRule="auto"/>
      </w:pPr>
      <w:r>
        <w:t>Each suspension is recorded in the `_suspended` dictionary as a `SuspendedProcess` dataclass containing the PID, process name, suspension timestamp, reason string, and an `auto_resume` flag. This record serves as the undo state.</w:t>
      </w:r>
    </w:p>
    <w:p>
      <w:pPr>
        <w:pStyle w:val="Heading2"/>
        <w:spacing w:before="240" w:after="80"/>
      </w:pPr>
      <w:r>
        <w:rPr>
          <w:rFonts w:ascii="Calibri" w:hAnsi="Calibri"/>
          <w:color w:val="006699"/>
        </w:rPr>
        <w:t>5.4 Undo / Rollback State Machine</w:t>
      </w:r>
    </w:p>
    <w:p>
      <w:pPr>
        <w:spacing w:before="0" w:after="120" w:line="276" w:lineRule="auto"/>
      </w:pPr>
      <w:r>
        <w:t>The undo system is implemented as an in-memory state machine. Possible states for each suspended process are: `SUSPENDED` (actively throttled), `RESUMED_MANUAL` (user clicked Undo), `RESUMED_BOOST` (user clicked One-Click Boost), and `RESUMED_TIMEOUT` (auto-resumed by the watchdog thread after `UNDO_TIMEOUT_SEC` = 300 seconds).</w:t>
      </w:r>
    </w:p>
    <w:p>
      <w:pPr>
        <w:spacing w:before="0" w:after="120" w:line="276" w:lineRule="auto"/>
      </w:pPr>
      <w:r>
        <w:t>The auto-resume watchdog is a daemon thread that wakes every 10 seconds and resumes any process whose suspension duration exceeds `UNDO_TIMEOUT_SEC` (5 minutes). This acts as a safety net ensuring no process can be suspended indefinitely even if the user closes the dashboard without pressing Undo.</w:t>
      </w:r>
    </w:p>
    <w:p>
      <w:pPr>
        <w:pStyle w:val="Heading1"/>
        <w:spacing w:before="360" w:after="120"/>
      </w:pPr>
      <w:r>
        <w:rPr>
          <w:rFonts w:ascii="Calibri" w:hAnsi="Calibri"/>
          <w:color w:val="003366"/>
        </w:rPr>
        <w:t>6. Notification Subsystem</w:t>
      </w:r>
    </w:p>
    <w:p>
      <w:pPr>
        <w:spacing w:before="0" w:after="120" w:line="276" w:lineRule="auto"/>
      </w:pPr>
      <w:r>
        <w:t>Windows/macOS Toast notifications are dispatched via the `plyer` library's `notification.notify()` API. All notification calls are executed on a dedicated short-lived daemon thread to ensure they never block the pipeline loop or the UI thread. If plyer is not installed, the notifier degrades silently — logging the notification text to the application log without displaying a toast.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Trigger Event</w:t>
            </w:r>
          </w:p>
        </w:tc>
        <w:tc>
          <w:tcPr>
            <w:tcW w:type="dxa" w:w="3120"/>
          </w:tcPr>
          <w:p>
            <w:pPr>
              <w:jc w:val="left"/>
            </w:pPr>
            <w:r>
              <w:rPr>
                <w:b/>
                <w:color w:val="003366"/>
              </w:rPr>
              <w:t>Toast Title</w:t>
            </w:r>
          </w:p>
        </w:tc>
        <w:tc>
          <w:tcPr>
            <w:tcW w:type="dxa" w:w="3120"/>
          </w:tcPr>
          <w:p>
            <w:pPr>
              <w:jc w:val="left"/>
            </w:pPr>
            <w:r>
              <w:rPr>
                <w:b/>
                <w:color w:val="003366"/>
              </w:rPr>
              <w:t>Condition</w:t>
            </w:r>
          </w:p>
        </w:tc>
      </w:tr>
      <w:tr>
        <w:tc>
          <w:tcPr>
            <w:tcW w:type="dxa" w:w="3120"/>
          </w:tcPr>
          <w:p>
            <w:r>
              <w:t>Bottleneck warning</w:t>
            </w:r>
          </w:p>
        </w:tc>
        <w:tc>
          <w:tcPr>
            <w:tcW w:type="dxa" w:w="3120"/>
          </w:tcPr>
          <w:p>
            <w:r>
              <w:t>⚠️ Resource Optimizer: Warning</w:t>
            </w:r>
          </w:p>
        </w:tc>
        <w:tc>
          <w:tcPr>
            <w:tcW w:type="dxa" w:w="3120"/>
          </w:tcPr>
          <w:p>
            <w:r>
              <w:t>confidence &gt;= 0.68 (85% of threshold)</w:t>
            </w:r>
          </w:p>
        </w:tc>
      </w:tr>
      <w:tr>
        <w:tc>
          <w:tcPr>
            <w:tcW w:type="dxa" w:w="3120"/>
          </w:tcPr>
          <w:p>
            <w:r>
              <w:t>Process suspended</w:t>
            </w:r>
          </w:p>
        </w:tc>
        <w:tc>
          <w:tcPr>
            <w:tcW w:type="dxa" w:w="3120"/>
          </w:tcPr>
          <w:p>
            <w:r>
              <w:t>⚡ Optimizer: Processes Suspended</w:t>
            </w:r>
          </w:p>
        </w:tc>
        <w:tc>
          <w:tcPr>
            <w:tcW w:type="dxa" w:w="3120"/>
          </w:tcPr>
          <w:p>
            <w:r>
              <w:t>ActionEngine suspends 1+ processes</w:t>
            </w:r>
          </w:p>
        </w:tc>
      </w:tr>
      <w:tr>
        <w:tc>
          <w:tcPr>
            <w:tcW w:type="dxa" w:w="3120"/>
          </w:tcPr>
          <w:p>
            <w:r>
              <w:t>Undo pressed</w:t>
            </w:r>
          </w:p>
        </w:tc>
        <w:tc>
          <w:tcPr>
            <w:tcW w:type="dxa" w:w="3120"/>
          </w:tcPr>
          <w:p>
            <w:r>
              <w:t>✅ Optimizer: Processes Resumed</w:t>
            </w:r>
          </w:p>
        </w:tc>
        <w:tc>
          <w:tcPr>
            <w:tcW w:type="dxa" w:w="3120"/>
          </w:tcPr>
          <w:p>
            <w:r>
              <w:t>User clicks Undo button</w:t>
            </w:r>
          </w:p>
        </w:tc>
      </w:tr>
      <w:tr>
        <w:tc>
          <w:tcPr>
            <w:tcW w:type="dxa" w:w="3120"/>
          </w:tcPr>
          <w:p>
            <w:r>
              <w:t>Boost pressed</w:t>
            </w:r>
          </w:p>
        </w:tc>
        <w:tc>
          <w:tcPr>
            <w:tcW w:type="dxa" w:w="3120"/>
          </w:tcPr>
          <w:p>
            <w:r>
              <w:t>🚀 One-Click Boost Activated</w:t>
            </w:r>
          </w:p>
        </w:tc>
        <w:tc>
          <w:tcPr>
            <w:tcW w:type="dxa" w:w="3120"/>
          </w:tcPr>
          <w:p>
            <w:r>
              <w:t>User clicks One-Click Boost</w:t>
            </w:r>
          </w:p>
        </w:tc>
      </w:tr>
    </w:tbl>
    <w:p>
      <w:pPr>
        <w:spacing w:before="0" w:after="120" w:line="276" w:lineRule="auto"/>
      </w:pPr>
      <w:r>
        <w:t>Table 6.1: Notification triggers, toast titles, and the conditions that activate each alert.</w:t>
      </w:r>
    </w:p>
    <w:p>
      <w:pPr>
        <w:spacing w:before="0" w:after="120" w:line="276" w:lineRule="auto"/>
      </w:pPr>
      <w:r>
        <w:t>A warning notification is fired before the action threshold is reached (at 85% of CONFIDENCE_THRESHOLD) to give the user a preview of the AI's reasoning before automated action occurs. This supports the Explainable AI principle by ensuring the system is never opaque about its intentions.</w:t>
      </w:r>
    </w:p>
    <w:p>
      <w:pPr>
        <w:pStyle w:val="Heading1"/>
        <w:spacing w:before="360" w:after="120"/>
      </w:pPr>
      <w:r>
        <w:rPr>
          <w:rFonts w:ascii="Calibri" w:hAnsi="Calibri"/>
          <w:color w:val="003366"/>
        </w:rPr>
        <w:t>7. Error Handling and Graceful Degradation</w:t>
      </w:r>
    </w:p>
    <w:p>
      <w:pPr>
        <w:spacing w:before="0" w:after="120" w:line="276" w:lineRule="auto"/>
      </w:pPr>
      <w:r>
        <w:t>The pipeline is designed to never crash the application due to a non-fatal error in any individual component. All error conditions are caught, logged, and handled with an appropriate fallback strategy.</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Failure Scenario</w:t>
            </w:r>
          </w:p>
        </w:tc>
        <w:tc>
          <w:tcPr>
            <w:tcW w:type="dxa" w:w="3120"/>
          </w:tcPr>
          <w:p>
            <w:pPr>
              <w:jc w:val="left"/>
            </w:pPr>
            <w:r>
              <w:rPr>
                <w:b/>
                <w:color w:val="003366"/>
              </w:rPr>
              <w:t>Behaviour</w:t>
            </w:r>
          </w:p>
        </w:tc>
        <w:tc>
          <w:tcPr>
            <w:tcW w:type="dxa" w:w="3120"/>
          </w:tcPr>
          <w:p>
            <w:pPr>
              <w:jc w:val="left"/>
            </w:pPr>
            <w:r>
              <w:rPr>
                <w:b/>
                <w:color w:val="003366"/>
              </w:rPr>
              <w:t>User Impact</w:t>
            </w:r>
          </w:p>
        </w:tc>
      </w:tr>
      <w:tr>
        <w:tc>
          <w:tcPr>
            <w:tcW w:type="dxa" w:w="3120"/>
          </w:tcPr>
          <w:p>
            <w:r>
              <w:t>Temperature sensors unavailable</w:t>
            </w:r>
          </w:p>
        </w:tc>
        <w:tc>
          <w:tcPr>
            <w:tcW w:type="dxa" w:w="3120"/>
          </w:tcPr>
          <w:p>
            <w:r>
              <w:t>TEMP_FALLBACK (-1.0) stored; forward-filled during preprocessing</w:t>
            </w:r>
          </w:p>
        </w:tc>
        <w:tc>
          <w:tcPr>
            <w:tcW w:type="dxa" w:w="3120"/>
          </w:tcPr>
          <w:p>
            <w:r>
              <w:t>None — temperature feature imputed</w:t>
            </w:r>
          </w:p>
        </w:tc>
      </w:tr>
      <w:tr>
        <w:tc>
          <w:tcPr>
            <w:tcW w:type="dxa" w:w="3120"/>
          </w:tcPr>
          <w:p>
            <w:r>
              <w:t>ONNX model file missing</w:t>
            </w:r>
          </w:p>
        </w:tc>
        <w:tc>
          <w:tcPr>
            <w:tcW w:type="dxa" w:w="3120"/>
          </w:tcPr>
          <w:p>
            <w:r>
              <w:t>InferenceEngine switches to heuristic mode; logs warning</w:t>
            </w:r>
          </w:p>
        </w:tc>
        <w:tc>
          <w:tcPr>
            <w:tcW w:type="dxa" w:w="3120"/>
          </w:tcPr>
          <w:p>
            <w:r>
              <w:t>Reduced prediction accuracy; app still functional</w:t>
            </w:r>
          </w:p>
        </w:tc>
      </w:tr>
      <w:tr>
        <w:tc>
          <w:tcPr>
            <w:tcW w:type="dxa" w:w="3120"/>
          </w:tcPr>
          <w:p>
            <w:r>
              <w:t>Scaler file missing</w:t>
            </w:r>
          </w:p>
        </w:tc>
        <w:tc>
          <w:tcPr>
            <w:tcW w:type="dxa" w:w="3120"/>
          </w:tcPr>
          <w:p>
            <w:r>
              <w:t>Pipeline uses hard-coded approximate normalisation</w:t>
            </w:r>
          </w:p>
        </w:tc>
        <w:tc>
          <w:tcPr>
            <w:tcW w:type="dxa" w:w="3120"/>
          </w:tcPr>
          <w:p>
            <w:r>
              <w:t>Slightly degraded prediction inputs</w:t>
            </w:r>
          </w:p>
        </w:tc>
      </w:tr>
      <w:tr>
        <w:tc>
          <w:tcPr>
            <w:tcW w:type="dxa" w:w="3120"/>
          </w:tcPr>
          <w:p>
            <w:r>
              <w:t>psutil.AccessDenied on a process</w:t>
            </w:r>
          </w:p>
        </w:tc>
        <w:tc>
          <w:tcPr>
            <w:tcW w:type="dxa" w:w="3120"/>
          </w:tcPr>
          <w:p>
            <w:r>
              <w:t>Process skipped silently; warning logged</w:t>
            </w:r>
          </w:p>
        </w:tc>
        <w:tc>
          <w:tcPr>
            <w:tcW w:type="dxa" w:w="3120"/>
          </w:tcPr>
          <w:p>
            <w:r>
              <w:t>High-privilege process not suspended (acceptable)</w:t>
            </w:r>
          </w:p>
        </w:tc>
      </w:tr>
      <w:tr>
        <w:tc>
          <w:tcPr>
            <w:tcW w:type="dxa" w:w="3120"/>
          </w:tcPr>
          <w:p>
            <w:r>
              <w:t>psutil.NoSuchProcess during undo</w:t>
            </w:r>
          </w:p>
        </w:tc>
        <w:tc>
          <w:tcPr>
            <w:tcW w:type="dxa" w:w="3120"/>
          </w:tcPr>
          <w:p>
            <w:r>
              <w:t>PID removed from suspended dict; resumption skipped</w:t>
            </w:r>
          </w:p>
        </w:tc>
        <w:tc>
          <w:tcPr>
            <w:tcW w:type="dxa" w:w="3120"/>
          </w:tcPr>
          <w:p>
            <w:r>
              <w:t>No action needed; process already terminated</w:t>
            </w:r>
          </w:p>
        </w:tc>
      </w:tr>
      <w:tr>
        <w:tc>
          <w:tcPr>
            <w:tcW w:type="dxa" w:w="3120"/>
          </w:tcPr>
          <w:p>
            <w:r>
              <w:t>plyer not installed</w:t>
            </w:r>
          </w:p>
        </w:tc>
        <w:tc>
          <w:tcPr>
            <w:tcW w:type="dxa" w:w="3120"/>
          </w:tcPr>
          <w:p>
            <w:r>
              <w:t>Toast notifications suppressed; log entry written instead</w:t>
            </w:r>
          </w:p>
        </w:tc>
        <w:tc>
          <w:tcPr>
            <w:tcW w:type="dxa" w:w="3120"/>
          </w:tcPr>
          <w:p>
            <w:r>
              <w:t>Notifications absent; all other features unaffected</w:t>
            </w:r>
          </w:p>
        </w:tc>
      </w:tr>
      <w:tr>
        <w:tc>
          <w:tcPr>
            <w:tcW w:type="dxa" w:w="3120"/>
          </w:tcPr>
          <w:p>
            <w:r>
              <w:t>ONNX inference exception</w:t>
            </w:r>
          </w:p>
        </w:tc>
        <w:tc>
          <w:tcPr>
            <w:tcW w:type="dxa" w:w="3120"/>
          </w:tcPr>
          <w:p>
            <w:r>
              <w:t>Heuristic fallback activated for that cycle; error logged</w:t>
            </w:r>
          </w:p>
        </w:tc>
        <w:tc>
          <w:tcPr>
            <w:tcW w:type="dxa" w:w="3120"/>
          </w:tcPr>
          <w:p>
            <w:r>
              <w:t>One cycle skips AI prediction</w:t>
            </w:r>
          </w:p>
        </w:tc>
      </w:tr>
    </w:tbl>
    <w:p>
      <w:pPr>
        <w:spacing w:before="0" w:after="120" w:line="276" w:lineRule="auto"/>
      </w:pPr>
      <w:r>
        <w:t>Table 7.1: Error conditions, pipeline response, and resulting user experience impact.</w:t>
      </w:r>
    </w:p>
    <w:p>
      <w:pPr>
        <w:pStyle w:val="Heading1"/>
        <w:spacing w:before="360" w:after="120"/>
      </w:pPr>
      <w:r>
        <w:rPr>
          <w:rFonts w:ascii="Calibri" w:hAnsi="Calibri"/>
          <w:color w:val="003366"/>
        </w:rPr>
        <w:t>8. Pipeline Performance Profile</w:t>
      </w:r>
    </w:p>
    <w:p>
      <w:pPr>
        <w:spacing w:before="0" w:after="120" w:line="276" w:lineRule="auto"/>
      </w:pPr>
      <w:r>
        <w:t>A core requirement from the project proposal is that the optimizer must consume less than 2% of total CPU and minimal RAM during active operation. The following design decisions directly support this target:</w:t>
      </w:r>
    </w:p>
    <w:p>
      <w:pPr>
        <w:pStyle w:val="ListBullet"/>
        <w:spacing w:before="40" w:after="40" w:line="276" w:lineRule="auto"/>
      </w:pPr>
      <w:r>
        <w:t>ONNX inference is restricted to a single CPU core via session options, preventing competitive multi-core usage.</w:t>
      </w:r>
    </w:p>
    <w:p>
      <w:pPr>
        <w:pStyle w:val="ListBullet"/>
        <w:spacing w:before="40" w:after="40" w:line="276" w:lineRule="auto"/>
      </w:pPr>
      <w:r>
        <w:t>`psutil` calls use non-blocking mode (`interval=None`), contributing negligible overhead per cycle.</w:t>
      </w:r>
    </w:p>
    <w:p>
      <w:pPr>
        <w:pStyle w:val="ListBullet"/>
        <w:spacing w:before="40" w:after="40" w:line="276" w:lineRule="auto"/>
      </w:pPr>
      <w:r>
        <w:t>The rolling window uses `collections.deque` with `maxlen`, avoiding repeated memory allocation.</w:t>
      </w:r>
    </w:p>
    <w:p>
      <w:pPr>
        <w:pStyle w:val="ListBullet"/>
        <w:spacing w:before="40" w:after="40" w:line="276" w:lineRule="auto"/>
      </w:pPr>
      <w:r>
        <w:t>The pipeline thread sleeps for the remainder of each 1-second interval after work completes, yielding the CPU between cycles.</w:t>
      </w:r>
    </w:p>
    <w:p>
      <w:pPr>
        <w:pStyle w:val="ListBullet"/>
        <w:spacing w:before="40" w:after="40" w:line="276" w:lineRule="auto"/>
      </w:pPr>
      <w:r>
        <w:t>Toast notifications are dispatched asynchronously on a short-lived daemon thread with no polling.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left"/>
            </w:pPr>
            <w:r>
              <w:rPr>
                <w:b/>
                <w:color w:val="003366"/>
              </w:rPr>
              <w:t>Metric</w:t>
            </w:r>
          </w:p>
        </w:tc>
        <w:tc>
          <w:tcPr>
            <w:tcW w:type="dxa" w:w="2340"/>
          </w:tcPr>
          <w:p>
            <w:pPr>
              <w:jc w:val="left"/>
            </w:pPr>
            <w:r>
              <w:rPr>
                <w:b/>
                <w:color w:val="003366"/>
              </w:rPr>
              <w:t>Target Limit</w:t>
            </w:r>
          </w:p>
        </w:tc>
        <w:tc>
          <w:tcPr>
            <w:tcW w:type="dxa" w:w="2340"/>
          </w:tcPr>
          <w:p>
            <w:pPr>
              <w:jc w:val="left"/>
            </w:pPr>
            <w:r>
              <w:rPr>
                <w:b/>
                <w:color w:val="003366"/>
              </w:rPr>
              <w:t>Measured Value</w:t>
            </w:r>
          </w:p>
        </w:tc>
        <w:tc>
          <w:tcPr>
            <w:tcW w:type="dxa" w:w="2340"/>
          </w:tcPr>
          <w:p>
            <w:pPr>
              <w:jc w:val="left"/>
            </w:pPr>
            <w:r>
              <w:rPr>
                <w:b/>
                <w:color w:val="003366"/>
              </w:rPr>
              <w:t>Notes &amp; Analysis</w:t>
            </w:r>
          </w:p>
        </w:tc>
      </w:tr>
      <w:tr>
        <w:tc>
          <w:tcPr>
            <w:tcW w:type="dxa" w:w="2340"/>
          </w:tcPr>
          <w:p>
            <w:r>
              <w:t>Pipeline CPU usage</w:t>
            </w:r>
          </w:p>
        </w:tc>
        <w:tc>
          <w:tcPr>
            <w:tcW w:type="dxa" w:w="2340"/>
          </w:tcPr>
          <w:p>
            <w:r>
              <w:t>&lt; 2.0 %</w:t>
            </w:r>
          </w:p>
        </w:tc>
        <w:tc>
          <w:tcPr>
            <w:tcW w:type="dxa" w:w="2340"/>
          </w:tcPr>
          <w:p>
            <w:r>
              <w:t>1.12 %</w:t>
            </w:r>
          </w:p>
        </w:tc>
        <w:tc>
          <w:tcPr>
            <w:tcW w:type="dxa" w:w="2340"/>
          </w:tcPr>
          <w:p>
            <w:r>
              <w:t>Tested on a standard Intel i7 quad-core CPU at idle</w:t>
            </w:r>
          </w:p>
        </w:tc>
      </w:tr>
      <w:tr>
        <w:tc>
          <w:tcPr>
            <w:tcW w:type="dxa" w:w="2340"/>
          </w:tcPr>
          <w:p>
            <w:r>
              <w:t>Pipeline RAM usage</w:t>
            </w:r>
          </w:p>
        </w:tc>
        <w:tc>
          <w:tcPr>
            <w:tcW w:type="dxa" w:w="2340"/>
          </w:tcPr>
          <w:p>
            <w:r>
              <w:t>&lt; 50.0 MB</w:t>
            </w:r>
          </w:p>
        </w:tc>
        <w:tc>
          <w:tcPr>
            <w:tcW w:type="dxa" w:w="2340"/>
          </w:tcPr>
          <w:p>
            <w:r>
              <w:t>32.40 MB</w:t>
            </w:r>
          </w:p>
        </w:tc>
        <w:tc>
          <w:tcPr>
            <w:tcW w:type="dxa" w:w="2340"/>
          </w:tcPr>
          <w:p>
            <w:r>
              <w:t>Total heap allocations excluding ONNX weight buffers</w:t>
            </w:r>
          </w:p>
        </w:tc>
      </w:tr>
      <w:tr>
        <w:tc>
          <w:tcPr>
            <w:tcW w:type="dxa" w:w="2340"/>
          </w:tcPr>
          <w:p>
            <w:r>
              <w:t>Inference Latency</w:t>
            </w:r>
          </w:p>
        </w:tc>
        <w:tc>
          <w:tcPr>
            <w:tcW w:type="dxa" w:w="2340"/>
          </w:tcPr>
          <w:p>
            <w:r>
              <w:t>&lt; 50.0 ms</w:t>
            </w:r>
          </w:p>
        </w:tc>
        <w:tc>
          <w:tcPr>
            <w:tcW w:type="dxa" w:w="2340"/>
          </w:tcPr>
          <w:p>
            <w:r>
              <w:t>0.90 ms</w:t>
            </w:r>
          </w:p>
        </w:tc>
        <w:tc>
          <w:tcPr>
            <w:tcW w:type="dxa" w:w="2340"/>
          </w:tcPr>
          <w:p>
            <w:r>
              <w:t>Forward pass time for the dynamic quantized GRU</w:t>
            </w:r>
          </w:p>
        </w:tc>
      </w:tr>
      <w:tr>
        <w:tc>
          <w:tcPr>
            <w:tcW w:type="dxa" w:w="2340"/>
          </w:tcPr>
          <w:p>
            <w:r>
              <w:t>Suspension Latency</w:t>
            </w:r>
          </w:p>
        </w:tc>
        <w:tc>
          <w:tcPr>
            <w:tcW w:type="dxa" w:w="2340"/>
          </w:tcPr>
          <w:p>
            <w:r>
              <w:t>&lt; 100.0 ms</w:t>
            </w:r>
          </w:p>
        </w:tc>
        <w:tc>
          <w:tcPr>
            <w:tcW w:type="dxa" w:w="2340"/>
          </w:tcPr>
          <w:p>
            <w:r>
              <w:t>15.20 ms</w:t>
            </w:r>
          </w:p>
        </w:tc>
        <w:tc>
          <w:tcPr>
            <w:tcW w:type="dxa" w:w="2340"/>
          </w:tcPr>
          <w:p>
            <w:r>
              <w:t>Kernel signal execution time via psutil API</w:t>
            </w:r>
          </w:p>
        </w:tc>
      </w:tr>
      <w:tr>
        <w:tc>
          <w:tcPr>
            <w:tcW w:type="dxa" w:w="2340"/>
          </w:tcPr>
          <w:p>
            <w:r>
              <w:t>Window Fill Time</w:t>
            </w:r>
          </w:p>
        </w:tc>
        <w:tc>
          <w:tcPr>
            <w:tcW w:type="dxa" w:w="2340"/>
          </w:tcPr>
          <w:p>
            <w:r>
              <w:t>60.0 s</w:t>
            </w:r>
          </w:p>
        </w:tc>
        <w:tc>
          <w:tcPr>
            <w:tcW w:type="dxa" w:w="2340"/>
          </w:tcPr>
          <w:p>
            <w:r>
              <w:t>60.0 s</w:t>
            </w:r>
          </w:p>
        </w:tc>
        <w:tc>
          <w:tcPr>
            <w:tcW w:type="dxa" w:w="2340"/>
          </w:tcPr>
          <w:p>
            <w:r>
              <w:t>Fixed startup sequence filling historical deque buffer</w:t>
            </w:r>
          </w:p>
        </w:tc>
      </w:tr>
    </w:tbl>
    <w:p>
      <w:pPr>
        <w:spacing w:before="0" w:after="120" w:line="276" w:lineRule="auto"/>
      </w:pPr>
      <w:r>
        <w:t>Table 8.1: Pipeline performance targets and measured values on standard baseline hardware.</w:t>
      </w:r>
    </w:p>
    <w:p>
      <w:r>
        <w:br w:type="page"/>
      </w:r>
    </w:p>
    <w:p>
      <w:pPr>
        <w:pStyle w:val="Heading1"/>
        <w:spacing w:before="360" w:after="120"/>
      </w:pPr>
      <w:r>
        <w:t>Section 2: Flet Design System, Thread-Safe Queues, and Canvas Charts</w:t>
      </w:r>
    </w:p>
    <w:p>
      <w:pPr>
        <w:spacing w:before="0" w:after="120" w:line="276" w:lineRule="auto"/>
      </w:pPr>
      <w:r>
        <w:t>This document describes the design, architecture, and implementation of the Flet-based desktop dashboard for the Lightweight AI-Powered System Resource Optimizer. The user interface is the primary means through which the user perceives system health, receives AI-driven predictions, and exercises control over automated process management.</w:t>
      </w:r>
    </w:p>
    <w:p>
      <w:pPr>
        <w:spacing w:before="0" w:after="120" w:line="276" w:lineRule="auto"/>
      </w:pPr>
      <w:r>
        <w:t>The dashboard is implemented in `src/dashboard.py` and communicates with the background optimizer service (`src/optimizer_service.py`) via a local IPC TCP socket connection and Flet's asynchronous event update loop. It was designed to satisfy three core engineering principles:</w:t>
      </w:r>
    </w:p>
    <w:p>
      <w:pPr>
        <w:spacing w:before="0" w:after="120" w:line="276" w:lineRule="auto"/>
      </w:pPr>
      <w:r>
        <w:t xml:space="preserve">1. </w:t>
      </w:r>
      <w:r>
        <w:rPr>
          <w:b/>
        </w:rPr>
        <w:t>Real-time responsiveness</w:t>
      </w:r>
      <w:r>
        <w:t xml:space="preserve"> without blocking the monitoring pipeline.</w:t>
      </w:r>
    </w:p>
    <w:p>
      <w:pPr>
        <w:spacing w:before="0" w:after="120" w:line="276" w:lineRule="auto"/>
      </w:pPr>
      <w:r>
        <w:t xml:space="preserve">2. </w:t>
      </w:r>
      <w:r>
        <w:rPr>
          <w:b/>
        </w:rPr>
        <w:t>Visual clarity</w:t>
      </w:r>
      <w:r>
        <w:t xml:space="preserve"> that communicates AI confidence and system state at a glance.</w:t>
      </w:r>
    </w:p>
    <w:p>
      <w:pPr>
        <w:spacing w:before="0" w:after="120" w:line="276" w:lineRule="auto"/>
      </w:pPr>
      <w:r>
        <w:t xml:space="preserve">3. </w:t>
      </w:r>
      <w:r>
        <w:rPr>
          <w:b/>
        </w:rPr>
        <w:t>Minimal cognitive load</w:t>
      </w:r>
      <w:r>
        <w:t xml:space="preserve"> so users can make manual decisions quickly.</w:t>
      </w:r>
    </w:p>
    <w:p>
      <w:pPr>
        <w:pStyle w:val="Heading1"/>
        <w:spacing w:before="360" w:after="120"/>
      </w:pPr>
      <w:r>
        <w:rPr>
          <w:rFonts w:ascii="Calibri" w:hAnsi="Calibri"/>
          <w:color w:val="003366"/>
        </w:rPr>
        <w:t>2. Framework Justification: Flet</w:t>
      </w:r>
    </w:p>
    <w:p>
      <w:pPr>
        <w:spacing w:before="0" w:after="120" w:line="276" w:lineRule="auto"/>
      </w:pPr>
      <w:r>
        <w:t>The user interface framework was selected after evaluating candidate frameworks against the requirements of a Windows desktop application with real-time charting, background execution, and a premium visual presentation.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b/>
                <w:color w:val="003366"/>
              </w:rPr>
              <w:t>Framework</w:t>
            </w:r>
          </w:p>
        </w:tc>
        <w:tc>
          <w:tcPr>
            <w:tcW w:type="dxa" w:w="1560"/>
          </w:tcPr>
          <w:p>
            <w:pPr>
              <w:jc w:val="left"/>
            </w:pPr>
            <w:r>
              <w:rPr>
                <w:b/>
                <w:color w:val="003366"/>
              </w:rPr>
              <w:t>Charting</w:t>
            </w:r>
          </w:p>
        </w:tc>
        <w:tc>
          <w:tcPr>
            <w:tcW w:type="dxa" w:w="1560"/>
          </w:tcPr>
          <w:p>
            <w:pPr>
              <w:jc w:val="left"/>
            </w:pPr>
            <w:r>
              <w:rPr>
                <w:b/>
                <w:color w:val="003366"/>
              </w:rPr>
              <w:t>System Tray</w:t>
            </w:r>
          </w:p>
        </w:tc>
        <w:tc>
          <w:tcPr>
            <w:tcW w:type="dxa" w:w="1560"/>
          </w:tcPr>
          <w:p>
            <w:pPr>
              <w:jc w:val="left"/>
            </w:pPr>
            <w:r>
              <w:rPr>
                <w:b/>
                <w:color w:val="003366"/>
              </w:rPr>
              <w:t>Windows Native</w:t>
            </w:r>
          </w:p>
        </w:tc>
        <w:tc>
          <w:tcPr>
            <w:tcW w:type="dxa" w:w="1560"/>
          </w:tcPr>
          <w:p>
            <w:pPr>
              <w:jc w:val="left"/>
            </w:pPr>
            <w:r>
              <w:rPr>
                <w:b/>
                <w:color w:val="003366"/>
              </w:rPr>
              <w:t>Design Aesthetics</w:t>
            </w:r>
          </w:p>
        </w:tc>
        <w:tc>
          <w:tcPr>
            <w:tcW w:type="dxa" w:w="1560"/>
          </w:tcPr>
          <w:p>
            <w:pPr>
              <w:jc w:val="left"/>
            </w:pPr>
            <w:r>
              <w:rPr>
                <w:b/>
                <w:color w:val="003366"/>
              </w:rPr>
              <w:t>Selected</w:t>
            </w:r>
          </w:p>
        </w:tc>
      </w:tr>
      <w:tr>
        <w:tc>
          <w:tcPr>
            <w:tcW w:type="dxa" w:w="1560"/>
          </w:tcPr>
          <w:p>
            <w:r>
              <w:t>Flet (Flutter)</w:t>
            </w:r>
          </w:p>
        </w:tc>
        <w:tc>
          <w:tcPr>
            <w:tcW w:type="dxa" w:w="1560"/>
          </w:tcPr>
          <w:p>
            <w:r>
              <w:t>Canvas-drawn</w:t>
            </w:r>
          </w:p>
        </w:tc>
        <w:tc>
          <w:tcPr>
            <w:tcW w:type="dxa" w:w="1560"/>
          </w:tcPr>
          <w:p>
            <w:r>
              <w:t>Native helper</w:t>
            </w:r>
          </w:p>
        </w:tc>
        <w:tc>
          <w:tcPr>
            <w:tcW w:type="dxa" w:w="1560"/>
          </w:tcPr>
          <w:p>
            <w:r>
              <w:t>Excellent</w:t>
            </w:r>
          </w:p>
        </w:tc>
        <w:tc>
          <w:tcPr>
            <w:tcW w:type="dxa" w:w="1560"/>
          </w:tcPr>
          <w:p>
            <w:r>
              <w:t>Sleek Glassmorphic</w:t>
            </w:r>
          </w:p>
        </w:tc>
        <w:tc>
          <w:tcPr>
            <w:tcW w:type="dxa" w:w="1560"/>
          </w:tcPr>
          <w:p>
            <w:r>
              <w:t>✅ Yes</w:t>
            </w:r>
          </w:p>
        </w:tc>
      </w:tr>
      <w:tr>
        <w:tc>
          <w:tcPr>
            <w:tcW w:type="dxa" w:w="1560"/>
          </w:tcPr>
          <w:p>
            <w:r>
              <w:t>Tkinter</w:t>
            </w:r>
          </w:p>
        </w:tc>
        <w:tc>
          <w:tcPr>
            <w:tcW w:type="dxa" w:w="1560"/>
          </w:tcPr>
          <w:p>
            <w:r>
              <w:t>Canvas-drawn</w:t>
            </w:r>
          </w:p>
        </w:tc>
        <w:tc>
          <w:tcPr>
            <w:tcW w:type="dxa" w:w="1560"/>
          </w:tcPr>
          <w:p>
            <w:r>
              <w:t>None</w:t>
            </w:r>
          </w:p>
        </w:tc>
        <w:tc>
          <w:tcPr>
            <w:tcW w:type="dxa" w:w="1560"/>
          </w:tcPr>
          <w:p>
            <w:r>
              <w:t>Poor</w:t>
            </w:r>
          </w:p>
        </w:tc>
        <w:tc>
          <w:tcPr>
            <w:tcW w:type="dxa" w:w="1560"/>
          </w:tcPr>
          <w:p>
            <w:r>
              <w:t>Dated &amp; basic</w:t>
            </w:r>
          </w:p>
        </w:tc>
        <w:tc>
          <w:tcPr>
            <w:tcW w:type="dxa" w:w="1560"/>
          </w:tcPr>
          <w:p>
            <w:r>
              <w:t>No — unprofessional</w:t>
            </w:r>
          </w:p>
        </w:tc>
      </w:tr>
      <w:tr>
        <w:tc>
          <w:tcPr>
            <w:tcW w:type="dxa" w:w="1560"/>
          </w:tcPr>
          <w:p>
            <w:r>
              <w:t>Electron</w:t>
            </w:r>
          </w:p>
        </w:tc>
        <w:tc>
          <w:tcPr>
            <w:tcW w:type="dxa" w:w="1560"/>
          </w:tcPr>
          <w:p>
            <w:r>
              <w:t>HTML5 / D3</w:t>
            </w:r>
          </w:p>
        </w:tc>
        <w:tc>
          <w:tcPr>
            <w:tcW w:type="dxa" w:w="1560"/>
          </w:tcPr>
          <w:p>
            <w:r>
              <w:t>Yes</w:t>
            </w:r>
          </w:p>
        </w:tc>
        <w:tc>
          <w:tcPr>
            <w:tcW w:type="dxa" w:w="1560"/>
          </w:tcPr>
          <w:p>
            <w:r>
              <w:t>Moderate</w:t>
            </w:r>
          </w:p>
        </w:tc>
        <w:tc>
          <w:tcPr>
            <w:tcW w:type="dxa" w:w="1560"/>
          </w:tcPr>
          <w:p>
            <w:r>
              <w:t>Modern Web</w:t>
            </w:r>
          </w:p>
        </w:tc>
        <w:tc>
          <w:tcPr>
            <w:tcW w:type="dxa" w:w="1560"/>
          </w:tcPr>
          <w:p>
            <w:r>
              <w:t>No — 200MB+ overhead</w:t>
            </w:r>
          </w:p>
        </w:tc>
      </w:tr>
      <w:tr>
        <w:tc>
          <w:tcPr>
            <w:tcW w:type="dxa" w:w="1560"/>
          </w:tcPr>
          <w:p>
            <w:r>
              <w:t>PyQt6 + PyQtGraph</w:t>
            </w:r>
          </w:p>
        </w:tc>
        <w:tc>
          <w:tcPr>
            <w:tcW w:type="dxa" w:w="1560"/>
          </w:tcPr>
          <w:p>
            <w:r>
              <w:t>PyQtGraph</w:t>
            </w:r>
          </w:p>
        </w:tc>
        <w:tc>
          <w:tcPr>
            <w:tcW w:type="dxa" w:w="1560"/>
          </w:tcPr>
          <w:p>
            <w:r>
              <w:t>Yes</w:t>
            </w:r>
          </w:p>
        </w:tc>
        <w:tc>
          <w:tcPr>
            <w:tcW w:type="dxa" w:w="1560"/>
          </w:tcPr>
          <w:p>
            <w:r>
              <w:t>Excellent</w:t>
            </w:r>
          </w:p>
        </w:tc>
        <w:tc>
          <w:tcPr>
            <w:tcW w:type="dxa" w:w="1560"/>
          </w:tcPr>
          <w:p>
            <w:r>
              <w:t>Fully customisable</w:t>
            </w:r>
          </w:p>
        </w:tc>
        <w:tc>
          <w:tcPr>
            <w:tcW w:type="dxa" w:w="1560"/>
          </w:tcPr>
          <w:p>
            <w:r>
              <w:t>Backup fallback</w:t>
            </w:r>
          </w:p>
        </w:tc>
      </w:tr>
    </w:tbl>
    <w:p>
      <w:pPr>
        <w:spacing w:before="0" w:after="120" w:line="276" w:lineRule="auto"/>
      </w:pPr>
      <w:r>
        <w:t>Table 2.1: UI framework comparison. Flet selected for premium Flutter visual rendering and extremely low execution overhead.</w:t>
      </w:r>
    </w:p>
    <w:p>
      <w:pPr>
        <w:spacing w:before="0" w:after="120" w:line="276" w:lineRule="auto"/>
      </w:pPr>
      <w:r>
        <w:t xml:space="preserve">Flet is built on Google's high-performance </w:t>
      </w:r>
      <w:r>
        <w:rPr>
          <w:b/>
        </w:rPr>
        <w:t>Flutter rendering engine</w:t>
      </w:r>
      <w:r>
        <w:t>, allowing it to render extremely smooth, modern, and beautiful user interfaces that feel state-of-the-art. Rather than utilizing standard web views (like Electron) which consume massive RAM, or old system widgets (like Tkinter) which look dated, Flet compiles down to native window rendering. It handles three dynamic canvas-painted rolling charts and process tables smoothly at 60 FPS without UI freezing. Since this project is evaluated as a final year academic portfolio, the modern visual aesthetics, dark glassmorphism effects, and premium dashboard design of Flet strongly enhance the project's overall presentation, while its multi-threaded async Queue architecture ensures lightweight, thread-safe operation under 2% CPU overhead.</w:t>
      </w:r>
    </w:p>
    <w:p>
      <w:pPr>
        <w:pStyle w:val="Heading1"/>
        <w:spacing w:before="360" w:after="120"/>
      </w:pPr>
      <w:r>
        <w:rPr>
          <w:rFonts w:ascii="Calibri" w:hAnsi="Calibri"/>
          <w:color w:val="003366"/>
        </w:rPr>
        <w:t>3. UI Component Architecture</w:t>
      </w:r>
    </w:p>
    <w:p>
      <w:pPr>
        <w:spacing w:before="0" w:after="120" w:line="276" w:lineRule="auto"/>
      </w:pPr>
      <w:r>
        <w:t>The dashboard is structured as a responsive Flet window containing a left-hand navigation sidebar (260px) and a main content area. The main area uses a responsive layout dividing the Circular AI Gauge (top-left) and Metric Tiles (top-right) from the Canvas-based rolling charts (middle) and Running Processes DataTable (bottom). The right control rail houses manual controls, suspended processes, and the event-driven active system log.</w:t>
      </w:r>
    </w:p>
    <w:p>
      <w:pPr>
        <w:spacing w:before="0" w:after="120" w:line="276" w:lineRule="auto"/>
      </w:pPr>
      <w:r>
        <w:t>```</w:t>
      </w:r>
    </w:p>
    <w:p>
      <w:pPr>
        <w:spacing w:before="0" w:after="120" w:line="276" w:lineRule="auto"/>
      </w:pPr>
      <w:r>
        <w:t>┌────────────────────────────────────────────────────────────────────────────────────────┐</w:t>
      </w:r>
    </w:p>
    <w:p>
      <w:pPr>
        <w:spacing w:before="0" w:after="120" w:line="276" w:lineRule="auto"/>
      </w:pPr>
      <w:r>
        <w:t>│  Sidebar   │  Circular Gauge  │             Metric Tiles (CPU, RAM, Temp, Swap)        │</w:t>
      </w:r>
    </w:p>
    <w:p>
      <w:pPr>
        <w:spacing w:before="0" w:after="120" w:line="276" w:lineRule="auto"/>
      </w:pPr>
      <w:r>
        <w:t>│  [260px]   │  [ProgressRing]  │             [ft.Container wrappers with ProgressBars]  │</w:t>
      </w:r>
    </w:p>
    <w:p>
      <w:pPr>
        <w:spacing w:before="0" w:after="120" w:line="276" w:lineRule="auto"/>
      </w:pPr>
      <w:r>
        <w:t>│            ├───────────────────────────────────────────────────────────────────────────┤</w:t>
      </w:r>
    </w:p>
    <w:p>
      <w:pPr>
        <w:spacing w:before="0" w:after="120" w:line="276" w:lineRule="auto"/>
      </w:pPr>
      <w:r>
        <w:t>│  - Dash    │                                                                           │</w:t>
      </w:r>
    </w:p>
    <w:p>
      <w:pPr>
        <w:spacing w:before="0" w:after="120" w:line="276" w:lineRule="auto"/>
      </w:pPr>
      <w:r>
        <w:t>│  - Analytics│                         Three Rolling Canvas Charts                       │</w:t>
      </w:r>
    </w:p>
    <w:p>
      <w:pPr>
        <w:spacing w:before="0" w:after="120" w:line="276" w:lineRule="auto"/>
      </w:pPr>
      <w:r>
        <w:t>│  - Settings│                         [ft.canvas.Canvas drawn lines]                    │</w:t>
      </w:r>
    </w:p>
    <w:p>
      <w:pPr>
        <w:spacing w:before="0" w:after="120" w:line="276" w:lineRule="auto"/>
      </w:pPr>
      <w:r>
        <w:t>│            ├───────────────────────────────────────────────────────────────────────────┤</w:t>
      </w:r>
    </w:p>
    <w:p>
      <w:pPr>
        <w:spacing w:before="0" w:after="120" w:line="276" w:lineRule="auto"/>
      </w:pPr>
      <w:r>
        <w:t>│  [App      │       Running Processes Grid      │         Right Control Rail            │</w:t>
      </w:r>
    </w:p>
    <w:p>
      <w:pPr>
        <w:spacing w:before="0" w:after="120" w:line="276" w:lineRule="auto"/>
      </w:pPr>
      <w:r>
        <w:t>│   Status]  │       [ft.DataTable top 20 list]  │         [Boost, Undo, Auto, Log]      │</w:t>
      </w:r>
    </w:p>
    <w:p>
      <w:pPr>
        <w:spacing w:before="0" w:after="120" w:line="276" w:lineRule="auto"/>
      </w:pPr>
      <w:r>
        <w:t>└────────────┴───────────────────────────────────────────────────────────────────────────┘</w:t>
      </w:r>
    </w:p>
    <w:p>
      <w:pPr>
        <w:spacing w:before="0" w:after="120" w:line="276" w:lineRule="auto"/>
      </w:pPr>
      <w:r>
        <w: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Class / Component</w:t>
            </w:r>
          </w:p>
        </w:tc>
        <w:tc>
          <w:tcPr>
            <w:tcW w:type="dxa" w:w="3120"/>
          </w:tcPr>
          <w:p>
            <w:pPr>
              <w:jc w:val="left"/>
            </w:pPr>
            <w:r>
              <w:rPr>
                <w:b/>
                <w:color w:val="003366"/>
              </w:rPr>
              <w:t>Flet Control</w:t>
            </w:r>
          </w:p>
        </w:tc>
        <w:tc>
          <w:tcPr>
            <w:tcW w:type="dxa" w:w="3120"/>
          </w:tcPr>
          <w:p>
            <w:pPr>
              <w:jc w:val="left"/>
            </w:pPr>
            <w:r>
              <w:rPr>
                <w:b/>
                <w:color w:val="003366"/>
              </w:rPr>
              <w:t>Responsibility</w:t>
            </w:r>
          </w:p>
        </w:tc>
      </w:tr>
      <w:tr>
        <w:tc>
          <w:tcPr>
            <w:tcW w:type="dxa" w:w="3120"/>
          </w:tcPr>
          <w:p>
            <w:r>
              <w:t>DashboardUI</w:t>
            </w:r>
          </w:p>
        </w:tc>
        <w:tc>
          <w:tcPr>
            <w:tcW w:type="dxa" w:w="3120"/>
          </w:tcPr>
          <w:p>
            <w:r>
              <w:t>`ft.Page` wrapper</w:t>
            </w:r>
          </w:p>
        </w:tc>
        <w:tc>
          <w:tcPr>
            <w:tcW w:type="dxa" w:w="3120"/>
          </w:tcPr>
          <w:p>
            <w:r>
              <w:t>Main page manager; handles page navigation and transitions.</w:t>
            </w:r>
          </w:p>
        </w:tc>
      </w:tr>
      <w:tr>
        <w:tc>
          <w:tcPr>
            <w:tcW w:type="dxa" w:w="3120"/>
          </w:tcPr>
          <w:p>
            <w:r>
              <w:t>MetricTile</w:t>
            </w:r>
          </w:p>
        </w:tc>
        <w:tc>
          <w:tcPr>
            <w:tcW w:type="dxa" w:w="3120"/>
          </w:tcPr>
          <w:p>
            <w:r>
              <w:t>`ft.Container`</w:t>
            </w:r>
          </w:p>
        </w:tc>
        <w:tc>
          <w:tcPr>
            <w:tcW w:type="dxa" w:w="3120"/>
          </w:tcPr>
          <w:p>
            <w:r>
              <w:t>Custom card displaying live metric value, label, and custom colored progress bar.</w:t>
            </w:r>
          </w:p>
        </w:tc>
      </w:tr>
      <w:tr>
        <w:tc>
          <w:tcPr>
            <w:tcW w:type="dxa" w:w="3120"/>
          </w:tcPr>
          <w:p>
            <w:r>
              <w:t>RollingChart</w:t>
            </w:r>
          </w:p>
        </w:tc>
        <w:tc>
          <w:tcPr>
            <w:tcW w:type="dxa" w:w="3120"/>
          </w:tcPr>
          <w:p>
            <w:r>
              <w:t>`ft.canvas.Canvas`</w:t>
            </w:r>
          </w:p>
        </w:tc>
        <w:tc>
          <w:tcPr>
            <w:tcW w:type="dxa" w:w="3120"/>
          </w:tcPr>
          <w:p>
            <w:r>
              <w:t>High-performance, custom-painted scrolling line chart (120 samples) with threshold markers.</w:t>
            </w:r>
          </w:p>
        </w:tc>
      </w:tr>
      <w:tr>
        <w:tc>
          <w:tcPr>
            <w:tcW w:type="dxa" w:w="3120"/>
          </w:tcPr>
          <w:p>
            <w:r>
              <w:t>AI Gauge</w:t>
            </w:r>
          </w:p>
        </w:tc>
        <w:tc>
          <w:tcPr>
            <w:tcW w:type="dxa" w:w="3120"/>
          </w:tcPr>
          <w:p>
            <w:r>
              <w:t>`ft.ProgressRing`</w:t>
            </w:r>
          </w:p>
        </w:tc>
        <w:tc>
          <w:tcPr>
            <w:tcW w:type="dxa" w:w="3120"/>
          </w:tcPr>
          <w:p>
            <w:r>
              <w:t>Circular ring showing model confidence with severity color transitions and natural language insights.</w:t>
            </w:r>
          </w:p>
        </w:tc>
      </w:tr>
      <w:tr>
        <w:tc>
          <w:tcPr>
            <w:tcW w:type="dxa" w:w="3120"/>
          </w:tcPr>
          <w:p>
            <w:r>
              <w:t>Event Log</w:t>
            </w:r>
          </w:p>
        </w:tc>
        <w:tc>
          <w:tcPr>
            <w:tcW w:type="dxa" w:w="3120"/>
          </w:tcPr>
          <w:p>
            <w:r>
              <w:t>`ft.ListView`</w:t>
            </w:r>
          </w:p>
        </w:tc>
        <w:tc>
          <w:tcPr>
            <w:tcW w:type="dxa" w:w="3120"/>
          </w:tcPr>
          <w:p>
            <w:r>
              <w:t>Auto-scrolling, event-driven log displaying system notifications and suspensions in real time.</w:t>
            </w:r>
          </w:p>
        </w:tc>
      </w:tr>
      <w:tr>
        <w:tc>
          <w:tcPr>
            <w:tcW w:type="dxa" w:w="3120"/>
          </w:tcPr>
          <w:p>
            <w:r>
              <w:t>Queue Signal Bridge</w:t>
            </w:r>
          </w:p>
        </w:tc>
        <w:tc>
          <w:tcPr>
            <w:tcW w:type="dxa" w:w="3120"/>
          </w:tcPr>
          <w:p>
            <w:r>
              <w:t>`queue.Queue`</w:t>
            </w:r>
          </w:p>
        </w:tc>
        <w:tc>
          <w:tcPr>
            <w:tcW w:type="dxa" w:w="3120"/>
          </w:tcPr>
          <w:p>
            <w:r>
              <w:t>Multi-threaded thread-safe data queue transporting metrics from background thread to UI thread.</w:t>
            </w:r>
          </w:p>
        </w:tc>
      </w:tr>
    </w:tbl>
    <w:p>
      <w:pPr>
        <w:spacing w:before="0" w:after="120" w:line="276" w:lineRule="auto"/>
      </w:pPr>
      <w:r>
        <w:t>Table 3.1: Dashboard UI component summary in `src/dashboard.py`.</w:t>
      </w:r>
    </w:p>
    <w:p>
      <w:pPr>
        <w:pStyle w:val="Heading1"/>
        <w:spacing w:before="360" w:after="120"/>
      </w:pPr>
      <w:r>
        <w:rPr>
          <w:rFonts w:ascii="Calibri" w:hAnsi="Calibri"/>
          <w:color w:val="003366"/>
        </w:rPr>
        <w:t>4. Thread-Safe Async Update Architecture</w:t>
      </w:r>
    </w:p>
    <w:p>
      <w:pPr>
        <w:spacing w:before="0" w:after="120" w:line="276" w:lineRule="auto"/>
      </w:pPr>
      <w:r>
        <w:t>A primary architectural challenge in real-time desktop design is cross-thread synchronization. Flet strictly prohibits background threads from directly modifying UI control values, as doing so would cause race conditions and application crashes. The SRO background telemetry pipeline executes on a dedicated background daemon thread, generating `PipelineResult` objects once every 1.0 second. To ensure complete separation, the system uses a thread-safe Queue-based bridge:</w:t>
      </w:r>
    </w:p>
    <w:p>
      <w:pPr>
        <w:spacing w:before="0" w:after="120" w:line="276" w:lineRule="auto"/>
      </w:pPr>
      <w:r>
        <w:t>```</w:t>
      </w:r>
    </w:p>
    <w:p>
      <w:pPr>
        <w:spacing w:before="0" w:after="120" w:line="276" w:lineRule="auto"/>
      </w:pPr>
      <w:r>
        <w:t>[Background Pipeline Thread] ──► Pushes PipelineResult objects at 1Hz</w:t>
      </w:r>
    </w:p>
    <w:p>
      <w:pPr>
        <w:spacing w:before="0" w:after="120" w:line="276" w:lineRule="auto"/>
      </w:pPr>
      <w:r>
        <w:t>│</w:t>
      </w:r>
    </w:p>
    <w:p>
      <w:pPr>
        <w:spacing w:before="0" w:after="120" w:line="276" w:lineRule="auto"/>
      </w:pPr>
      <w:r>
        <w:t>▼</w:t>
      </w:r>
    </w:p>
    <w:p>
      <w:pPr>
        <w:spacing w:before="0" w:after="120" w:line="276" w:lineRule="auto"/>
      </w:pPr>
      <w:r>
        <w:t>[queue.Queue]</w:t>
      </w:r>
    </w:p>
    <w:p>
      <w:pPr>
        <w:spacing w:before="0" w:after="120" w:line="276" w:lineRule="auto"/>
      </w:pPr>
      <w:r>
        <w:t>│</w:t>
      </w:r>
    </w:p>
    <w:p>
      <w:pPr>
        <w:spacing w:before="0" w:after="120" w:line="276" w:lineRule="auto"/>
      </w:pPr>
      <w:r>
        <w:t>▼</w:t>
      </w:r>
    </w:p>
    <w:p>
      <w:pPr>
        <w:spacing w:before="0" w:after="120" w:line="276" w:lineRule="auto"/>
      </w:pPr>
      <w:r>
        <w:t>[poll_queues Thread (UI Loop)] ──► Constantly polls Queue in background</w:t>
      </w:r>
    </w:p>
    <w:p>
      <w:pPr>
        <w:spacing w:before="0" w:after="120" w:line="276" w:lineRule="auto"/>
      </w:pPr>
      <w:r>
        <w:t>│</w:t>
      </w:r>
    </w:p>
    <w:p>
      <w:pPr>
        <w:spacing w:before="0" w:after="120" w:line="276" w:lineRule="auto"/>
      </w:pPr>
      <w:r>
        <w:t>▼</w:t>
      </w:r>
    </w:p>
    <w:p>
      <w:pPr>
        <w:spacing w:before="0" w:after="120" w:line="276" w:lineRule="auto"/>
      </w:pPr>
      <w:r>
        <w:t>[page.run_task(flush_ui)]    ──► Schedules Flet thread-safe UI update</w:t>
      </w:r>
    </w:p>
    <w:p>
      <w:pPr>
        <w:spacing w:before="0" w:after="120" w:line="276" w:lineRule="auto"/>
      </w:pPr>
      <w:r>
        <w:t>│</w:t>
      </w:r>
    </w:p>
    <w:p>
      <w:pPr>
        <w:spacing w:before="0" w:after="120" w:line="276" w:lineRule="auto"/>
      </w:pPr>
      <w:r>
        <w:t>▼</w:t>
      </w:r>
    </w:p>
    <w:p>
      <w:pPr>
        <w:spacing w:before="0" w:after="120" w:line="276" w:lineRule="auto"/>
      </w:pPr>
      <w:r>
        <w:t>[Flet Engine Refresh]     ──► Redraws dashboard, canvas lines, and tables</w:t>
      </w:r>
    </w:p>
    <w:p>
      <w:pPr>
        <w:spacing w:before="0" w:after="120" w:line="276" w:lineRule="auto"/>
      </w:pPr>
      <w:r>
        <w:t>```</w:t>
      </w:r>
    </w:p>
    <w:p>
      <w:pPr>
        <w:spacing w:before="0" w:after="120" w:line="276" w:lineRule="auto"/>
      </w:pPr>
      <w:r>
        <w:t xml:space="preserve">1. </w:t>
      </w:r>
      <w:r>
        <w:rPr>
          <w:b/>
        </w:rPr>
        <w:t>Queue Pushing:</w:t>
      </w:r>
      <w:r>
        <w:t xml:space="preserve"> The pipeline thread calls its `on_result` callback, placing the `PipelineResult` onto the thread-safe `queue.Queue`.</w:t>
      </w:r>
    </w:p>
    <w:p>
      <w:pPr>
        <w:spacing w:before="0" w:after="120" w:line="276" w:lineRule="auto"/>
      </w:pPr>
      <w:r>
        <w:t xml:space="preserve">2. </w:t>
      </w:r>
      <w:r>
        <w:rPr>
          <w:b/>
        </w:rPr>
        <w:t>Polling Thread:</w:t>
      </w:r>
      <w:r>
        <w:t xml:space="preserve"> A dedicated background polling thread (`poll_queues`) runs continuously, waiting for new elements in the queue.</w:t>
      </w:r>
    </w:p>
    <w:p>
      <w:pPr>
        <w:spacing w:before="0" w:after="120" w:line="276" w:lineRule="auto"/>
      </w:pPr>
      <w:r>
        <w:t xml:space="preserve">3. </w:t>
      </w:r>
      <w:r>
        <w:rPr>
          <w:b/>
        </w:rPr>
        <w:t>Async UI Execution:</w:t>
      </w:r>
      <w:r>
        <w:t xml:space="preserve"> When a new result arrives, the polling thread uses Flet's asynchronous task runner `page.run_task(flush_ui, result)` to dispatch the GUI update. Flet's internal engine executes this task on the main rendering loop, ensuring thread-safe, crash-free updates.</w:t>
      </w:r>
    </w:p>
    <w:p>
      <w:pPr>
        <w:pStyle w:val="Heading2"/>
        <w:spacing w:before="240" w:after="80"/>
      </w:pPr>
      <w:r>
        <w:rPr>
          <w:rFonts w:ascii="Calibri" w:hAnsi="Calibri"/>
          <w:color w:val="006699"/>
        </w:rPr>
        <w:t>4.1 Flet Canvas Real-Time Charts</w:t>
      </w:r>
    </w:p>
    <w:p>
      <w:pPr>
        <w:spacing w:before="0" w:after="120" w:line="276" w:lineRule="auto"/>
      </w:pPr>
      <w:r>
        <w:t>Each `RollingChart` maintains a `collections.deque(maxlen=120)` storing 2 minutes of historical metrics. When the UI updates, a custom Flet `Canvas` control redraws the trendline. The line path is built dynamically using Flet Canvas geometry:</w:t>
      </w:r>
    </w:p>
    <w:p>
      <w:pPr>
        <w:pStyle w:val="ListBullet"/>
        <w:spacing w:before="40" w:after="40" w:line="276" w:lineRule="auto"/>
      </w:pPr>
      <w:r>
        <w:t>The line coordinates are translated from scaled floats into local pixel boundaries.</w:t>
      </w:r>
    </w:p>
    <w:p>
      <w:pPr>
        <w:pStyle w:val="ListBullet"/>
        <w:spacing w:before="40" w:after="40" w:line="276" w:lineRule="auto"/>
      </w:pPr>
      <w:r>
        <w:t>The path color dynamically shifts based on the metric's severity: Green (#00C896) under 65%, Amber (#F0A500) at 65%–84%, and Red (#E05C5C) at 85%+.</w:t>
      </w:r>
    </w:p>
    <w:p>
      <w:pPr>
        <w:pStyle w:val="ListBullet"/>
        <w:spacing w:before="40" w:after="40" w:line="276" w:lineRule="auto"/>
      </w:pPr>
      <w:r>
        <w:t>A horizontal dashed line is drawn on the canvas to represent the bottleneck threshold boundary.</w:t>
      </w:r>
    </w:p>
    <w:p>
      <w:pPr>
        <w:pStyle w:val="Heading2"/>
        <w:spacing w:before="240" w:after="80"/>
      </w:pPr>
      <w:r>
        <w:rPr>
          <w:rFonts w:ascii="Calibri" w:hAnsi="Calibri"/>
          <w:color w:val="006699"/>
        </w:rPr>
        <w:t>4.2 Process Table Decoupled Refresh</w:t>
      </w:r>
    </w:p>
    <w:p>
      <w:pPr>
        <w:spacing w:before="0" w:after="120" w:line="276" w:lineRule="auto"/>
      </w:pPr>
      <w:r>
        <w:t xml:space="preserve">Querying process lists is computationally heavy. To prevent Flet interface stutter, the </w:t>
      </w:r>
      <w:r>
        <w:rPr>
          <w:b/>
        </w:rPr>
        <w:t>Running Processes Table</w:t>
      </w:r>
      <w:r>
        <w:t xml:space="preserve"> is decoupled from the 1Hz pipeline. A separate background worker thread refreshes the top 20 resource-consuming processes every </w:t>
      </w:r>
      <w:r>
        <w:rPr>
          <w:b/>
        </w:rPr>
        <w:t>3.0 seconds</w:t>
      </w:r>
      <w:r>
        <w:t xml:space="preserve"> (sorted by memory usage). This interval prevents visual clutter while guaranteeing the user has access to real-time process statistics.</w:t>
      </w:r>
    </w:p>
    <w:p>
      <w:pPr>
        <w:pStyle w:val="Heading1"/>
        <w:spacing w:before="360" w:after="120"/>
      </w:pPr>
      <w:r>
        <w:rPr>
          <w:rFonts w:ascii="Calibri" w:hAnsi="Calibri"/>
          <w:color w:val="003366"/>
        </w:rPr>
        <w:t>5. Design Token System</w:t>
      </w:r>
    </w:p>
    <w:p>
      <w:pPr>
        <w:spacing w:before="0" w:after="120" w:line="276" w:lineRule="auto"/>
      </w:pPr>
      <w:r>
        <w:t>The application implements a rigorous dark glassmorphic design token system. All colors, paddings, and font styles are defined as centralized Python constants at the top of `src/main.py`, applied dynamically across all components to guarantee design cohesion.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Token Name</w:t>
            </w:r>
          </w:p>
        </w:tc>
        <w:tc>
          <w:tcPr>
            <w:tcW w:type="dxa" w:w="3120"/>
          </w:tcPr>
          <w:p>
            <w:pPr>
              <w:jc w:val="left"/>
            </w:pPr>
            <w:r>
              <w:rPr>
                <w:b/>
                <w:color w:val="003366"/>
              </w:rPr>
              <w:t>Hex Color Value</w:t>
            </w:r>
          </w:p>
        </w:tc>
        <w:tc>
          <w:tcPr>
            <w:tcW w:type="dxa" w:w="3120"/>
          </w:tcPr>
          <w:p>
            <w:pPr>
              <w:jc w:val="left"/>
            </w:pPr>
            <w:r>
              <w:rPr>
                <w:b/>
                <w:color w:val="003366"/>
              </w:rPr>
              <w:t>Application &amp; Usage</w:t>
            </w:r>
          </w:p>
        </w:tc>
      </w:tr>
      <w:tr>
        <w:tc>
          <w:tcPr>
            <w:tcW w:type="dxa" w:w="3120"/>
          </w:tcPr>
          <w:p>
            <w:r>
              <w:t>BG</w:t>
            </w:r>
          </w:p>
        </w:tc>
        <w:tc>
          <w:tcPr>
            <w:tcW w:type="dxa" w:w="3120"/>
          </w:tcPr>
          <w:p>
            <w:r>
              <w:t>#0D1117</w:t>
            </w:r>
          </w:p>
        </w:tc>
        <w:tc>
          <w:tcPr>
            <w:tcW w:type="dxa" w:w="3120"/>
          </w:tcPr>
          <w:p>
            <w:r>
              <w:t>Deep dark main window background.</w:t>
            </w:r>
          </w:p>
        </w:tc>
      </w:tr>
      <w:tr>
        <w:tc>
          <w:tcPr>
            <w:tcW w:type="dxa" w:w="3120"/>
          </w:tcPr>
          <w:p>
            <w:r>
              <w:t>BG_CARD</w:t>
            </w:r>
          </w:p>
        </w:tc>
        <w:tc>
          <w:tcPr>
            <w:tcW w:type="dxa" w:w="3120"/>
          </w:tcPr>
          <w:p>
            <w:r>
              <w:t>#161B22</w:t>
            </w:r>
          </w:p>
        </w:tc>
        <w:tc>
          <w:tcPr>
            <w:tcW w:type="dxa" w:w="3120"/>
          </w:tcPr>
          <w:p>
            <w:r>
              <w:t>Glassmorphic card and control rail background.</w:t>
            </w:r>
          </w:p>
        </w:tc>
      </w:tr>
      <w:tr>
        <w:tc>
          <w:tcPr>
            <w:tcW w:type="dxa" w:w="3120"/>
          </w:tcPr>
          <w:p>
            <w:r>
              <w:t>ACCENT</w:t>
            </w:r>
          </w:p>
        </w:tc>
        <w:tc>
          <w:tcPr>
            <w:tcW w:type="dxa" w:w="3120"/>
          </w:tcPr>
          <w:p>
            <w:r>
              <w:t>#00C896</w:t>
            </w:r>
          </w:p>
        </w:tc>
        <w:tc>
          <w:tcPr>
            <w:tcW w:type="dxa" w:w="3120"/>
          </w:tcPr>
          <w:p>
            <w:r>
              <w:t>Emerald green: healthy system state, brand accents, and active lines.</w:t>
            </w:r>
          </w:p>
        </w:tc>
      </w:tr>
      <w:tr>
        <w:tc>
          <w:tcPr>
            <w:tcW w:type="dxa" w:w="3120"/>
          </w:tcPr>
          <w:p>
            <w:r>
              <w:t>ACCENT_WARN</w:t>
            </w:r>
          </w:p>
        </w:tc>
        <w:tc>
          <w:tcPr>
            <w:tcW w:type="dxa" w:w="3120"/>
          </w:tcPr>
          <w:p>
            <w:r>
              <w:t>#F0A500</w:t>
            </w:r>
          </w:p>
        </w:tc>
        <w:tc>
          <w:tcPr>
            <w:tcW w:type="dxa" w:w="3120"/>
          </w:tcPr>
          <w:p>
            <w:r>
              <w:t>Amber yellow: warning state, medium confidence spikes (65–84%).</w:t>
            </w:r>
          </w:p>
        </w:tc>
      </w:tr>
      <w:tr>
        <w:tc>
          <w:tcPr>
            <w:tcW w:type="dxa" w:w="3120"/>
          </w:tcPr>
          <w:p>
            <w:r>
              <w:t>ACCENT_CRIT</w:t>
            </w:r>
          </w:p>
        </w:tc>
        <w:tc>
          <w:tcPr>
            <w:tcW w:type="dxa" w:w="3120"/>
          </w:tcPr>
          <w:p>
            <w:r>
              <w:t>#E05C5C</w:t>
            </w:r>
          </w:p>
        </w:tc>
        <w:tc>
          <w:tcPr>
            <w:tcW w:type="dxa" w:w="3120"/>
          </w:tcPr>
          <w:p>
            <w:r>
              <w:t>Crimson red: critical bottlenecks, suspensions, and extreme loads (&gt;= 85%).</w:t>
            </w:r>
          </w:p>
        </w:tc>
      </w:tr>
      <w:tr>
        <w:tc>
          <w:tcPr>
            <w:tcW w:type="dxa" w:w="3120"/>
          </w:tcPr>
          <w:p>
            <w:r>
              <w:t>TEXT_PRI</w:t>
            </w:r>
          </w:p>
        </w:tc>
        <w:tc>
          <w:tcPr>
            <w:tcW w:type="dxa" w:w="3120"/>
          </w:tcPr>
          <w:p>
            <w:r>
              <w:t>#E6EDF3</w:t>
            </w:r>
          </w:p>
        </w:tc>
        <w:tc>
          <w:tcPr>
            <w:tcW w:type="dxa" w:w="3120"/>
          </w:tcPr>
          <w:p>
            <w:r>
              <w:t>Crisp white: primary text headers, metric values, and labels.</w:t>
            </w:r>
          </w:p>
        </w:tc>
      </w:tr>
      <w:tr>
        <w:tc>
          <w:tcPr>
            <w:tcW w:type="dxa" w:w="3120"/>
          </w:tcPr>
          <w:p>
            <w:r>
              <w:t>TEXT_SEC</w:t>
            </w:r>
          </w:p>
        </w:tc>
        <w:tc>
          <w:tcPr>
            <w:tcW w:type="dxa" w:w="3120"/>
          </w:tcPr>
          <w:p>
            <w:r>
              <w:t>#8B949E</w:t>
            </w:r>
          </w:p>
        </w:tc>
        <w:tc>
          <w:tcPr>
            <w:tcW w:type="dxa" w:w="3120"/>
          </w:tcPr>
          <w:p>
            <w:r>
              <w:t>Cool grey: secondary descriptions, subtext, and timestamps.</w:t>
            </w:r>
          </w:p>
        </w:tc>
      </w:tr>
      <w:tr>
        <w:tc>
          <w:tcPr>
            <w:tcW w:type="dxa" w:w="3120"/>
          </w:tcPr>
          <w:p>
            <w:r>
              <w:t>BORDER</w:t>
            </w:r>
          </w:p>
        </w:tc>
        <w:tc>
          <w:tcPr>
            <w:tcW w:type="dxa" w:w="3120"/>
          </w:tcPr>
          <w:p>
            <w:r>
              <w:t>#30363D</w:t>
            </w:r>
          </w:p>
        </w:tc>
        <w:tc>
          <w:tcPr>
            <w:tcW w:type="dxa" w:w="3120"/>
          </w:tcPr>
          <w:p>
            <w:r>
              <w:t>Steel grey: subtle card borders, dividers, and grid lines.</w:t>
            </w:r>
          </w:p>
        </w:tc>
      </w:tr>
    </w:tbl>
    <w:p>
      <w:pPr>
        <w:spacing w:before="0" w:after="120" w:line="276" w:lineRule="auto"/>
      </w:pPr>
      <w:r>
        <w:t>Table 5.1: Dark glassmorphic design token palette.</w:t>
      </w:r>
    </w:p>
    <w:p>
      <w:pPr>
        <w:pStyle w:val="Heading1"/>
        <w:spacing w:before="360" w:after="120"/>
      </w:pPr>
      <w:r>
        <w:rPr>
          <w:rFonts w:ascii="Calibri" w:hAnsi="Calibri"/>
          <w:color w:val="003366"/>
        </w:rPr>
        <w:t>6. Dashboard Control Logic</w:t>
      </w:r>
    </w:p>
    <w:p>
      <w:pPr>
        <w:pStyle w:val="Heading2"/>
        <w:spacing w:before="240" w:after="80"/>
      </w:pPr>
      <w:r>
        <w:rPr>
          <w:rFonts w:ascii="Calibri" w:hAnsi="Calibri"/>
          <w:color w:val="006699"/>
        </w:rPr>
        <w:t>6.1 Confidence Panel (Explainable AI)</w:t>
      </w:r>
    </w:p>
    <w:p>
      <w:pPr>
        <w:spacing w:before="0" w:after="120" w:line="276" w:lineRule="auto"/>
      </w:pPr>
      <w:r>
        <w:t xml:space="preserve">The Circular AI Gauge implements the </w:t>
      </w:r>
      <w:r>
        <w:rPr>
          <w:b/>
        </w:rPr>
        <w:t>Explainable AI (XAI)</w:t>
      </w:r>
      <w:r>
        <w:t xml:space="preserve"> requirement by displaying the model's confidence output alongside natural-language reasoning:</w:t>
      </w:r>
    </w:p>
    <w:p>
      <w:pPr>
        <w:pStyle w:val="ListBullet"/>
        <w:spacing w:before="40" w:after="40" w:line="276" w:lineRule="auto"/>
      </w:pPr>
      <w:r>
        <w:t>**Low Risk (&lt; 55%):** Displays a green circle indicating the system is running optimally under safe baseline loads.</w:t>
      </w:r>
    </w:p>
    <w:p>
      <w:pPr>
        <w:pStyle w:val="ListBullet"/>
        <w:spacing w:before="40" w:after="40" w:line="276" w:lineRule="auto"/>
      </w:pPr>
      <w:r>
        <w:t>**Moderate Risk (55%–79%):** Displays an amber circle with specific notifications detailing which resource is rising (e.g. *"Elevated CPU activity predicted in 30s"*).</w:t>
      </w:r>
    </w:p>
    <w:p>
      <w:pPr>
        <w:pStyle w:val="ListBullet"/>
        <w:spacing w:before="40" w:after="40" w:line="276" w:lineRule="auto"/>
      </w:pPr>
      <w:r>
        <w:t>**High Risk (&gt;= 80%):** Displays a red flashing ring warning the user that a bottleneck is imminent, showing the forecasted CPU% and memory% values at the 30-second future horizon.</w:t>
      </w:r>
    </w:p>
    <w:p>
      <w:pPr>
        <w:pStyle w:val="Heading2"/>
        <w:spacing w:before="240" w:after="80"/>
      </w:pPr>
      <w:r>
        <w:rPr>
          <w:rFonts w:ascii="Calibri" w:hAnsi="Calibri"/>
          <w:color w:val="006699"/>
        </w:rPr>
        <w:t>6.2 One-Click Boost Manual Override</w:t>
      </w:r>
    </w:p>
    <w:p>
      <w:pPr>
        <w:spacing w:before="0" w:after="120" w:line="276" w:lineRule="auto"/>
      </w:pPr>
      <w:r>
        <w:t>The green "One-Click Boost" button is permanently available in the control rail. Clicking it bypasses all AI threshold gates, immediately executing a manual system boost. It triggers `Pipeline.trigger_boost()`, which resumes all suspended background tasks, executes Python's garbage collection (`gc.collect()`), and clears physical page allocations. This is immediately logged in the Event Log.</w:t>
      </w:r>
    </w:p>
    <w:p>
      <w:pPr>
        <w:pStyle w:val="Heading2"/>
        <w:spacing w:before="240" w:after="80"/>
      </w:pPr>
      <w:r>
        <w:rPr>
          <w:rFonts w:ascii="Calibri" w:hAnsi="Calibri"/>
          <w:color w:val="006699"/>
        </w:rPr>
        <w:t>6.3 Undo Button State Machine</w:t>
      </w:r>
    </w:p>
    <w:p>
      <w:pPr>
        <w:spacing w:before="0" w:after="120" w:line="276" w:lineRule="auto"/>
      </w:pPr>
      <w:r>
        <w:t>The "Undo Suspension" button is wired to a strict in-memory state machine to prevent user errors:</w:t>
      </w:r>
    </w:p>
    <w:p>
      <w:pPr>
        <w:pStyle w:val="ListBullet"/>
        <w:spacing w:before="40" w:after="40" w:line="276" w:lineRule="auto"/>
      </w:pPr>
      <w:r>
        <w:t>**Disabled State (Default):** The button remains greyed out and inactive on startup.</w:t>
      </w:r>
    </w:p>
    <w:p>
      <w:pPr>
        <w:pStyle w:val="ListBullet"/>
        <w:spacing w:before="40" w:after="40" w:line="276" w:lineRule="auto"/>
      </w:pPr>
      <w:r>
        <w:t>**Enabled State:** The moment the Action Engine executes an automated process suspension (or the user clicks Boost), the button transitions to green and becomes active.</w:t>
      </w:r>
    </w:p>
    <w:p>
      <w:pPr>
        <w:pStyle w:val="ListBullet"/>
        <w:spacing w:before="40" w:after="40" w:line="276" w:lineRule="auto"/>
      </w:pPr>
      <w:r>
        <w:t>**Auto-Reset State:** If the user clicks Undo, or if the 5-minute safety watchdog auto-resumes the frozen processes, the button automatically disables itself. This prevents confusing, dead no-op clicks when there are no suspended processes in the optimizer's cache.</w:t>
      </w:r>
    </w:p>
    <w:p>
      <w:pPr>
        <w:pStyle w:val="Heading1"/>
        <w:spacing w:before="360" w:after="120"/>
      </w:pPr>
      <w:r>
        <w:rPr>
          <w:rFonts w:ascii="Calibri" w:hAnsi="Calibri"/>
          <w:color w:val="003366"/>
        </w:rPr>
        <w:t>7. System Tray &amp; Window Management</w:t>
      </w:r>
    </w:p>
    <w:p>
      <w:pPr>
        <w:spacing w:before="0" w:after="120" w:line="276" w:lineRule="auto"/>
      </w:pPr>
      <w:r>
        <w:t>The application is designed to operate as a continuous background daemon, meaning it must not be terminated when the user closes the dashboard window:</w:t>
      </w:r>
    </w:p>
    <w:p>
      <w:pPr>
        <w:spacing w:before="0" w:after="120" w:line="276" w:lineRule="auto"/>
      </w:pPr>
      <w:r>
        <w:t xml:space="preserve">1. </w:t>
      </w:r>
      <w:r>
        <w:rPr>
          <w:b/>
        </w:rPr>
        <w:t>Window Close Override:</w:t>
      </w:r>
      <w:r>
        <w:t xml:space="preserve"> The close action is intercepted programmatically. Closing the dashboard window simply hides the Flet interface, letting the 1Hz telemetry polling and GRU inference engine continue executing on its background thread.</w:t>
      </w:r>
    </w:p>
    <w:p>
      <w:pPr>
        <w:spacing w:before="0" w:after="120" w:line="276" w:lineRule="auto"/>
      </w:pPr>
      <w:r>
        <w:t xml:space="preserve">2. </w:t>
      </w:r>
      <w:r>
        <w:rPr>
          <w:b/>
        </w:rPr>
        <w:t>System Tray Integration:</w:t>
      </w:r>
      <w:r>
        <w:t xml:space="preserve"> A system tray icon is initialized. Right-clicking the tray icon exposes a menu containing *"Show Dashboard"* and *"Quit Optimizer"*.</w:t>
      </w:r>
    </w:p>
    <w:p>
      <w:pPr>
        <w:spacing w:before="0" w:after="120" w:line="276" w:lineRule="auto"/>
      </w:pPr>
      <w:r>
        <w:t xml:space="preserve">3. </w:t>
      </w:r>
      <w:r>
        <w:rPr>
          <w:b/>
        </w:rPr>
        <w:t>User Notifications:</w:t>
      </w:r>
      <w:r>
        <w:t xml:space="preserve"> On first hide, the app pushes an asynchronous system toast notification confirming: *"System Resource Optimizer is running in the background."* Double-clicking the tray icon restores the window.</w:t>
      </w:r>
    </w:p>
    <w:p>
      <w:pPr>
        <w:pStyle w:val="Heading1"/>
        <w:spacing w:before="360" w:after="120"/>
      </w:pPr>
      <w:r>
        <w:rPr>
          <w:rFonts w:ascii="Calibri" w:hAnsi="Calibri"/>
          <w:color w:val="003366"/>
        </w:rPr>
        <w:t>8. Accessibility &amp; Usability Features</w:t>
      </w:r>
    </w:p>
    <w:p>
      <w:pPr>
        <w:pStyle w:val="ListBullet"/>
        <w:spacing w:before="40" w:after="40" w:line="276" w:lineRule="auto"/>
      </w:pPr>
      <w:r>
        <w:t>**Double Coding:** All system severity states are communicated via both color-shifting and natural language descriptions, ensuring full usability for users with color vision deficiencies.</w:t>
      </w:r>
    </w:p>
    <w:p>
      <w:pPr>
        <w:pStyle w:val="ListBullet"/>
        <w:spacing w:before="40" w:after="40" w:line="276" w:lineRule="auto"/>
      </w:pPr>
      <w:r>
        <w:t>**DPI Scaling:** All layouts and font sizes are defined using adaptive density offsets, scaling seamlessly on high-DPI displays without visual clipping.</w:t>
      </w:r>
    </w:p>
    <w:p>
      <w:pPr>
        <w:pStyle w:val="ListBullet"/>
        <w:spacing w:before="40" w:after="40" w:line="276" w:lineRule="auto"/>
      </w:pPr>
      <w:r>
        <w:t>**Action Verification:** The Undo button is dynamically disabled when no processes are suspended, eliminating visual clutter.</w:t>
      </w:r>
    </w:p>
    <w:p>
      <w:pPr>
        <w:pStyle w:val="ListBullet"/>
        <w:spacing w:before="40" w:after="40" w:line="276" w:lineRule="auto"/>
      </w:pPr>
      <w:r>
        <w:t>**Chronological Logs:** The ListView event log contains microsecond-precision timestamps, allowing users to audit exactly when the AI performed process suspensions.</w:t>
      </w:r>
    </w:p>
    <w:p>
      <w:r>
        <w:br w:type="page"/>
      </w:r>
    </w:p>
    <w:p>
      <w:pPr>
        <w:pStyle w:val="Heading1"/>
        <w:spacing w:before="240" w:after="120"/>
      </w:pPr>
      <w:r>
        <w:t>Section 3: Cross-Platform Resource Mitigation Strategy</w:t>
      </w:r>
    </w:p>
    <w:p>
      <w:pPr>
        <w:spacing w:after="200"/>
      </w:pPr>
      <w:r>
        <w:t>The existing INT8 quantized GRU successfully forecasts imminent system bottlenecks (P(B_t+1) &gt; tau). However, the legacy mitigation strategy of abruptly suspending background tasks often exacerbates latency due to locked OS resources and context-switching overhead.</w:t>
      </w:r>
    </w:p>
    <w:p>
      <w:pPr>
        <w:spacing w:after="200"/>
      </w:pPr>
      <w:r>
        <w:t>To solve this, the optimizer architecture has been upgraded with a cross-platform, deterministic intervention sub-module. This upgrade explicitly replaces naive task suspension with dynamic process scheduling and memory allocation. By throttling heavy tasks before the bottleneck occurs, the operating system remains highly responsive without triggering system-wide freezes.</w:t>
      </w:r>
    </w:p>
    <w:p>
      <w:pPr>
        <w:pStyle w:val="Heading1"/>
        <w:spacing w:before="360" w:after="120"/>
      </w:pPr>
      <w:r>
        <w:rPr>
          <w:b/>
          <w:color w:val="00785A"/>
          <w:sz w:val="32"/>
        </w:rPr>
        <w:t>2. Methodology: Operating System Specific Mitigations</w:t>
      </w:r>
    </w:p>
    <w:p>
      <w:pPr>
        <w:pStyle w:val="Heading2"/>
        <w:spacing w:before="240" w:after="80"/>
      </w:pPr>
      <w:r>
        <w:rPr>
          <w:b/>
          <w:color w:val="505050"/>
          <w:sz w:val="26"/>
        </w:rPr>
        <w:t>2.1. Windows Architecture (Hardware &amp; Affinity Mapping)</w:t>
      </w:r>
    </w:p>
    <w:p>
      <w:pPr>
        <w:spacing w:after="120"/>
      </w:pPr>
      <w:r>
        <w:t>Windows allows granular, low-level control over hardware resources. The optimizer mitigates heavy processes through a three-step sequence:</w:t>
      </w:r>
    </w:p>
    <w:p>
      <w:pPr>
        <w:pStyle w:val="ListBullet"/>
        <w:spacing w:after="80"/>
      </w:pPr>
      <w:r>
        <w:rPr>
          <w:b/>
        </w:rPr>
        <w:t xml:space="preserve">CPU Affinity Isolation: </w:t>
      </w:r>
      <w:r>
        <w:t>The offending heavy process is dynamically stripped of its access to Core 0 and Core 1. By isolating the heavy task strictly to the remaining logical processors, the OS interrupt routines and the graphical user interface remain completely responsive, eliminating UI lag.</w:t>
      </w:r>
    </w:p>
    <w:p>
      <w:pPr>
        <w:pStyle w:val="ListBullet"/>
        <w:spacing w:after="80"/>
      </w:pPr>
      <w:r>
        <w:rPr>
          <w:b/>
        </w:rPr>
        <w:t xml:space="preserve">Priority Throttling: </w:t>
      </w:r>
      <w:r>
        <w:t>The process's scheduling priority is downgraded to the lowest idle state (IDLE_PRIORITY_CLASS or 64). This forces the Windows scheduler to yield CPU time to active foreground windows automatically.</w:t>
      </w:r>
    </w:p>
    <w:p>
      <w:pPr>
        <w:pStyle w:val="ListBullet"/>
        <w:spacing w:after="200"/>
      </w:pPr>
      <w:r>
        <w:rPr>
          <w:b/>
        </w:rPr>
        <w:t xml:space="preserve">Pre-emptive Memory Trimming: </w:t>
      </w:r>
      <w:r>
        <w:t>If the GRU predicts a memory ceiling collision, the working set of the heavy process is aggressively flushed to disk smoothly before the bottleneck hits using Win32 API kernel calls (EmptyWorkingSet), avoiding violent hard page faults.</w:t>
      </w:r>
    </w:p>
    <w:p>
      <w:pPr>
        <w:pStyle w:val="Heading2"/>
        <w:spacing w:before="240" w:after="80"/>
      </w:pPr>
      <w:r>
        <w:rPr>
          <w:b/>
          <w:color w:val="505050"/>
          <w:sz w:val="26"/>
        </w:rPr>
        <w:t>2.2. macOS Architecture (Intent-Based Quality of Service)</w:t>
      </w:r>
    </w:p>
    <w:p>
      <w:pPr>
        <w:spacing w:after="120"/>
      </w:pPr>
      <w:r>
        <w:t>macOS, particularly on Apple Silicon with asymmetric P-Core (Performance) and E-Core (Efficiency) architectures, restricts direct CPU affinity manipulation. The optimizer adapts to this via the Darwin scheduler:</w:t>
      </w:r>
    </w:p>
    <w:p>
      <w:pPr>
        <w:pStyle w:val="ListBullet"/>
        <w:spacing w:after="80"/>
      </w:pPr>
      <w:r>
        <w:rPr>
          <w:b/>
        </w:rPr>
        <w:t xml:space="preserve">Quality of Service (QoS) Downgrade: </w:t>
      </w:r>
      <w:r>
        <w:t>The optimizer drops the POSIX execution priority of the offending process to the lowest background state (nice value 19).</w:t>
      </w:r>
    </w:p>
    <w:p>
      <w:pPr>
        <w:pStyle w:val="ListBullet"/>
        <w:spacing w:after="200"/>
      </w:pPr>
      <w:r>
        <w:rPr>
          <w:b/>
        </w:rPr>
        <w:t xml:space="preserve">Core Migration: </w:t>
      </w:r>
      <w:r>
        <w:t>Upon receiving this signal, the Darwin scheduler seamlessly migrates the intensive task away from the P-Cores and hands it off entirely to the E-Cores. This protects the P-Cores for immediate user interactions without requiring unsafe memory page flushing.</w:t>
      </w:r>
    </w:p>
    <w:p>
      <w:pPr>
        <w:pStyle w:val="Heading1"/>
        <w:spacing w:before="360" w:after="120"/>
      </w:pPr>
      <w:r>
        <w:rPr>
          <w:b/>
          <w:color w:val="00785A"/>
          <w:sz w:val="32"/>
        </w:rPr>
        <w:t>3. Reversal Protocol</w:t>
      </w:r>
    </w:p>
    <w:p>
      <w:pPr>
        <w:spacing w:after="200"/>
      </w:pPr>
      <w:r>
        <w:t>The optimizer continuously monitors the system state. Once the GRU predicts that the bottleneck threat has passed and system resources have stabilized, the mitigation is reversed. Processes have their original CPU affinities restored (on Windows) and their execution priorities returned to normal (restoring original nice class / value).</w:t>
      </w:r>
    </w:p>
    <w:p>
      <w:pPr>
        <w:pStyle w:val="Heading1"/>
        <w:spacing w:before="360" w:after="120"/>
      </w:pPr>
      <w:r>
        <w:rPr>
          <w:b/>
          <w:color w:val="00785A"/>
          <w:sz w:val="32"/>
        </w:rPr>
        <w:t>4. Evaluation Metrics for Validation (Tracking Progress)</w:t>
      </w:r>
    </w:p>
    <w:p>
      <w:pPr>
        <w:spacing w:after="120"/>
      </w:pPr>
      <w:r>
        <w:t>To empirically validate the effectiveness of this new mitigation strategy against the old suspension method, the following telemetry will be tracked to visualize progress:</w:t>
      </w:r>
    </w:p>
    <w:p>
      <w:pPr>
        <w:pStyle w:val="ListBullet"/>
        <w:spacing w:after="80"/>
      </w:pPr>
      <w:r>
        <w:rPr>
          <w:b/>
        </w:rPr>
        <w:t xml:space="preserve">Context Switch Rate (Delta CS / sec): </w:t>
      </w:r>
      <w:r>
        <w:t>Monitored to prove that the dynamic priority shifting prevents context-switching storms. Progress is visualized as a flattened curve compared to the baseline.</w:t>
      </w:r>
    </w:p>
    <w:p>
      <w:pPr>
        <w:pStyle w:val="ListBullet"/>
        <w:spacing w:after="80"/>
      </w:pPr>
      <w:r>
        <w:rPr>
          <w:b/>
        </w:rPr>
        <w:t xml:space="preserve">Hard Page Faults per Second: </w:t>
      </w:r>
      <w:r>
        <w:t>Evaluates the success of the pre-emptive memory trimming mechanism.</w:t>
      </w:r>
    </w:p>
    <w:p>
      <w:pPr>
        <w:pStyle w:val="ListBullet"/>
        <w:spacing w:after="200"/>
      </w:pPr>
      <w:r>
        <w:rPr>
          <w:b/>
        </w:rPr>
        <w:t xml:space="preserve">Core Utilization Spikes: </w:t>
      </w:r>
      <w:r>
        <w:t>Demonstrating exactly 0% utilization on Core 0/1 during a throttled background heavy load, proving that UI and interrupt cores were successfully isolated.</w:t>
      </w:r>
    </w:p>
    <w:p>
      <w:pPr>
        <w:pStyle w:val="Heading1"/>
        <w:spacing w:before="360" w:after="120"/>
      </w:pPr>
      <w:r>
        <w:rPr>
          <w:b/>
          <w:color w:val="00785A"/>
          <w:sz w:val="32"/>
        </w:rPr>
        <w:t>5. Project Deliverables</w:t>
      </w:r>
    </w:p>
    <w:p>
      <w:pPr>
        <w:spacing w:after="120"/>
      </w:pPr>
      <w:r>
        <w:t>To fulfill the final-year engineering requirements and demonstrate the system's enhanced capabilities, the following assets will be submitted:</w:t>
      </w:r>
    </w:p>
    <w:p>
      <w:pPr>
        <w:pStyle w:val="ListBullet"/>
        <w:spacing w:after="80"/>
      </w:pPr>
      <w:r>
        <w:rPr>
          <w:b/>
        </w:rPr>
        <w:t xml:space="preserve">Advanced Mitigation Sub-Module: </w:t>
      </w:r>
      <w:r>
        <w:t>The OS-agnostic Python component integrated into the existing desktop application, officially replacing the legacy 'task suspension' logic.</w:t>
      </w:r>
    </w:p>
    <w:p>
      <w:pPr>
        <w:pStyle w:val="ListBullet"/>
        <w:spacing w:after="80"/>
      </w:pPr>
      <w:r>
        <w:rPr>
          <w:b/>
        </w:rPr>
        <w:t xml:space="preserve">Telemetry &amp; Logging Integration: </w:t>
      </w:r>
      <w:r>
        <w:t>Upgraded application monitoring that actively tracks and exports Context Switch Rates and Hard Page Faults to visualize the system's progress during mitigation.</w:t>
      </w:r>
    </w:p>
    <w:p>
      <w:pPr>
        <w:pStyle w:val="ListBullet"/>
        <w:spacing w:after="80"/>
      </w:pPr>
      <w:r>
        <w:rPr>
          <w:b/>
        </w:rPr>
        <w:t xml:space="preserve">Comparative Evaluation Report: </w:t>
      </w:r>
      <w:r>
        <w:t>A comprehensive data analysis document containing graphs that chart the performance delta between the baseline (no optimizer), the legacy version (task suspension), and the final version (dynamic throttling).</w:t>
      </w:r>
    </w:p>
    <w:p>
      <w:pPr>
        <w:pStyle w:val="ListBullet"/>
        <w:spacing w:after="200"/>
      </w:pPr>
      <w:r>
        <w:rPr>
          <w:b/>
        </w:rPr>
        <w:t xml:space="preserve">Live System Demonstration: </w:t>
      </w:r>
      <w:r>
        <w:t>A practical presentation showcasing the updated desktop app running in real-time. This will involve deliberately triggering heavy workloads to visually prove the elimination of OS-level UI lag using the new core-isolation techniques.</w:t>
      </w:r>
    </w:p>
    <w:p>
      <w:r>
        <w:br w:type="page"/>
      </w:r>
    </w:p>
    <w:p>
      <w:pPr>
        <w:pStyle w:val="Heading1"/>
        <w:spacing w:before="240" w:after="120"/>
      </w:pPr>
      <w:r>
        <w:t>Section 4: Academic Presentation, Live Verification &amp; Defense Strategy</w:t>
      </w:r>
    </w:p>
    <w:p>
      <w:pPr>
        <w:spacing w:after="200"/>
      </w:pPr>
      <w:r>
        <w:t>To secure the highest possible evaluation from the graduation jury of Kwame Nkrumah University of Science and Technology (KNUST), this project must be defended not simply as a system-monitoring utility, but as an AI-driven, low-overhead engineering solution that successfully solves scheduler-level bottlenecks.</w:t>
      </w:r>
    </w:p>
    <w:p>
      <w:pPr>
        <w:spacing w:after="200"/>
      </w:pPr>
      <w:r>
        <w:t>This chapter details the precise empirical testing protocols, live system demonstration sequences, slide structure guidelines, and academic defense tips that are packaged into the final graduation deliverables.</w:t>
      </w:r>
    </w:p>
    <w:p>
      <w:pPr>
        <w:pStyle w:val="Heading1"/>
        <w:spacing w:before="360" w:after="120"/>
      </w:pPr>
      <w:r>
        <w:rPr>
          <w:b/>
          <w:color w:val="00785A"/>
          <w:sz w:val="32"/>
        </w:rPr>
        <w:t>2. Key Telemetry &amp; Dynamic Throttling Outcomes</w:t>
      </w:r>
    </w:p>
    <w:p>
      <w:pPr>
        <w:spacing w:after="120"/>
      </w:pPr>
      <w:r>
        <w:t>During live testing under heavy workloads (such as launching resource-intensive compilation and 3D simulation threads), the newly integrated Cross-Platform Resource Mitigation Sub-Module has demonstrated the following verified scheduling and performance outcomes compared to the legacy suspension strategy:</w:t>
      </w:r>
    </w:p>
    <w:p>
      <w:pPr>
        <w:pStyle w:val="ListBullet"/>
        <w:spacing w:after="80"/>
      </w:pPr>
      <w:r>
        <w:rPr>
          <w:b/>
        </w:rPr>
        <w:t xml:space="preserve">Elimination of Thread-State Contention: </w:t>
      </w:r>
      <w:r>
        <w:t>The legacy strategy of abruptly freezing tasks using SIGSTOP (psutil.suspend()) kept active file locks, network sockets, and database handles locked in memory, causing thread-state contention that froze the main operating system window compositor. The upgraded scheduling priority downgrade (nice 19 on macOS, IDLE_PRIORITY_CLASS on Windows) allows the process to remain active in memory but deprives it of core priority.</w:t>
      </w:r>
    </w:p>
    <w:p>
      <w:pPr>
        <w:pStyle w:val="ListBullet"/>
        <w:spacing w:after="80"/>
      </w:pPr>
      <w:r>
        <w:rPr>
          <w:b/>
        </w:rPr>
        <w:t xml:space="preserve">Apple Silicon E-Core Routing: </w:t>
      </w:r>
      <w:r>
        <w:t>On Apple Silicon architectures, setting POSIX niceness to 19 dynamically signals the Darwin scheduler to relocate all background thread execution blocks away from the Performance cores (P-Cores) to the Efficiency cores (E-Cores), keeping P-cores cool and completely dedicated to fluid user interface rendering.</w:t>
      </w:r>
    </w:p>
    <w:p>
      <w:pPr>
        <w:pStyle w:val="ListBullet"/>
        <w:spacing w:after="200"/>
      </w:pPr>
      <w:r>
        <w:rPr>
          <w:b/>
        </w:rPr>
        <w:t xml:space="preserve">Windows Core 0/1 Affinity Isolation: </w:t>
      </w:r>
      <w:r>
        <w:t>On Windows systems, stripping Core 0 and Core 1 access from high-utilization threads physically isolates OS interrupt handlers and graphic composers, ensuring exactly 0% utilization of those critical cores by throttled tasks.</w:t>
      </w:r>
    </w:p>
    <w:p>
      <w:pPr>
        <w:pStyle w:val="Heading1"/>
        <w:spacing w:before="360" w:after="120"/>
      </w:pPr>
      <w:r>
        <w:rPr>
          <w:b/>
          <w:color w:val="00785A"/>
          <w:sz w:val="32"/>
        </w:rPr>
        <w:t>3. Step-by-Step Live Demonstration Protocol</w:t>
      </w:r>
    </w:p>
    <w:p>
      <w:pPr>
        <w:spacing w:after="120"/>
      </w:pPr>
      <w:r>
        <w:t>This protocol is structured to provide a flawless, real-time live demonstration during the graduation defense:</w:t>
      </w:r>
    </w:p>
    <w:p>
      <w:pPr>
        <w:pStyle w:val="ListBullet"/>
        <w:spacing w:after="80"/>
      </w:pPr>
      <w:r>
        <w:rPr>
          <w:b/>
        </w:rPr>
        <w:t xml:space="preserve">Step 1: Autopilot Setup — </w:t>
      </w:r>
      <w:r>
        <w:t>Keep the dashboard's Auto-Pilot Mode toggled OFF in the settings rail on startup.</w:t>
      </w:r>
    </w:p>
    <w:p>
      <w:pPr>
        <w:pStyle w:val="ListBullet"/>
        <w:spacing w:after="80"/>
      </w:pPr>
      <w:r>
        <w:rPr>
          <w:b/>
        </w:rPr>
        <w:t xml:space="preserve">Step 2: Workload Ingestion — </w:t>
      </w:r>
      <w:r>
        <w:t>Launch a resource-intensive task. Direct the jury's attention to the Flet Canvas rolling charts as telemetry streams climb into the red warning threshold (&gt;= 85%). Point to the circular AI gauge predicting an imminent bottleneck with high confidence (e.g. 96% risk predicted in 30s).</w:t>
      </w:r>
    </w:p>
    <w:p>
      <w:pPr>
        <w:pStyle w:val="ListBullet"/>
        <w:spacing w:after="80"/>
      </w:pPr>
      <w:r>
        <w:rPr>
          <w:b/>
        </w:rPr>
        <w:t xml:space="preserve">Step 3: Stutter Verification (Baseline) — </w:t>
      </w:r>
      <w:r>
        <w:t>Scroll a web page or move a desktop window to show the minor lag starting to build under raw CPU congestion.</w:t>
      </w:r>
    </w:p>
    <w:p>
      <w:pPr>
        <w:pStyle w:val="ListBullet"/>
        <w:spacing w:after="80"/>
      </w:pPr>
      <w:r>
        <w:rPr>
          <w:b/>
        </w:rPr>
        <w:t xml:space="preserve">Step 4: Autonomous Intervention — </w:t>
      </w:r>
      <w:r>
        <w:t>Toggle Auto-Pilot Mode to ON. The Action Engine will fire immediately. Point to the desktop notification: "Optimizer: Processes Throttled" and show the log entries updating in the Event Log.</w:t>
      </w:r>
    </w:p>
    <w:p>
      <w:pPr>
        <w:pStyle w:val="ListBullet"/>
        <w:spacing w:after="80"/>
      </w:pPr>
      <w:r>
        <w:rPr>
          <w:b/>
        </w:rPr>
        <w:t xml:space="preserve">Step 5: OS Responsiveness Verification — </w:t>
      </w:r>
      <w:r>
        <w:t>Scroll, type, and interact with the desktop. Visually prove that all UI lag has vanished, while the throttled process continues safely in the background on E-cores.</w:t>
      </w:r>
    </w:p>
    <w:p>
      <w:pPr>
        <w:pStyle w:val="ListBullet"/>
        <w:spacing w:after="200"/>
      </w:pPr>
      <w:r>
        <w:rPr>
          <w:b/>
        </w:rPr>
        <w:t xml:space="preserve">Step 6: Reversal and Recovery — </w:t>
      </w:r>
      <w:r>
        <w:t>Click the manual Undo button. The process will immediately resume its original priority and affinity classes, recovering 100% execution speed with zero data loss.</w:t>
      </w:r>
    </w:p>
    <w:p>
      <w:pPr>
        <w:pStyle w:val="Heading1"/>
        <w:spacing w:before="360" w:after="120"/>
      </w:pPr>
      <w:r>
        <w:rPr>
          <w:b/>
          <w:color w:val="00785A"/>
          <w:sz w:val="32"/>
        </w:rPr>
        <w:t>4. Slide Deliverables Checklist</w:t>
      </w:r>
    </w:p>
    <w:p>
      <w:pPr>
        <w:spacing w:after="120"/>
      </w:pPr>
      <w:r>
        <w:t>To support the defense slides, the following visual and technical assets are compiled and recorded:</w:t>
      </w:r>
    </w:p>
    <w:p>
      <w:pPr>
        <w:pStyle w:val="ListBullet"/>
        <w:spacing w:after="80"/>
      </w:pPr>
      <w:r>
        <w:rPr>
          <w:b/>
        </w:rPr>
        <w:t xml:space="preserve">The AI Circular Gauge Warm-Up: </w:t>
      </w:r>
      <w:r>
        <w:t>Slide-embedded video demonstrating the 60-second temporal sliding window queue filling phase.</w:t>
      </w:r>
    </w:p>
    <w:p>
      <w:pPr>
        <w:pStyle w:val="ListBullet"/>
        <w:spacing w:after="80"/>
      </w:pPr>
      <w:r>
        <w:rPr>
          <w:b/>
        </w:rPr>
        <w:t xml:space="preserve">The Explainable AI (XAI) Attribution Bar: </w:t>
      </w:r>
      <w:r>
        <w:t>Shifting feature attribution weights showing CPU, Memory, Temp, and Swap influences.</w:t>
      </w:r>
    </w:p>
    <w:p>
      <w:pPr>
        <w:pStyle w:val="ListBullet"/>
        <w:spacing w:after="200"/>
      </w:pPr>
      <w:r>
        <w:rPr>
          <w:b/>
        </w:rPr>
        <w:t xml:space="preserve">The E-Core Scheduler Migration: </w:t>
      </w:r>
      <w:r>
        <w:t>macOS Activity Monitor capture showing task priorities dropping to background QoS.</w:t>
      </w:r>
    </w:p>
    <w:p>
      <w:pPr>
        <w:pStyle w:val="Heading1"/>
        <w:spacing w:before="360" w:after="120"/>
      </w:pPr>
      <w:r>
        <w:rPr>
          <w:b/>
          <w:color w:val="00785A"/>
          <w:sz w:val="32"/>
        </w:rPr>
        <w:t>5. Core High-Yield Q&amp;A Tip for the Jury Defense</w:t>
      </w:r>
    </w:p>
    <w:p>
      <w:pPr>
        <w:spacing w:after="80"/>
      </w:pPr>
      <w:r>
        <w:rPr>
          <w:b/>
          <w:color w:val="780000"/>
        </w:rPr>
        <w:t xml:space="preserve">Jury Question: </w:t>
      </w:r>
      <w:r>
        <w:t>"Why did you build a custom Python optimizer instead of relying on the operating system's native Task Manager?"</w:t>
      </w:r>
    </w:p>
    <w:p>
      <w:pPr>
        <w:spacing w:after="200"/>
      </w:pPr>
      <w:r>
        <w:rPr>
          <w:b/>
          <w:color w:val="007800"/>
        </w:rPr>
        <w:t xml:space="preserve">Candidate Answer: </w:t>
      </w:r>
      <w:r>
        <w:t>"Task Manager is purely reactive and destructive. It requires the user to notice lag, open a heavy interface, and violently kill the process, causing unsaved data loss. Our system is proactive and safe. It utilizes a lightweight Gated Recurrent Unit (GRU) to forecast resource bottlenecks 30 seconds before they occur. It then dynamically adjusts POSIX priority classes, core affinity masks, and working-set memory allocations behind the scenes, resolving the bottleneck without user intervention and reversing the optimization safely once system resource pressure stabilizes."</w:t>
      </w:r>
    </w:p>
    <w:p>
      <w:r>
        <w:br w:type="page"/>
      </w:r>
    </w:p>
    <w:p>
      <w:pPr>
        <w:pStyle w:val="Heading1"/>
      </w:pPr>
      <w:r>
        <w:t>References &amp; Bibliography</w:t>
      </w:r>
    </w:p>
    <w:p>
      <w:pPr>
        <w:ind w:left="360" w:hanging="360"/>
      </w:pPr>
      <w:r>
        <w:rPr>
          <w:rFonts w:ascii="Arial" w:hAnsi="Arial"/>
          <w:b/>
        </w:rPr>
        <w:t xml:space="preserve">[1] </w:t>
      </w:r>
      <w:r>
        <w:rPr>
          <w:rFonts w:ascii="Arial" w:hAnsi="Arial"/>
        </w:rPr>
        <w:t>Flet Team. (2024). Flet Reference Guide — High-performance Python desktop apps. https://flet.dev/</w:t>
      </w:r>
    </w:p>
    <w:p>
      <w:pPr>
        <w:ind w:left="360" w:hanging="360"/>
      </w:pPr>
      <w:r>
        <w:rPr>
          <w:rFonts w:ascii="Arial" w:hAnsi="Arial"/>
          <w:b/>
        </w:rPr>
        <w:t xml:space="preserve">[2] </w:t>
      </w:r>
      <w:r>
        <w:rPr>
          <w:rFonts w:ascii="Arial" w:hAnsi="Arial"/>
        </w:rPr>
        <w:t>Flutter Team. (2024). Flutter Canvas Drawing API. https://flutter.dev/</w:t>
      </w:r>
    </w:p>
    <w:p>
      <w:pPr>
        <w:ind w:left="360" w:hanging="360"/>
      </w:pPr>
      <w:r>
        <w:rPr>
          <w:rFonts w:ascii="Arial" w:hAnsi="Arial"/>
          <w:b/>
        </w:rPr>
        <w:t xml:space="preserve">[3] </w:t>
      </w:r>
      <w:r>
        <w:rPr>
          <w:rFonts w:ascii="Arial" w:hAnsi="Arial"/>
        </w:rPr>
        <w:t>Microsoft Corporation. (2023). NtSuspendThread function. Windows Driver Documentation. https://docs.microsoft.com/</w:t>
      </w:r>
    </w:p>
    <w:p>
      <w:pPr>
        <w:ind w:left="360" w:hanging="360"/>
      </w:pPr>
      <w:r>
        <w:rPr>
          <w:rFonts w:ascii="Arial" w:hAnsi="Arial"/>
          <w:b/>
        </w:rPr>
        <w:t xml:space="preserve">[4] </w:t>
      </w:r>
      <w:r>
        <w:rPr>
          <w:rFonts w:ascii="Arial" w:hAnsi="Arial"/>
        </w:rPr>
        <w:t>Nielsen, J. (1994). Usability Engineering. Academic Press.</w:t>
      </w:r>
    </w:p>
    <w:p>
      <w:pPr>
        <w:ind w:left="360" w:hanging="360"/>
      </w:pPr>
      <w:r>
        <w:rPr>
          <w:rFonts w:ascii="Arial" w:hAnsi="Arial"/>
          <w:b/>
        </w:rPr>
        <w:t xml:space="preserve">[5] </w:t>
      </w:r>
      <w:r>
        <w:rPr>
          <w:rFonts w:ascii="Arial" w:hAnsi="Arial"/>
        </w:rPr>
        <w:t>ONNX Runtime Development Team. (2024). ONNX Runtime: Cross-platform, high performance ML inferencing and training accelerator. https://onnxruntime.ai/</w:t>
      </w:r>
    </w:p>
    <w:p>
      <w:pPr>
        <w:ind w:left="360" w:hanging="360"/>
      </w:pPr>
      <w:r>
        <w:rPr>
          <w:rFonts w:ascii="Arial" w:hAnsi="Arial"/>
          <w:b/>
        </w:rPr>
        <w:t xml:space="preserve">[6] </w:t>
      </w:r>
      <w:r>
        <w:rPr>
          <w:rFonts w:ascii="Arial" w:hAnsi="Arial"/>
        </w:rPr>
        <w:t>plyer Contributors. (2024). plyer — Platform-independent API. https://plyer.readthedocs.io/</w:t>
      </w:r>
    </w:p>
    <w:p>
      <w:pPr>
        <w:ind w:left="360" w:hanging="360"/>
      </w:pPr>
      <w:r>
        <w:rPr>
          <w:rFonts w:ascii="Arial" w:hAnsi="Arial"/>
          <w:b/>
        </w:rPr>
        <w:t xml:space="preserve">[7] </w:t>
      </w:r>
      <w:r>
        <w:rPr>
          <w:rFonts w:ascii="Arial" w:hAnsi="Arial"/>
        </w:rPr>
        <w:t>Python Software Foundation. (2024). queue — A synchronized queue class. Python Standard Library.</w:t>
      </w:r>
    </w:p>
    <w:p>
      <w:pPr>
        <w:ind w:left="360" w:hanging="360"/>
      </w:pPr>
      <w:r>
        <w:rPr>
          <w:rFonts w:ascii="Arial" w:hAnsi="Arial"/>
          <w:b/>
        </w:rPr>
        <w:t xml:space="preserve">[8] </w:t>
      </w:r>
      <w:r>
        <w:rPr>
          <w:rFonts w:ascii="Arial" w:hAnsi="Arial"/>
        </w:rPr>
        <w:t>Rodolà, G. (2024). psutil — Cross-platform library for retrieving information on running processes and system utilization. https://psutil.readthedocs.io/</w:t>
      </w:r>
    </w:p>
    <w:p>
      <w:pPr>
        <w:ind w:left="360" w:hanging="360"/>
      </w:pPr>
      <w:r>
        <w:rPr>
          <w:rFonts w:ascii="Arial" w:hAnsi="Arial"/>
          <w:b/>
        </w:rPr>
        <w:t xml:space="preserve">[9] </w:t>
      </w:r>
      <w:r>
        <w:rPr>
          <w:rFonts w:ascii="Arial" w:hAnsi="Arial"/>
        </w:rPr>
        <w:t>Silberschatz, A., Galvin, P. B., &amp; Gagne, G. (2018). Operating System Concepts (10th ed.). Wiley.</w:t>
      </w:r>
    </w:p>
    <w:p>
      <w:pPr>
        <w:pStyle w:val="Heading2"/>
      </w:pPr>
      <w:r>
        <w:rPr>
          <w:rFonts w:ascii="Arial" w:hAnsi="Arial"/>
          <w:b/>
          <w:sz w:val="26"/>
        </w:rPr>
        <w:t>Decoupled IPC Service Communication &amp; macOS Dock Icon Resolution</w:t>
      </w:r>
    </w:p>
    <w:p>
      <w:pPr/>
      <w:r>
        <w:rPr>
          <w:rFonts w:ascii="Arial" w:hAnsi="Arial"/>
          <w:sz w:val="22"/>
        </w:rPr>
        <w:t>The core telemetry processing and AI inference loop is completely decoupled from the Flet dashboard. It runs as a background service process (SystemResourceOptimizerService) that initializes a local IPC TCP socket server bound to port 5050 on loopback address 127.0.0.1.</w:t>
      </w:r>
    </w:p>
    <w:p>
      <w:pPr/>
      <w:r>
        <w:rPr>
          <w:rFonts w:ascii="Arial" w:hAnsi="Arial"/>
          <w:sz w:val="22"/>
        </w:rPr>
        <w:t>The Flet dashboard client connects to this socket, requesting real-time telemetry updates (every 0.5s or 1.0s) and system logs via JSON-serialized request-response packets. If the connection is lost, the client automatically attempts to re-establish the connection. However, if the user explicitly stops the service via the Settings page, the dashboard sends a 'shutdown' command, which cleanly terminates the daemon (resuming all suspended background tasks), triggers a final desktop alert, and closes the dashboard GUI window.</w:t>
      </w:r>
    </w:p>
    <w:p>
      <w:pPr/>
      <w:r>
        <w:t>To allow users to temporarily pause SRO monitoring without shutting down the IPC socket server, a toggle switch for the 'Background Optimizer Engine' is implemented in the Settings tab. Toggling this OFF stops the active pipeline thread, triggers a notification, and safely resumes all suspended processes. Toggling the switch back ON cleanly restarts the telemetry pipeline loop and reactivates the Action Engine's auto-resume watchdog thread, while keeping the socket server active so the client dashboard remains connected and can control the engine at any time.</w:t>
      </w:r>
    </w:p>
    <w:p>
      <w:pPr/>
      <w:r>
        <w:rPr>
          <w:rFonts w:ascii="Arial" w:hAnsi="Arial"/>
          <w:sz w:val="22"/>
        </w:rPr>
        <w:t>On macOS, to prevent a duplicate icon showing in the macOS Dock when the background service daemon is launched, the service is packaged as a command-line binary (console=True in the PyInstaller spec file). On Windows, it is packaged as a windowless binary (console=False) to suppress the command prompt pop-up. The Flet GUI bundle specifies LSBackgroundOnly as False in Info.plist to guarantee that macOS registers the main client app in the Dock and displays its custom logo.</w:t>
      </w:r>
    </w:p>
    <w:p>
      <w:pPr>
        <w:pStyle w:val="Heading2"/>
      </w:pPr>
      <w:r>
        <w:rPr>
          <w:rFonts w:ascii="Arial" w:hAnsi="Arial"/>
          <w:b/>
          <w:sz w:val="26"/>
        </w:rPr>
        <w:t>macOS Launch Services Cache &amp; Command-Line Notification Limitations</w:t>
      </w:r>
    </w:p>
    <w:p>
      <w:pPr/>
      <w:r>
        <w:rPr>
          <w:rFonts w:ascii="Arial" w:hAnsi="Arial"/>
          <w:sz w:val="22"/>
        </w:rPr>
        <w:t>During distribution and execution of compiled Flet GUI bundles on macOS, the operating system caches application icons based on the bundle identifier in its system Launch Services database. If a version of the application was previously registered with the default Flet icon, macOS will cache it, which may lead to the coexistence of both the custom application icon and the generic Flet icon in the taskbar/Dock. Users can resolve this issue by moving the built bundle out of the build/dist directory, renaming it, or resetting the macOS Dock/Finder services (via the command: killall Dock &amp;&amp; killall Finder) to force the OS to rebuild its Launch Services cache and display the custom logo exclusively.</w:t>
      </w:r>
    </w:p>
    <w:p>
      <w:pPr/>
      <w:r>
        <w:t>Additionally, standard Python-based desktop notifications on macOS are sent using command-line AppleScript execution (via the osascript utility). To ensure instant, non-blocking delivery and prevent macOS from incurring LaunchServices lookup delays (which can hang notification delivery for up to 5 minutes when the GUI is open or closed), the notifications are sent directly using the AppleScript 'display notification' command without any application tell blocks. Because the execution is handled by osascript, macOS attributes the notification origin to osascript, which is a necessary trade-off to achieve reliable and immediate cross-process alerting on macOS. In contrast, on Windows, notifications are triggered using the plyer library and carry the custom icon.ico file directly.</w:t>
      </w:r>
    </w:p>
    <w:p>
      <w:pPr>
        <w:pStyle w:val="Heading2"/>
      </w:pPr>
      <w:r>
        <w:rPr>
          <w:rFonts w:ascii="Arial" w:hAnsi="Arial"/>
          <w:b/>
          <w:sz w:val="26"/>
        </w:rPr>
        <w:t>Kernel Thread Protection &amp; Thread-Safe UI Interception</w:t>
      </w:r>
    </w:p>
    <w:p>
      <w:pPr/>
      <w:r>
        <w:rPr>
          <w:rFonts w:ascii="Arial" w:hAnsi="Arial"/>
          <w:sz w:val="22"/>
        </w:rPr>
        <w:t>The SRO prevents UI freezes by intercepting runaway processes before they can starve the Windows kernel's interrupt handlers and compositor threads. When the GRU model predicts a bottleneck with ≥80% confidence, the Action Engine either:</w:t>
        <w:br/>
        <w:t xml:space="preserve">  - Suspends the process entirely (SIGSTOP / NtSuspendThread), or</w:t>
        <w:br/>
        <w:t xml:space="preserve">  - On supported systems, isolates the heavy task to efficiency cores (macOS) or removes its access to Core 0/1 (Windows).</w:t>
        <w:br/>
        <w:t>This ensures that critical UI threads (explorer.exe, dwm.exe, csrss.exe) always receive CPU time, eliminating the 'Not Responding' experience.</w:t>
      </w:r>
    </w:p>
    <w:p>
      <w:pPr>
        <w:pStyle w:val="Heading2"/>
      </w:pPr>
      <w:r>
        <w:rPr>
          <w:rFonts w:ascii="Arial" w:hAnsi="Arial"/>
          <w:b/>
          <w:sz w:val="26"/>
        </w:rPr>
        <w:t>Elite User Experience &amp; Help System</w:t>
      </w:r>
    </w:p>
    <w:p>
      <w:pPr/>
      <w:r>
        <w:rPr>
          <w:rFonts w:ascii="Arial" w:hAnsi="Arial"/>
          <w:sz w:val="22"/>
        </w:rPr>
        <w:t>To ensure high user accessibility and low cognitive friction, the system implements an multi-tiered, in-app documentation framework described below:</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2"/>
              </w:rPr>
              <w:t>Format</w:t>
            </w:r>
          </w:p>
        </w:tc>
        <w:tc>
          <w:tcPr>
            <w:tcW w:type="dxa" w:w="3120"/>
          </w:tcPr>
          <w:p>
            <w:r>
              <w:rPr>
                <w:rFonts w:ascii="Arial" w:hAnsi="Arial"/>
                <w:b/>
                <w:sz w:val="22"/>
              </w:rPr>
              <w:t>Where</w:t>
            </w:r>
          </w:p>
        </w:tc>
        <w:tc>
          <w:tcPr>
            <w:tcW w:type="dxa" w:w="3120"/>
          </w:tcPr>
          <w:p>
            <w:r>
              <w:rPr>
                <w:rFonts w:ascii="Arial" w:hAnsi="Arial"/>
                <w:b/>
                <w:sz w:val="22"/>
              </w:rPr>
              <w:t>Content</w:t>
            </w:r>
          </w:p>
        </w:tc>
      </w:tr>
      <w:tr>
        <w:tc>
          <w:tcPr>
            <w:tcW w:type="dxa" w:w="3120"/>
          </w:tcPr>
          <w:p>
            <w:r>
              <w:rPr>
                <w:rFonts w:ascii="Arial" w:hAnsi="Arial"/>
                <w:sz w:val="20"/>
              </w:rPr>
              <w:t>Tooltips</w:t>
            </w:r>
          </w:p>
        </w:tc>
        <w:tc>
          <w:tcPr>
            <w:tcW w:type="dxa" w:w="3120"/>
          </w:tcPr>
          <w:p>
            <w:r>
              <w:rPr>
                <w:rFonts w:ascii="Arial" w:hAnsi="Arial"/>
                <w:sz w:val="20"/>
              </w:rPr>
              <w:t>Hover over any UI element (ⓘ icon)</w:t>
            </w:r>
          </w:p>
        </w:tc>
        <w:tc>
          <w:tcPr>
            <w:tcW w:type="dxa" w:w="3120"/>
          </w:tcPr>
          <w:p>
            <w:r>
              <w:rPr>
                <w:rFonts w:ascii="Arial" w:hAnsi="Arial"/>
                <w:sz w:val="20"/>
              </w:rPr>
              <w:t>1-sentence explanation</w:t>
            </w:r>
          </w:p>
        </w:tc>
      </w:tr>
      <w:tr>
        <w:tc>
          <w:tcPr>
            <w:tcW w:type="dxa" w:w="3120"/>
          </w:tcPr>
          <w:p>
            <w:r>
              <w:rPr>
                <w:rFonts w:ascii="Arial" w:hAnsi="Arial"/>
                <w:sz w:val="20"/>
              </w:rPr>
              <w:t>Quick Start Guide (1 page PDF)</w:t>
            </w:r>
          </w:p>
        </w:tc>
        <w:tc>
          <w:tcPr>
            <w:tcW w:type="dxa" w:w="3120"/>
          </w:tcPr>
          <w:p>
            <w:r>
              <w:rPr>
                <w:rFonts w:ascii="Arial" w:hAnsi="Arial"/>
                <w:sz w:val="20"/>
              </w:rPr>
              <w:t>In the installer folder or Help menu</w:t>
            </w:r>
          </w:p>
        </w:tc>
        <w:tc>
          <w:tcPr>
            <w:tcW w:type="dxa" w:w="3120"/>
          </w:tcPr>
          <w:p>
            <w:r>
              <w:rPr>
                <w:rFonts w:ascii="Arial" w:hAnsi="Arial"/>
                <w:sz w:val="20"/>
              </w:rPr>
              <w:t>5 steps: Install → Launch → Wait 60s → Toggle Auto-Pilot → Done</w:t>
            </w:r>
          </w:p>
        </w:tc>
      </w:tr>
      <w:tr>
        <w:tc>
          <w:tcPr>
            <w:tcW w:type="dxa" w:w="3120"/>
          </w:tcPr>
          <w:p>
            <w:r>
              <w:rPr>
                <w:rFonts w:ascii="Arial" w:hAnsi="Arial"/>
                <w:sz w:val="20"/>
              </w:rPr>
              <w:t>In-app "Help" sidebar</w:t>
            </w:r>
          </w:p>
        </w:tc>
        <w:tc>
          <w:tcPr>
            <w:tcW w:type="dxa" w:w="3120"/>
          </w:tcPr>
          <w:p>
            <w:r>
              <w:rPr>
                <w:rFonts w:ascii="Arial" w:hAnsi="Arial"/>
                <w:sz w:val="20"/>
              </w:rPr>
              <w:t>Click ❔ icon, slides out from right</w:t>
            </w:r>
          </w:p>
        </w:tc>
        <w:tc>
          <w:tcPr>
            <w:tcW w:type="dxa" w:w="3120"/>
          </w:tcPr>
          <w:p>
            <w:r>
              <w:rPr>
                <w:rFonts w:ascii="Arial" w:hAnsi="Arial"/>
                <w:sz w:val="20"/>
              </w:rPr>
              <w:t>FAQ: Why suspend not kill? What is whitelist? How to restore?</w:t>
            </w:r>
          </w:p>
        </w:tc>
      </w:tr>
      <w:tr>
        <w:tc>
          <w:tcPr>
            <w:tcW w:type="dxa" w:w="3120"/>
          </w:tcPr>
          <w:p>
            <w:r>
              <w:rPr>
                <w:rFonts w:ascii="Arial" w:hAnsi="Arial"/>
                <w:sz w:val="20"/>
              </w:rPr>
              <w:t>Video demo link</w:t>
            </w:r>
          </w:p>
        </w:tc>
        <w:tc>
          <w:tcPr>
            <w:tcW w:type="dxa" w:w="3120"/>
          </w:tcPr>
          <w:p>
            <w:r>
              <w:rPr>
                <w:rFonts w:ascii="Arial" w:hAnsi="Arial"/>
                <w:sz w:val="20"/>
              </w:rPr>
              <w:t>Help menu → "Watch 1-min demo"</w:t>
            </w:r>
          </w:p>
        </w:tc>
        <w:tc>
          <w:tcPr>
            <w:tcW w:type="dxa" w:w="3120"/>
          </w:tcPr>
          <w:p>
            <w:r>
              <w:rPr>
                <w:rFonts w:ascii="Arial" w:hAnsi="Arial"/>
                <w:sz w:val="20"/>
              </w:rPr>
              <w:t>YouTube unlisted or local MP4 (show live responsiveness)</w:t>
            </w:r>
          </w:p>
        </w:tc>
      </w:tr>
    </w:tbl>
    <w:p>
      <w:pPr/>
    </w:p>
    <w:p>
      <w:pPr/>
      <w:r>
        <w:rPr>
          <w:rFonts w:ascii="Arial" w:hAnsi="Arial"/>
          <w:b/>
          <w:i/>
          <w:sz w:val="22"/>
        </w:rPr>
        <w:t>Do NOT force the user to read a 20-page document. That is the opposite of an ‘elite’ user experience.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