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4E79"/>
          <w:sz w:val="28"/>
          <w:szCs w:val="28"/>
        </w:rPr>
        <w:t xml:space="preserve">KWAME NKRUMAH UNIVERSITY OF SCIENCE AND TECHNOLOGY</w:t>
      </w:r>
    </w:p>
    <w:p>
      <w:pPr>
        <w:spacing w:after="120"/>
        <w:jc w:val="center"/>
      </w:pPr>
      <w:r>
        <w:rPr>
          <w:rFonts w:ascii="Arial" w:cs="Arial" w:eastAsia="Arial" w:hAnsi="Arial"/>
          <w:i/>
          <w:iCs/>
          <w:color w:val="595959"/>
          <w:sz w:val="24"/>
          <w:szCs w:val="24"/>
        </w:rPr>
        <w:t xml:space="preserve">Faculty of Physical and Computational Sciences</w:t>
      </w:r>
    </w:p>
    <w:p>
      <w:pPr>
        <w:spacing w:after="800"/>
        <w:jc w:val="center"/>
      </w:pPr>
      <w:r>
        <w:rPr>
          <w:rFonts w:ascii="Arial" w:cs="Arial" w:eastAsia="Arial" w:hAnsi="Arial"/>
          <w:i/>
          <w:iCs/>
          <w:color w:val="595959"/>
          <w:sz w:val="24"/>
          <w:szCs w:val="24"/>
        </w:rPr>
        <w:t xml:space="preserve">Department of Computer Science</w:t>
      </w:r>
    </w:p>
    <w:p>
      <w:pPr>
        <w:spacing w:after="320"/>
        <w:jc w:val="center"/>
      </w:pPr>
      <w:r>
        <w:rPr>
          <w:rFonts w:ascii="Arial" w:cs="Arial" w:eastAsia="Arial" w:hAnsi="Arial"/>
          <w:b/>
          <w:bCs/>
          <w:color w:val="1F4E79"/>
          <w:sz w:val="40"/>
          <w:szCs w:val="40"/>
        </w:rPr>
        <w:t xml:space="preserve">AI Model Design, Training &amp; Quantization</w:t>
      </w:r>
    </w:p>
    <w:p>
      <w:pPr>
        <w:spacing w:after="800"/>
        <w:jc w:val="center"/>
      </w:pPr>
      <w:r>
        <w:rPr>
          <w:rFonts w:ascii="Arial" w:cs="Arial" w:eastAsia="Arial" w:hAnsi="Arial"/>
          <w:i/>
          <w:iCs/>
          <w:color w:val="2E75B6"/>
          <w:sz w:val="28"/>
          <w:szCs w:val="28"/>
        </w:rPr>
        <w:t xml:space="preserve">Technical Documentation — Module B</w:t>
      </w:r>
    </w:p>
    <w:p>
      <w:pPr>
        <w:spacing w:after="600"/>
        <w:jc w:val="center"/>
      </w:pPr>
      <w:r>
        <w:rPr>
          <w:rFonts w:ascii="Arial" w:cs="Arial" w:eastAsia="Arial" w:hAnsi="Arial"/>
          <w:color w:val="1A1A1A"/>
          <w:sz w:val="24"/>
          <w:szCs w:val="24"/>
        </w:rPr>
        <w:t xml:space="preserve">Project: Lightweight AI-Powered System Resource Optimizer</w:t>
      </w:r>
    </w:p>
    <w:p>
      <w:pPr>
        <w:spacing w:after="120"/>
        <w:jc w:val="center"/>
      </w:pPr>
      <w:r>
        <w:rPr>
          <w:rFonts w:ascii="Arial" w:cs="Arial" w:eastAsia="Arial" w:hAnsi="Arial"/>
          <w:b/>
          <w:bCs/>
          <w:color w:val="1F4E79"/>
          <w:sz w:val="24"/>
          <w:szCs w:val="24"/>
        </w:rPr>
        <w:t xml:space="preserve">Prepared by:</w:t>
      </w:r>
    </w:p>
    <w:p>
      <w:pPr>
        <w:spacing w:after="100"/>
        <w:jc w:val="center"/>
      </w:pPr>
      <w:r>
        <w:rPr>
          <w:rFonts w:ascii="Arial" w:cs="Arial" w:eastAsia="Arial" w:hAnsi="Arial"/>
          <w:color w:val="1A1A1A"/>
          <w:sz w:val="24"/>
          <w:szCs w:val="24"/>
        </w:rPr>
        <w:t xml:space="preserve">Lamptey Kwaku Abednego — 3398122</w:t>
      </w:r>
    </w:p>
    <w:p>
      <w:pPr>
        <w:spacing w:after="100"/>
        <w:jc w:val="center"/>
      </w:pPr>
      <w:r>
        <w:rPr>
          <w:rFonts w:ascii="Arial" w:cs="Arial" w:eastAsia="Arial" w:hAnsi="Arial"/>
          <w:color w:val="1A1A1A"/>
          <w:sz w:val="24"/>
          <w:szCs w:val="24"/>
        </w:rPr>
        <w:t xml:space="preserve">Tugbah Lily Ama Mawuena — 3416522</w:t>
      </w:r>
    </w:p>
    <w:p>
      <w:pPr>
        <w:spacing w:after="100"/>
        <w:jc w:val="center"/>
      </w:pPr>
      <w:r>
        <w:rPr>
          <w:rFonts w:ascii="Arial" w:cs="Arial" w:eastAsia="Arial" w:hAnsi="Arial"/>
          <w:color w:val="1A1A1A"/>
          <w:sz w:val="24"/>
          <w:szCs w:val="24"/>
        </w:rPr>
        <w:t xml:space="preserve">Korli Larry Addo — 3395922</w:t>
      </w:r>
    </w:p>
    <w:p>
      <w:pPr>
        <w:spacing w:after="400"/>
      </w:pPr>
      <w:r>
        <w:t xml:space="preserve"/>
      </w:r>
    </w:p>
    <w:p>
      <w:pPr>
        <w:jc w:val="center"/>
      </w:pPr>
      <w:r>
        <w:rPr>
          <w:rFonts w:ascii="Arial" w:cs="Arial" w:eastAsia="Arial" w:hAnsi="Arial"/>
          <w:color w:val="595959"/>
          <w:sz w:val="24"/>
          <w:szCs w:val="24"/>
        </w:rPr>
        <w:t xml:space="preserve">Date: March 2026</w:t>
      </w:r>
    </w:p>
    <w:p>
      <w:r>
        <w:br w:type="page"/>
      </w:r>
    </w:p>
    <w:p>
      <w:pPr>
        <w:pStyle w:val="Heading1"/>
        <w:spacing w:after="200" w:before="320"/>
      </w:pPr>
      <w:r>
        <w:t xml:space="preserve">1. Introduction</w:t>
      </w:r>
    </w:p>
    <w:p>
      <w:pPr>
        <w:spacing w:after="160"/>
      </w:pPr>
      <w:r>
        <w:rPr>
          <w:rFonts w:ascii="Arial" w:cs="Arial" w:eastAsia="Arial" w:hAnsi="Arial"/>
          <w:color w:val="1A1A1A"/>
          <w:sz w:val="24"/>
          <w:szCs w:val="24"/>
        </w:rPr>
        <w:t xml:space="preserve">This document details the design, mathematical formulation, training procedure, post-training quantization, and evaluation of the Gated Recurrent Unit (GRU) model used as the predictive engine of the Lightweight AI-Powered System Resource Optimizer. The model is responsible for analysing a 60-second rolling window of system telemetry and producing two outputs: a regression forecast of the next-step feature vector, and a binary confidence score estimating the probability that a resource bottleneck will occur within the next 30 seconds.</w:t>
      </w:r>
    </w:p>
    <w:p>
      <w:pPr>
        <w:spacing w:after="160"/>
      </w:pPr>
      <w:r>
        <w:rPr>
          <w:rFonts w:ascii="Arial" w:cs="Arial" w:eastAsia="Arial" w:hAnsi="Arial"/>
          <w:color w:val="1A1A1A"/>
          <w:sz w:val="24"/>
          <w:szCs w:val="24"/>
        </w:rPr>
        <w:t xml:space="preserve">The model architecture, training configuration, and quantization pipeline are implemented across two files: gru_model.py defines the PyTorch neural network, and train.py executes the full training, evaluation, and export workflow. The final deliverable of this module is a quantized ONNX model file (models/gru_quantized.onnx) consumed at runtime by the inference pipeline (Module C).</w:t>
      </w:r>
    </w:p>
    <w:p>
      <w:pPr>
        <w:spacing w:after="160"/>
      </w:pPr>
      <w:r>
        <w:t xml:space="preserve"/>
      </w:r>
    </w:p>
    <w:p>
      <w:pPr>
        <w:pStyle w:val="Heading1"/>
        <w:spacing w:after="200" w:before="320"/>
      </w:pPr>
      <w:r>
        <w:t xml:space="preserve">2. Model Selection: Why GRU?</w:t>
      </w:r>
    </w:p>
    <w:p>
      <w:pPr>
        <w:spacing w:after="160"/>
      </w:pPr>
      <w:r>
        <w:rPr>
          <w:rFonts w:ascii="Arial" w:cs="Arial" w:eastAsia="Arial" w:hAnsi="Arial"/>
          <w:color w:val="1A1A1A"/>
          <w:sz w:val="24"/>
          <w:szCs w:val="24"/>
        </w:rPr>
        <w:t xml:space="preserve">Three candidate architectures were evaluated against the project's primary constraint: the model must be lightweight enough to run inference at 1 Hz on a standard desktop CPU without exceeding 2% total CPU utilisation.</w:t>
      </w:r>
    </w:p>
    <w:p>
      <w:pPr>
        <w:spacing w:after="160"/>
      </w:pPr>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600"/>
        <w:gridCol w:w="220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Architecture</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Parameters (approx.)</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Inference Latency</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Sequential Suitability</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Selected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LSTM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~120K (hidden=64, L=2)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~8–15 ms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High — handles long dependencies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No — more parameters than needed</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GRU</w:t>
            </w:r>
          </w:p>
        </w:tc>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~80K (hidden=64, L=2)</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~5–10 ms</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High — comparable to LSTM with fewer gates</w:t>
            </w:r>
          </w:p>
        </w:tc>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 Yes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Transformer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~500K+ (4 heads)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~20–50 ms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Moderate — better for long sequences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No — excessive overhead</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1D-CNN</w:t>
            </w:r>
          </w:p>
        </w:tc>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~30K</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~2–4 ms</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Low — no temporal memory</w:t>
            </w:r>
          </w:p>
        </w:tc>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No — misses temporal dependencies</w:t>
            </w:r>
          </w:p>
        </w:tc>
      </w:tr>
    </w:tbl>
    <w:p>
      <w:pPr>
        <w:spacing w:after="200"/>
      </w:pPr>
      <w:r>
        <w:t xml:space="preserve"/>
      </w:r>
    </w:p>
    <w:p>
      <w:pPr>
        <w:spacing w:after="200"/>
      </w:pPr>
      <w:r>
        <w:rPr>
          <w:rFonts w:ascii="Arial" w:cs="Arial" w:eastAsia="Arial" w:hAnsi="Arial"/>
          <w:i/>
          <w:iCs/>
          <w:color w:val="595959"/>
          <w:sz w:val="22"/>
          <w:szCs w:val="22"/>
        </w:rPr>
        <w:t xml:space="preserve">Table 2.1: Candidate architecture comparison. Parameter counts are approximate for input size F=16, sequence length W=60.</w:t>
      </w:r>
    </w:p>
    <w:p>
      <w:pPr>
        <w:spacing w:after="160"/>
      </w:pPr>
      <w:r>
        <w:t xml:space="preserve"/>
      </w:r>
    </w:p>
    <w:p>
      <w:pPr>
        <w:spacing w:after="160"/>
      </w:pPr>
      <w:r>
        <w:rPr>
          <w:rFonts w:ascii="Arial" w:cs="Arial" w:eastAsia="Arial" w:hAnsi="Arial"/>
          <w:color w:val="1A1A1A"/>
          <w:sz w:val="24"/>
          <w:szCs w:val="24"/>
        </w:rPr>
        <w:t xml:space="preserve">The GRU was selected because it matches LSTM predictive accuracy on short-horizon time-series tasks while using approximately 25% fewer parameters due to its simplified gating mechanism (two gates versus three in LSTM). This directly reduces inference latency and memory footprint without sacrificing the temporal memory required to detect resource spike patterns.</w:t>
      </w:r>
    </w:p>
    <w:p>
      <w:pPr>
        <w:spacing w:after="160"/>
      </w:pPr>
      <w:r>
        <w:t xml:space="preserve"/>
      </w:r>
    </w:p>
    <w:p>
      <w:pPr>
        <w:pStyle w:val="Heading1"/>
        <w:spacing w:after="200" w:before="320"/>
      </w:pPr>
      <w:r>
        <w:t xml:space="preserve">3. GRU Mathematical Formulation</w:t>
      </w:r>
    </w:p>
    <w:p>
      <w:pPr>
        <w:spacing w:after="160"/>
      </w:pPr>
      <w:r>
        <w:rPr>
          <w:rFonts w:ascii="Arial" w:cs="Arial" w:eastAsia="Arial" w:hAnsi="Arial"/>
          <w:color w:val="1A1A1A"/>
          <w:sz w:val="24"/>
          <w:szCs w:val="24"/>
        </w:rPr>
        <w:t xml:space="preserve">A Gated Recurrent Unit processes a sequence of input vectors x₁, x₂, ..., xₜ and maintains a hidden state hₜ that summarises the temporal history seen so far. At each timestep t, the GRU computes three intermediate quantities.</w:t>
      </w:r>
    </w:p>
    <w:p>
      <w:pPr>
        <w:spacing w:after="160"/>
      </w:pPr>
      <w:r>
        <w:t xml:space="preserve"/>
      </w:r>
    </w:p>
    <w:p>
      <w:pPr>
        <w:pStyle w:val="Heading2"/>
        <w:spacing w:after="160" w:before="240"/>
      </w:pPr>
      <w:r>
        <w:t xml:space="preserve">3.1 Update Gate</w:t>
      </w:r>
    </w:p>
    <w:p>
      <w:pPr>
        <w:spacing w:after="160"/>
      </w:pPr>
      <w:r>
        <w:rPr>
          <w:rFonts w:ascii="Arial" w:cs="Arial" w:eastAsia="Arial" w:hAnsi="Arial"/>
          <w:color w:val="1A1A1A"/>
          <w:sz w:val="24"/>
          <w:szCs w:val="24"/>
        </w:rPr>
        <w:t xml:space="preserve">The update gate zₜ controls what fraction of the previous hidden state is carried forward versus replaced with new information:</w:t>
      </w:r>
    </w:p>
    <w:p>
      <w:pPr>
        <w:shd w:fill="F3F4F6" w:val="clear"/>
        <w:spacing w:after="80"/>
        <w:ind w:left="400"/>
      </w:pPr>
      <w:r>
        <w:rPr>
          <w:rFonts w:ascii="Courier New" w:cs="Courier New" w:eastAsia="Courier New" w:hAnsi="Courier New"/>
          <w:color w:val="1A1A2E"/>
          <w:sz w:val="20"/>
          <w:szCs w:val="20"/>
        </w:rPr>
        <w:t xml:space="preserve">zₜ = σ(Wz · [hₜ₋₁, xₜ] + bz)</w:t>
      </w:r>
    </w:p>
    <w:p>
      <w:pPr>
        <w:spacing w:after="160"/>
      </w:pPr>
      <w:r>
        <w:rPr>
          <w:rFonts w:ascii="Arial" w:cs="Arial" w:eastAsia="Arial" w:hAnsi="Arial"/>
          <w:color w:val="1A1A1A"/>
          <w:sz w:val="24"/>
          <w:szCs w:val="24"/>
        </w:rPr>
        <w:t xml:space="preserve">where σ is the sigmoid activation function, Wz is a learnable weight matrix, and bz is a bias vector. A value of zₜ ≈ 1 means the unit retains most of its previous state (useful for slowly-changing signals like temperature); zₜ ≈ 0 means the unit discards the past and focuses on the current input (useful for sudden CPU spikes).</w:t>
      </w:r>
    </w:p>
    <w:p>
      <w:pPr>
        <w:pStyle w:val="Heading2"/>
        <w:spacing w:after="160" w:before="240"/>
      </w:pPr>
      <w:r>
        <w:t xml:space="preserve">3.2 Reset Gate</w:t>
      </w:r>
    </w:p>
    <w:p>
      <w:pPr>
        <w:spacing w:after="160"/>
      </w:pPr>
      <w:r>
        <w:rPr>
          <w:rFonts w:ascii="Arial" w:cs="Arial" w:eastAsia="Arial" w:hAnsi="Arial"/>
          <w:color w:val="1A1A1A"/>
          <w:sz w:val="24"/>
          <w:szCs w:val="24"/>
        </w:rPr>
        <w:t xml:space="preserve">The reset gate rₜ determines how much of the past hidden state is used to compute the candidate state:</w:t>
      </w:r>
    </w:p>
    <w:p>
      <w:pPr>
        <w:shd w:fill="F3F4F6" w:val="clear"/>
        <w:spacing w:after="80"/>
        <w:ind w:left="400"/>
      </w:pPr>
      <w:r>
        <w:rPr>
          <w:rFonts w:ascii="Courier New" w:cs="Courier New" w:eastAsia="Courier New" w:hAnsi="Courier New"/>
          <w:color w:val="1A1A2E"/>
          <w:sz w:val="20"/>
          <w:szCs w:val="20"/>
        </w:rPr>
        <w:t xml:space="preserve">rₜ = σ(Wr · [hₜ₋₁, xₜ] + br)</w:t>
      </w:r>
    </w:p>
    <w:p>
      <w:pPr>
        <w:spacing w:after="160"/>
      </w:pPr>
      <w:r>
        <w:rPr>
          <w:rFonts w:ascii="Arial" w:cs="Arial" w:eastAsia="Arial" w:hAnsi="Arial"/>
          <w:color w:val="1A1A1A"/>
          <w:sz w:val="24"/>
          <w:szCs w:val="24"/>
        </w:rPr>
        <w:t xml:space="preserve">When rₜ ≈ 0, the unit effectively ignores the previous hidden state, allowing it to reset and respond to a new independent pattern — for example, a fresh workload starting after an idle period.</w:t>
      </w:r>
    </w:p>
    <w:p>
      <w:pPr>
        <w:pStyle w:val="Heading2"/>
        <w:spacing w:after="160" w:before="240"/>
      </w:pPr>
      <w:r>
        <w:t xml:space="preserve">3.3 Candidate Hidden State</w:t>
      </w:r>
    </w:p>
    <w:p>
      <w:pPr>
        <w:spacing w:after="160"/>
      </w:pPr>
      <w:r>
        <w:rPr>
          <w:rFonts w:ascii="Arial" w:cs="Arial" w:eastAsia="Arial" w:hAnsi="Arial"/>
          <w:color w:val="1A1A1A"/>
          <w:sz w:val="24"/>
          <w:szCs w:val="24"/>
        </w:rPr>
        <w:t xml:space="preserve">The candidate hidden state h̃ₜ is computed using the reset gate to selectively suppress past context:</w:t>
      </w:r>
    </w:p>
    <w:p>
      <w:pPr>
        <w:shd w:fill="F3F4F6" w:val="clear"/>
        <w:spacing w:after="80"/>
        <w:ind w:left="400"/>
      </w:pPr>
      <w:r>
        <w:rPr>
          <w:rFonts w:ascii="Courier New" w:cs="Courier New" w:eastAsia="Courier New" w:hAnsi="Courier New"/>
          <w:color w:val="1A1A2E"/>
          <w:sz w:val="20"/>
          <w:szCs w:val="20"/>
        </w:rPr>
        <w:t xml:space="preserve">h̃ₜ = tanh(Wh · [rₜ ⊙ hₜ₋₁, xₜ] + bh)</w:t>
      </w:r>
    </w:p>
    <w:p>
      <w:pPr>
        <w:pStyle w:val="Heading2"/>
        <w:spacing w:after="160" w:before="240"/>
      </w:pPr>
      <w:r>
        <w:t xml:space="preserve">3.4 Final Hidden State</w:t>
      </w:r>
    </w:p>
    <w:p>
      <w:pPr>
        <w:spacing w:after="160"/>
      </w:pPr>
      <w:r>
        <w:rPr>
          <w:rFonts w:ascii="Arial" w:cs="Arial" w:eastAsia="Arial" w:hAnsi="Arial"/>
          <w:color w:val="1A1A1A"/>
          <w:sz w:val="24"/>
          <w:szCs w:val="24"/>
        </w:rPr>
        <w:t xml:space="preserve">The final hidden state is an interpolation between the previous state and the candidate, controlled by the update gate:</w:t>
      </w:r>
    </w:p>
    <w:p>
      <w:pPr>
        <w:shd w:fill="F3F4F6" w:val="clear"/>
        <w:spacing w:after="80"/>
        <w:ind w:left="400"/>
      </w:pPr>
      <w:r>
        <w:rPr>
          <w:rFonts w:ascii="Courier New" w:cs="Courier New" w:eastAsia="Courier New" w:hAnsi="Courier New"/>
          <w:color w:val="1A1A2E"/>
          <w:sz w:val="20"/>
          <w:szCs w:val="20"/>
        </w:rPr>
        <w:t xml:space="preserve">hₜ = (1 − zₜ) ⊙ hₜ₋₁ + zₜ ⊙ h̃ₜ</w:t>
      </w:r>
    </w:p>
    <w:p>
      <w:pPr>
        <w:spacing w:after="160"/>
      </w:pPr>
      <w:r>
        <w:rPr>
          <w:rFonts w:ascii="Arial" w:cs="Arial" w:eastAsia="Arial" w:hAnsi="Arial"/>
          <w:color w:val="1A1A1A"/>
          <w:sz w:val="24"/>
          <w:szCs w:val="24"/>
        </w:rPr>
        <w:t xml:space="preserve">This formulation gives the GRU its ability to model both short-term fluctuations (via h̃ₜ) and long-term trends (via the carry-over term (1 − zₜ) ⊙ hₜ₋₁) in a single lightweight unit.</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1: GRU cell diagram showing update gate zₜ, reset gate rₜ, candidate state h̃ₜ, and final hidden state hₜ]</w:t>
      </w:r>
    </w:p>
    <w:p>
      <w:pPr>
        <w:spacing w:after="160"/>
      </w:pPr>
      <w:r>
        <w:t xml:space="preserve"/>
      </w:r>
    </w:p>
    <w:p>
      <w:pPr>
        <w:pStyle w:val="Heading1"/>
        <w:spacing w:after="200" w:before="320"/>
      </w:pPr>
      <w:r>
        <w:t xml:space="preserve">4. Model Architecture</w:t>
      </w:r>
    </w:p>
    <w:p>
      <w:pPr>
        <w:spacing w:after="160"/>
      </w:pPr>
      <w:r>
        <w:rPr>
          <w:rFonts w:ascii="Arial" w:cs="Arial" w:eastAsia="Arial" w:hAnsi="Arial"/>
          <w:color w:val="1A1A1A"/>
          <w:sz w:val="24"/>
          <w:szCs w:val="24"/>
        </w:rPr>
        <w:t xml:space="preserve">The ResourceGRU class implements a stacked GRU encoder followed by two independent output heads. The final hidden state of the last GRU layer (the representation of the full 60-second window) is fed into both heads simultaneously.</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800"/>
        <w:gridCol w:w="2400"/>
      </w:tblGrid>
      <w:tr>
        <w:trPr>
          <w:tblHeader/>
        </w:trPr>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Layer</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Type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Input Shape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Output Shape</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Notes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GRU Stack</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nn.GRU (2 layers)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 60, F)</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 60, 64)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dropout=0.2 between layers</w:t>
            </w:r>
          </w:p>
        </w:tc>
      </w:tr>
      <w:tr>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Last Hidden</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Slice [:, -1, :]</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 60, 64)</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 64)</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Only last timestep used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Reg FC-1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Linear + ReLU + Dropout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 64)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 32)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Regression head layer 1</w:t>
            </w:r>
          </w:p>
        </w:tc>
      </w:tr>
      <w:tr>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Reg FC-2</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Linear + Sigmoid</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 32)</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 F)</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Next-step forecast output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Clf FC-1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Linear + ReLU + Dropout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 64)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 32)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Classification head layer 1</w:t>
            </w:r>
          </w:p>
        </w:tc>
      </w:tr>
      <w:tr>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Clf FC-2</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Linear + Sigmoid</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 32)</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 1)</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Bottleneck confidence output</w:t>
            </w:r>
          </w:p>
        </w:tc>
      </w:tr>
    </w:tbl>
    <w:p>
      <w:pPr>
        <w:spacing w:after="200"/>
      </w:pPr>
      <w:r>
        <w:t xml:space="preserve"/>
      </w:r>
    </w:p>
    <w:p>
      <w:pPr>
        <w:spacing w:after="200"/>
      </w:pPr>
      <w:r>
        <w:rPr>
          <w:rFonts w:ascii="Arial" w:cs="Arial" w:eastAsia="Arial" w:hAnsi="Arial"/>
          <w:i/>
          <w:iCs/>
          <w:color w:val="595959"/>
          <w:sz w:val="22"/>
          <w:szCs w:val="22"/>
        </w:rPr>
        <w:t xml:space="preserve">Table 4.1: Layer-by-layer architecture. B = batch size, F = number of input features, hidden_size = 64.</w:t>
      </w:r>
    </w:p>
    <w:p>
      <w:pPr>
        <w:spacing w:after="160"/>
      </w:pPr>
      <w:r>
        <w:t xml:space="preserve"/>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2: ResourceGRU architecture diagram: GRU encoder → last hidden state → regression head (F outputs) + classification head (1 output)]</w:t>
      </w:r>
    </w:p>
    <w:p>
      <w:pPr>
        <w:spacing w:after="160"/>
      </w:pPr>
      <w:r>
        <w:t xml:space="preserve"/>
      </w:r>
    </w:p>
    <w:p>
      <w:pPr>
        <w:pStyle w:val="Heading1"/>
        <w:spacing w:after="200" w:before="320"/>
      </w:pPr>
      <w:r>
        <w:t xml:space="preserve">5. Training Configuration</w:t>
      </w:r>
    </w:p>
    <w:p>
      <w:pPr>
        <w:pStyle w:val="Heading2"/>
        <w:spacing w:after="160" w:before="240"/>
      </w:pPr>
      <w:r>
        <w:t xml:space="preserve">5.1 Loss Functions</w:t>
      </w:r>
    </w:p>
    <w:p>
      <w:pPr>
        <w:spacing w:after="160"/>
      </w:pPr>
      <w:r>
        <w:rPr>
          <w:rFonts w:ascii="Arial" w:cs="Arial" w:eastAsia="Arial" w:hAnsi="Arial"/>
          <w:color w:val="1A1A1A"/>
          <w:sz w:val="24"/>
          <w:szCs w:val="24"/>
        </w:rPr>
        <w:t xml:space="preserve">The model is trained with a composite loss that jointly optimises both heads in a single backward pass. The regression head uses Mean Squared Error (MSELoss), which penalises large forecast deviations quadratically. The classification head uses Binary Cross-Entropy (BCELoss), which is the standard loss for sigmoid-output binary classifiers. The total loss is the unweighted sum:</w:t>
      </w:r>
    </w:p>
    <w:p>
      <w:pPr>
        <w:shd w:fill="F3F4F6" w:val="clear"/>
        <w:spacing w:after="80"/>
        <w:ind w:left="400"/>
      </w:pPr>
      <w:r>
        <w:rPr>
          <w:rFonts w:ascii="Courier New" w:cs="Courier New" w:eastAsia="Courier New" w:hAnsi="Courier New"/>
          <w:color w:val="1A1A2E"/>
          <w:sz w:val="20"/>
          <w:szCs w:val="20"/>
        </w:rPr>
        <w:t xml:space="preserve">L_total = L_MSE(reg_out, y_reg) + L_BCE(clf_out, y_clf)</w:t>
      </w:r>
    </w:p>
    <w:p>
      <w:pPr>
        <w:spacing w:after="160"/>
      </w:pPr>
      <w:r>
        <w:rPr>
          <w:rFonts w:ascii="Arial" w:cs="Arial" w:eastAsia="Arial" w:hAnsi="Arial"/>
          <w:color w:val="1A1A1A"/>
          <w:sz w:val="24"/>
          <w:szCs w:val="24"/>
        </w:rPr>
        <w:t xml:space="preserve">Equal weighting was chosen as a starting point; the PATIENCE-based early stopping criterion uses the combined validation loss, ensuring neither head is systematically over-optimised at the expense of the other.</w:t>
      </w:r>
    </w:p>
    <w:p>
      <w:pPr>
        <w:pStyle w:val="Heading2"/>
        <w:spacing w:after="160" w:before="240"/>
      </w:pPr>
      <w:r>
        <w:t xml:space="preserve">5.2 Optimiser and Learning Rate Schedule</w:t>
      </w:r>
    </w:p>
    <w:p>
      <w:pPr>
        <w:spacing w:after="160"/>
      </w:pPr>
      <w:r>
        <w:rPr>
          <w:rFonts w:ascii="Arial" w:cs="Arial" w:eastAsia="Arial" w:hAnsi="Arial"/>
          <w:color w:val="1A1A1A"/>
          <w:sz w:val="24"/>
          <w:szCs w:val="24"/>
        </w:rPr>
        <w:t xml:space="preserve">The Adam optimiser (Adaptive Moment Estimation) is used with an initial learning rate of 0.001. Adam was selected over SGD for its adaptive per-parameter learning rates, which converge faster on the heterogeneous feature scales present in system telemetry. A ReduceLROnPlateau scheduler halves the learning rate whenever validation loss fails to improve for 5 consecutive epochs, preventing oscillation around the minimum.</w:t>
      </w:r>
    </w:p>
    <w:p>
      <w:pPr>
        <w:spacing w:after="160"/>
      </w:pPr>
      <w:r>
        <w:rPr>
          <w:rFonts w:ascii="Arial" w:cs="Arial" w:eastAsia="Arial" w:hAnsi="Arial"/>
          <w:color w:val="1A1A1A"/>
          <w:sz w:val="24"/>
          <w:szCs w:val="24"/>
        </w:rPr>
        <w:t xml:space="preserve">Gradient clipping (max_norm=1.0) is applied before each optimiser step to prevent exploding gradients, which are common in recurrent networks trained on sequences with abrupt transitions (e.g., an idle-to-gaming workload change).</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0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Hyperparameter</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Value</w:t>
            </w:r>
          </w:p>
        </w:tc>
        <w:tc>
          <w:tcPr>
            <w:tcW w:type="dxa" w:w="6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Justification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hidden_size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64</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Balance between capacity and inference speed</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num_layers</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2</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Two-layer stack captures temporal hierarchies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dropout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0.2</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Regularisation; prevents overfitting on limited data</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learning_rate</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0.001</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Standard Adam default; adjusted by scheduler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batch_size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64</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Fits comfortably in CPU RAM; stable gradient estimates</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max_epochs</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100</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Upper bound; early stopping typically triggers earlier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patience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10</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10 epochs without val improvement triggers early stop</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window_size W</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60 samples</w:t>
            </w:r>
          </w:p>
        </w:tc>
        <w:tc>
          <w:tcPr>
            <w:tcW w:type="dxa" w:w="6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60 seconds of history; captures workload ramp-up patterns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label_horizon 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30 samples</w:t>
            </w:r>
          </w:p>
        </w:tc>
        <w:tc>
          <w:tcPr>
            <w:tcW w:type="dxa" w:w="6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Predict 30 seconds ahead; actionable intervention window</w:t>
            </w:r>
          </w:p>
        </w:tc>
      </w:tr>
    </w:tbl>
    <w:p>
      <w:pPr>
        <w:spacing w:after="200"/>
      </w:pPr>
      <w:r>
        <w:t xml:space="preserve"/>
      </w:r>
    </w:p>
    <w:p>
      <w:pPr>
        <w:spacing w:after="200"/>
      </w:pPr>
      <w:r>
        <w:rPr>
          <w:rFonts w:ascii="Arial" w:cs="Arial" w:eastAsia="Arial" w:hAnsi="Arial"/>
          <w:i/>
          <w:iCs/>
          <w:color w:val="595959"/>
          <w:sz w:val="22"/>
          <w:szCs w:val="22"/>
        </w:rPr>
        <w:t xml:space="preserve">Table 5.1: Model training hyperparameters and their justifications.</w:t>
      </w:r>
    </w:p>
    <w:p>
      <w:pPr>
        <w:spacing w:after="160"/>
      </w:pPr>
      <w:r>
        <w:t xml:space="preserve"/>
      </w:r>
    </w:p>
    <w:p>
      <w:pPr>
        <w:pStyle w:val="Heading1"/>
        <w:spacing w:after="200" w:before="320"/>
      </w:pPr>
      <w:r>
        <w:t xml:space="preserve">6. Post-Training INT8 Quantization</w:t>
      </w:r>
    </w:p>
    <w:p>
      <w:pPr>
        <w:pStyle w:val="Heading2"/>
        <w:spacing w:after="160" w:before="240"/>
      </w:pPr>
      <w:r>
        <w:t xml:space="preserve">6.1 What Quantization Does</w:t>
      </w:r>
    </w:p>
    <w:p>
      <w:pPr>
        <w:spacing w:after="160"/>
      </w:pPr>
      <w:r>
        <w:rPr>
          <w:rFonts w:ascii="Arial" w:cs="Arial" w:eastAsia="Arial" w:hAnsi="Arial"/>
          <w:color w:val="1A1A1A"/>
          <w:sz w:val="24"/>
          <w:szCs w:val="24"/>
        </w:rPr>
        <w:t xml:space="preserve">After training, the model's weight tensors are stored as 32-bit floating-point numbers (FP32). Post-training dynamic quantization converts these weights to 8-bit signed integers (INT8) using a linear mapping:</w:t>
      </w:r>
    </w:p>
    <w:p>
      <w:pPr>
        <w:shd w:fill="F3F4F6" w:val="clear"/>
        <w:spacing w:after="80"/>
        <w:ind w:left="400"/>
      </w:pPr>
      <w:r>
        <w:rPr>
          <w:rFonts w:ascii="Courier New" w:cs="Courier New" w:eastAsia="Courier New" w:hAnsi="Courier New"/>
          <w:color w:val="1A1A2E"/>
          <w:sz w:val="20"/>
          <w:szCs w:val="20"/>
        </w:rPr>
        <w:t xml:space="preserve">W_int8 = round( W_fp32 / scale ) + zero_point</w:t>
      </w:r>
    </w:p>
    <w:p>
      <w:pPr>
        <w:spacing w:after="160"/>
      </w:pPr>
      <w:r>
        <w:rPr>
          <w:rFonts w:ascii="Arial" w:cs="Arial" w:eastAsia="Arial" w:hAnsi="Arial"/>
          <w:color w:val="1A1A1A"/>
          <w:sz w:val="24"/>
          <w:szCs w:val="24"/>
        </w:rPr>
        <w:t xml:space="preserve">where scale and zero_point are per-layer calibration constants computed from the range of the weight values. During inference, the ONNX runtime dequantizes weights back to FP32 on-the-fly for the matrix multiplications. This produces three concrete benefits: the model file size is reduced by approximately 70–75%, memory bandwidth requirements during inference drop significantly, and integer arithmetic executes faster than floating-point on CPUs that lack AVX-512 FP32 acceleration.</w:t>
      </w:r>
    </w:p>
    <w:p>
      <w:pPr>
        <w:pStyle w:val="Heading2"/>
        <w:spacing w:after="160" w:before="240"/>
      </w:pPr>
      <w:r>
        <w:t xml:space="preserve">6.2 Export and Quantization Pipeline</w:t>
      </w:r>
    </w:p>
    <w:p>
      <w:pPr>
        <w:spacing w:after="160"/>
      </w:pPr>
      <w:r>
        <w:rPr>
          <w:rFonts w:ascii="Arial" w:cs="Arial" w:eastAsia="Arial" w:hAnsi="Arial"/>
          <w:color w:val="1A1A1A"/>
          <w:sz w:val="24"/>
          <w:szCs w:val="24"/>
        </w:rPr>
        <w:t xml:space="preserve">The trained PyTorch model is first exported to ONNX format (gru_fp32.onnx) using torch.onnx.export with opset version 17. The ONNX graph is then passed to onnxruntime.quantization.quantize_dynamic(), which applies dynamic INT8 quantization to all linear and GRU weight matrices. The output file (gru_quantized.onnx) is the model loaded by the inference pipeline at runtime.</w:t>
      </w:r>
    </w:p>
    <w:p>
      <w:pPr>
        <w:spacing w:after="160"/>
      </w:pPr>
      <w:r>
        <w:t xml:space="preserve"/>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400"/>
        <w:gridCol w:w="280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Model Version</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File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Size (MB)</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Inference Latency</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Accuracy Loss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FP32 baseline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gru_fp32.onnx</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 ms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r>
      <w:tr>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INT8 quantized</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gru_quantized.onnx</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2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 ms</w:t>
            </w:r>
          </w:p>
        </w:tc>
        <w:tc>
          <w:tcPr>
            <w:tcW w:type="dxa" w:w="2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&lt; 1% typical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Size reduction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r>
    </w:tbl>
    <w:p>
      <w:pPr>
        <w:spacing w:after="200"/>
      </w:pPr>
      <w:r>
        <w:t xml:space="preserve"/>
      </w:r>
    </w:p>
    <w:p>
      <w:pPr>
        <w:spacing w:after="200"/>
      </w:pPr>
      <w:r>
        <w:rPr>
          <w:rFonts w:ascii="Arial" w:cs="Arial" w:eastAsia="Arial" w:hAnsi="Arial"/>
          <w:i/>
          <w:iCs/>
          <w:color w:val="595959"/>
          <w:sz w:val="22"/>
          <w:szCs w:val="22"/>
        </w:rPr>
        <w:t xml:space="preserve">Table 6.1: Model size and inference latency before and after INT8 quantization. Replace placeholders after measurement.</w:t>
      </w:r>
    </w:p>
    <w:p>
      <w:pPr>
        <w:spacing w:after="160"/>
      </w:pPr>
      <w:r>
        <w:t xml:space="preserve"/>
      </w:r>
    </w:p>
    <w:p>
      <w:pPr>
        <w:pStyle w:val="Heading1"/>
        <w:spacing w:after="200" w:before="320"/>
      </w:pPr>
      <w:r>
        <w:t xml:space="preserve">7. Evaluation Metrics and Results</w:t>
      </w:r>
    </w:p>
    <w:p>
      <w:pPr>
        <w:pStyle w:val="Heading2"/>
        <w:spacing w:after="160" w:before="240"/>
      </w:pPr>
      <w:r>
        <w:t xml:space="preserve">7.1 Regression Metrics (Forecasting Head)</w:t>
      </w:r>
    </w:p>
    <w:p>
      <w:pPr>
        <w:spacing w:after="160"/>
      </w:pPr>
      <w:r>
        <w:rPr>
          <w:rFonts w:ascii="Arial" w:cs="Arial" w:eastAsia="Arial" w:hAnsi="Arial"/>
          <w:color w:val="1A1A1A"/>
          <w:sz w:val="24"/>
          <w:szCs w:val="24"/>
        </w:rPr>
        <w:t xml:space="preserve">Mean Absolute Error (MAE) measures the average magnitude of forecast error in normalised units. Root Mean Squared Error (RMSE) applies a quadratic penalty to large errors, making it more sensitive to occasional severe mispredictions.</w:t>
      </w:r>
    </w:p>
    <w:p>
      <w:pPr>
        <w:pStyle w:val="Heading2"/>
        <w:spacing w:after="160" w:before="240"/>
      </w:pPr>
      <w:r>
        <w:t xml:space="preserve">7.2 Classification Metrics (Bottleneck Detection Head)</w:t>
      </w:r>
    </w:p>
    <w:p>
      <w:pPr>
        <w:spacing w:after="160"/>
      </w:pPr>
      <w:r>
        <w:rPr>
          <w:rFonts w:ascii="Arial" w:cs="Arial" w:eastAsia="Arial" w:hAnsi="Arial"/>
          <w:color w:val="1A1A1A"/>
          <w:sz w:val="24"/>
          <w:szCs w:val="24"/>
        </w:rPr>
        <w:t xml:space="preserve">Accuracy measures the proportion of correctly classified samples. The F1 Score is the harmonic mean of precision and recall, and is the primary classification metric given the expected class imbalance (bottleneck events are rare relative to normal operation). The AUC-ROC measures the model's ability to discriminate between bottleneck and non-bottleneck conditions across all confidence thresholds, independent of the chosen operating point.</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30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Metric</w:t>
            </w:r>
          </w:p>
        </w:tc>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Head</w:t>
            </w:r>
          </w:p>
        </w:tc>
        <w:tc>
          <w:tcPr>
            <w:tcW w:type="dxa" w:w="3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Formula</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Value (Test Set)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MAE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Regression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mean(|y_pred − y_true|)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RMSE</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Regression</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√mean((y_pred − y_true)²)</w:t>
            </w:r>
          </w:p>
        </w:tc>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Accuracy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Classification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correct / total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F1 Score</w:t>
            </w:r>
          </w:p>
        </w:tc>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Classification</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2 × (P × R) / (P + R)</w:t>
            </w:r>
          </w:p>
        </w:tc>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AUC-ROC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Classification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Area under ROC curve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r>
    </w:tbl>
    <w:p>
      <w:pPr>
        <w:spacing w:after="200"/>
      </w:pPr>
      <w:r>
        <w:t xml:space="preserve"/>
      </w:r>
    </w:p>
    <w:p>
      <w:pPr>
        <w:spacing w:after="200"/>
      </w:pPr>
      <w:r>
        <w:rPr>
          <w:rFonts w:ascii="Arial" w:cs="Arial" w:eastAsia="Arial" w:hAnsi="Arial"/>
          <w:i/>
          <w:iCs/>
          <w:color w:val="595959"/>
          <w:sz w:val="22"/>
          <w:szCs w:val="22"/>
        </w:rPr>
        <w:t xml:space="preserve">Table 7.1: Evaluation metrics. Replace [placeholder] with actual test-set values after training.</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tblHeader/>
        </w:trP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
            </w:r>
          </w:p>
        </w:tc>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Predicted Normal (0)</w:t>
            </w:r>
          </w:p>
        </w:tc>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Predicted Bottleneck (1)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Actual Normal (0)</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[TN — placeholder]</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[FP — placeholder]</w:t>
            </w:r>
          </w:p>
        </w:tc>
      </w:tr>
      <w:tr>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Actual Bottleneck (1)</w:t>
            </w:r>
          </w:p>
        </w:tc>
        <w:tc>
          <w:tcPr>
            <w:tcW w:type="dxa" w:w="3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[FN — placeholder]</w:t>
            </w:r>
          </w:p>
        </w:tc>
        <w:tc>
          <w:tcPr>
            <w:tcW w:type="dxa" w:w="3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[TP — placeholder]</w:t>
            </w:r>
          </w:p>
        </w:tc>
      </w:tr>
    </w:tbl>
    <w:p>
      <w:pPr>
        <w:spacing w:after="200"/>
      </w:pPr>
      <w:r>
        <w:t xml:space="preserve"/>
      </w:r>
    </w:p>
    <w:p>
      <w:pPr>
        <w:spacing w:after="200"/>
      </w:pPr>
      <w:r>
        <w:rPr>
          <w:rFonts w:ascii="Arial" w:cs="Arial" w:eastAsia="Arial" w:hAnsi="Arial"/>
          <w:i/>
          <w:iCs/>
          <w:color w:val="595959"/>
          <w:sz w:val="22"/>
          <w:szCs w:val="22"/>
        </w:rPr>
        <w:t xml:space="preserve">Table 7.2: Confusion matrix on the held-out test set. Replace placeholders with actual values after training.</w:t>
      </w:r>
    </w:p>
    <w:p>
      <w:pPr>
        <w:spacing w:after="160"/>
      </w:pPr>
      <w:r>
        <w:t xml:space="preserve"/>
      </w:r>
    </w:p>
    <w:p>
      <w:pPr>
        <w:pStyle w:val="Heading2"/>
        <w:spacing w:after="160" w:before="240"/>
      </w:pPr>
      <w:r>
        <w:t xml:space="preserve">7.3 Explainability — Confidence Score</w:t>
      </w:r>
    </w:p>
    <w:p>
      <w:pPr>
        <w:spacing w:after="160"/>
      </w:pPr>
      <w:r>
        <w:rPr>
          <w:rFonts w:ascii="Arial" w:cs="Arial" w:eastAsia="Arial" w:hAnsi="Arial"/>
          <w:color w:val="1A1A1A"/>
          <w:sz w:val="24"/>
          <w:szCs w:val="24"/>
        </w:rPr>
        <w:t xml:space="preserve">The confidence score displayed on the dashboard is the raw sigmoid output of the classification head, expressed as a percentage. A value of 85% means the model estimates an 85% probability that a resource bottleneck will occur within the next 30 seconds given the current 60-second window of telemetry. This value is passed directly from the InferenceEngine to the PipelineResult dataclass and displayed on the Explainable AI panel without any post-processing, ensuring full transparency of the model's decision-making.</w:t>
      </w:r>
    </w:p>
    <w:p>
      <w:pPr>
        <w:spacing w:after="160"/>
      </w:pPr>
      <w:r>
        <w:t xml:space="preserve"/>
      </w:r>
    </w:p>
    <w:p>
      <w:pPr>
        <w:pStyle w:val="Heading1"/>
        <w:spacing w:after="200" w:before="320"/>
      </w:pPr>
      <w:r>
        <w:t xml:space="preserve">8. References</w:t>
      </w:r>
    </w:p>
    <w:p>
      <w:pPr>
        <w:spacing w:after="160"/>
      </w:pPr>
      <w:r>
        <w:rPr>
          <w:rFonts w:ascii="Arial" w:cs="Arial" w:eastAsia="Arial" w:hAnsi="Arial"/>
          <w:color w:val="1A1A1A"/>
          <w:sz w:val="24"/>
          <w:szCs w:val="24"/>
        </w:rPr>
        <w:t xml:space="preserve">[1] Cho, K., van Merrienboer, B., Gulcehre, C., Bahdanau, D., Bougares, F., Schwenk, H., &amp; Bengio, Y. (2014). Learning Phrase Representations using RNN Encoder-Decoder for Statistical Machine Translation. EMNLP 2014.</w:t>
      </w:r>
    </w:p>
    <w:p>
      <w:pPr>
        <w:spacing w:after="160"/>
      </w:pPr>
      <w:r>
        <w:rPr>
          <w:rFonts w:ascii="Arial" w:cs="Arial" w:eastAsia="Arial" w:hAnsi="Arial"/>
          <w:color w:val="1A1A1A"/>
          <w:sz w:val="24"/>
          <w:szCs w:val="24"/>
        </w:rPr>
        <w:t xml:space="preserve">[2] Chung, J., Gulcehre, C., Cho, K., &amp; Bengio, Y. (2014). Empirical Evaluation of Gated Recurrent Neural Networks on Sequence Modeling. NIPS 2014 Deep Learning Workshop.</w:t>
      </w:r>
    </w:p>
    <w:p>
      <w:pPr>
        <w:spacing w:after="160"/>
      </w:pPr>
      <w:r>
        <w:rPr>
          <w:rFonts w:ascii="Arial" w:cs="Arial" w:eastAsia="Arial" w:hAnsi="Arial"/>
          <w:color w:val="1A1A1A"/>
          <w:sz w:val="24"/>
          <w:szCs w:val="24"/>
        </w:rPr>
        <w:t xml:space="preserve">[3] Kingma, D. P., &amp; Ba, J. (2015). Adam: A Method for Stochastic Optimization. ICLR 2015.</w:t>
      </w:r>
    </w:p>
    <w:p>
      <w:pPr>
        <w:spacing w:after="160"/>
      </w:pPr>
      <w:r>
        <w:rPr>
          <w:rFonts w:ascii="Arial" w:cs="Arial" w:eastAsia="Arial" w:hAnsi="Arial"/>
          <w:color w:val="1A1A1A"/>
          <w:sz w:val="24"/>
          <w:szCs w:val="24"/>
        </w:rPr>
        <w:t xml:space="preserve">[4] Jacob, B. et al. (2018). Quantization and Training of Neural Networks for Efficient Integer-Arithmetic-Only Inference. CVPR 2018.</w:t>
      </w:r>
    </w:p>
    <w:p>
      <w:pPr>
        <w:spacing w:after="160"/>
      </w:pPr>
      <w:r>
        <w:rPr>
          <w:rFonts w:ascii="Arial" w:cs="Arial" w:eastAsia="Arial" w:hAnsi="Arial"/>
          <w:color w:val="1A1A1A"/>
          <w:sz w:val="24"/>
          <w:szCs w:val="24"/>
        </w:rPr>
        <w:t xml:space="preserve">[5] ONNX Runtime Contributors. (2024). ONNX Runtime Quantization. https://onnxruntime.ai/docs/performance/model-optimizations/quantization.html</w:t>
      </w:r>
    </w:p>
    <w:p>
      <w:pPr>
        <w:spacing w:after="160"/>
      </w:pPr>
      <w:r>
        <w:rPr>
          <w:rFonts w:ascii="Arial" w:cs="Arial" w:eastAsia="Arial" w:hAnsi="Arial"/>
          <w:color w:val="1A1A1A"/>
          <w:sz w:val="24"/>
          <w:szCs w:val="24"/>
        </w:rPr>
        <w:t xml:space="preserve">[6] Paszke, A. et al. (2019). PyTorch: An Imperative Style, High-Performance Deep Learning Library. NeurIPS 2019.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jc w:val="center"/>
    </w:pPr>
    <w:r>
      <w:rPr>
        <w:rFonts w:ascii="Arial" w:cs="Arial" w:eastAsia="Arial" w:hAnsi="Arial"/>
        <w:color w:val="595959"/>
        <w:sz w:val="18"/>
        <w:szCs w:val="18"/>
      </w:rPr>
      <w:t xml:space="preserve">Lightweight AI-Powered System Resource Optimizer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pPr>
    <w:r>
      <w:rPr>
        <w:rFonts w:ascii="Arial" w:cs="Arial" w:eastAsia="Arial" w:hAnsi="Arial"/>
        <w:color w:val="595959"/>
        <w:sz w:val="18"/>
        <w:szCs w:val="18"/>
      </w:rPr>
      <w:t xml:space="preserve">KNUST Final Year Project — Group 4  |  AI Model Design, Training &amp; Quantization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2026-05-12T10:33:31.486Z</dcterms:created>
  <dcterms:modified xsi:type="dcterms:W3CDTF">2026-05-12T10:33:31.503Z</dcterms:modified>
</cp:coreProperties>
</file>

<file path=docProps/custom.xml><?xml version="1.0" encoding="utf-8"?>
<Properties xmlns="http://schemas.openxmlformats.org/officeDocument/2006/custom-properties" xmlns:vt="http://schemas.openxmlformats.org/officeDocument/2006/docPropsVTypes"/>
</file>