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F4E79"/>
          <w:sz w:val="28"/>
          <w:szCs w:val="28"/>
        </w:rPr>
        <w:t xml:space="preserve">KWAME NKRUMAH UNIVERSITY OF SCIENCE AND TECHNOLOGY</w:t>
      </w:r>
    </w:p>
    <w:p>
      <w:pPr>
        <w:spacing w:after="120"/>
        <w:jc w:val="center"/>
      </w:pPr>
      <w:r>
        <w:rPr>
          <w:rFonts w:ascii="Arial" w:cs="Arial" w:eastAsia="Arial" w:hAnsi="Arial"/>
          <w:i/>
          <w:iCs/>
          <w:color w:val="595959"/>
          <w:sz w:val="24"/>
          <w:szCs w:val="24"/>
        </w:rPr>
        <w:t xml:space="preserve">Faculty of Physical and Computational Sciences</w:t>
      </w:r>
    </w:p>
    <w:p>
      <w:pPr>
        <w:spacing w:after="800"/>
        <w:jc w:val="center"/>
      </w:pPr>
      <w:r>
        <w:rPr>
          <w:rFonts w:ascii="Arial" w:cs="Arial" w:eastAsia="Arial" w:hAnsi="Arial"/>
          <w:i/>
          <w:iCs/>
          <w:color w:val="595959"/>
          <w:sz w:val="24"/>
          <w:szCs w:val="24"/>
        </w:rPr>
        <w:t xml:space="preserve">Department of Computer Science</w:t>
      </w:r>
    </w:p>
    <w:p>
      <w:pPr>
        <w:spacing w:after="320"/>
        <w:jc w:val="center"/>
      </w:pPr>
      <w:r>
        <w:rPr>
          <w:rFonts w:ascii="Arial" w:cs="Arial" w:eastAsia="Arial" w:hAnsi="Arial"/>
          <w:b/>
          <w:bCs/>
          <w:color w:val="1F4E79"/>
          <w:sz w:val="40"/>
          <w:szCs w:val="40"/>
        </w:rPr>
        <w:t xml:space="preserve">User Interface Design &amp; Implementation</w:t>
      </w:r>
    </w:p>
    <w:p>
      <w:pPr>
        <w:spacing w:after="800"/>
        <w:jc w:val="center"/>
      </w:pPr>
      <w:r>
        <w:rPr>
          <w:rFonts w:ascii="Arial" w:cs="Arial" w:eastAsia="Arial" w:hAnsi="Arial"/>
          <w:i/>
          <w:iCs/>
          <w:color w:val="2E75B6"/>
          <w:sz w:val="28"/>
          <w:szCs w:val="28"/>
        </w:rPr>
        <w:t xml:space="preserve">Technical Documentation — Module D</w:t>
      </w:r>
    </w:p>
    <w:p>
      <w:pPr>
        <w:spacing w:after="600"/>
        <w:jc w:val="center"/>
      </w:pPr>
      <w:r>
        <w:rPr>
          <w:rFonts w:ascii="Arial" w:cs="Arial" w:eastAsia="Arial" w:hAnsi="Arial"/>
          <w:color w:val="1A1A1A"/>
          <w:sz w:val="24"/>
          <w:szCs w:val="24"/>
        </w:rPr>
        <w:t xml:space="preserve">Project: Lightweight AI-Powered System Resource Optimizer</w:t>
      </w:r>
    </w:p>
    <w:p>
      <w:pPr>
        <w:spacing w:after="120"/>
        <w:jc w:val="center"/>
      </w:pPr>
      <w:r>
        <w:rPr>
          <w:rFonts w:ascii="Arial" w:cs="Arial" w:eastAsia="Arial" w:hAnsi="Arial"/>
          <w:b/>
          <w:bCs/>
          <w:color w:val="1F4E79"/>
          <w:sz w:val="24"/>
          <w:szCs w:val="24"/>
        </w:rPr>
        <w:t xml:space="preserve">Prepared by:</w:t>
      </w:r>
    </w:p>
    <w:p>
      <w:pPr>
        <w:spacing w:after="100"/>
        <w:jc w:val="center"/>
      </w:pPr>
      <w:r>
        <w:rPr>
          <w:rFonts w:ascii="Arial" w:cs="Arial" w:eastAsia="Arial" w:hAnsi="Arial"/>
          <w:color w:val="1A1A1A"/>
          <w:sz w:val="24"/>
          <w:szCs w:val="24"/>
        </w:rPr>
        <w:t xml:space="preserve">Lamptey Kwaku Abednego — 3398122</w:t>
      </w:r>
    </w:p>
    <w:p>
      <w:pPr>
        <w:spacing w:after="100"/>
        <w:jc w:val="center"/>
      </w:pPr>
      <w:r>
        <w:rPr>
          <w:rFonts w:ascii="Arial" w:cs="Arial" w:eastAsia="Arial" w:hAnsi="Arial"/>
          <w:color w:val="1A1A1A"/>
          <w:sz w:val="24"/>
          <w:szCs w:val="24"/>
        </w:rPr>
        <w:t xml:space="preserve">Tugbah Lily Ama Mawuena — 3416522</w:t>
      </w:r>
    </w:p>
    <w:p>
      <w:pPr>
        <w:spacing w:after="400"/>
        <w:jc w:val="center"/>
      </w:pPr>
      <w:r>
        <w:rPr>
          <w:rFonts w:ascii="Arial" w:cs="Arial" w:eastAsia="Arial" w:hAnsi="Arial"/>
          <w:color w:val="1A1A1A"/>
          <w:sz w:val="24"/>
          <w:szCs w:val="24"/>
        </w:rPr>
        <w:t xml:space="preserve">Korli Larry Addo — 3395922</w:t>
      </w:r>
    </w:p>
    <w:p>
      <w:pPr>
        <w:jc w:val="center"/>
      </w:pPr>
      <w:r>
        <w:rPr>
          <w:rFonts w:ascii="Arial" w:cs="Arial" w:eastAsia="Arial" w:hAnsi="Arial"/>
          <w:color w:val="595959"/>
          <w:sz w:val="24"/>
          <w:szCs w:val="24"/>
        </w:rPr>
        <w:t xml:space="preserve">Date: March 2026</w:t>
      </w:r>
    </w:p>
    <w:p>
      <w:r>
        <w:br w:type="page"/>
      </w:r>
    </w:p>
    <w:p>
      <w:pPr>
        <w:pStyle w:val="Heading1"/>
        <w:spacing w:after="200" w:before="320"/>
      </w:pPr>
      <w:r>
        <w:t xml:space="preserve">1. Introduction</w:t>
      </w:r>
    </w:p>
    <w:p>
      <w:pPr>
        <w:spacing w:after="160"/>
      </w:pPr>
      <w:r>
        <w:rPr>
          <w:rFonts w:ascii="Arial" w:cs="Arial" w:eastAsia="Arial" w:hAnsi="Arial"/>
          <w:color w:val="1A1A1A"/>
          <w:sz w:val="24"/>
          <w:szCs w:val="24"/>
        </w:rPr>
        <w:t>This document describes the design, architecture, and implementation of the Flet-based desktop dashboard for the Lightweight AI-Powered System Resource Optimizer. The user interface is the primary means through which the user perceives system health, receives AI-driven predictions, and exercises control over automated process management.</w:t>
      </w:r>
    </w:p>
    <w:p>
      <w:pPr>
        <w:spacing w:after="160"/>
      </w:pPr>
      <w:r>
        <w:rPr>
          <w:rFonts w:ascii="Arial" w:cs="Arial" w:eastAsia="Arial" w:hAnsi="Arial"/>
          <w:color w:val="1A1A1A"/>
          <w:sz w:val="24"/>
          <w:szCs w:val="24"/>
        </w:rPr>
        <w:t>The dashboard is implemented in src/main.py and communicates with the backend pipeline via a thread-safe Queue and Flet's asynchronous update loop. It was designed to satisfy three principles: real-time responsiveness without blocking the pipeline, visual clarity that communicates AI confidence and system state at a glance, and minimal cognitive load so users can make decisions quickly.</w:t>
      </w:r>
    </w:p>
    <w:p>
      <w:pPr>
        <w:spacing w:after="160"/>
      </w:pPr>
      <w:r>
        <w:t xml:space="preserve"/>
      </w:r>
    </w:p>
    <w:p>
      <w:pPr>
        <w:pStyle w:val="Heading1"/>
        <w:spacing w:after="200" w:before="320"/>
      </w:pPr>
      <w:r>
        <w:t>2. Framework Justification: Flet</w:t>
      </w:r>
    </w:p>
    <w:p>
      <w:pPr>
        <w:spacing w:after="160"/>
      </w:pPr>
      <w:r>
        <w:rPr>
          <w:rFonts w:ascii="Arial" w:cs="Arial" w:eastAsia="Arial" w:hAnsi="Arial"/>
          <w:color w:val="1A1A1A"/>
          <w:sz w:val="24"/>
          <w:szCs w:val="24"/>
        </w:rPr>
        <w:t xml:space="preserve">The user interface framework was selected after evaluating four candidates against the requirements of a Windows desktop application with real-time charting, system tray integration, and professional visual presentation.</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800"/>
        <w:gridCol w:w="2000"/>
        <w:gridCol w:w="160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Framework</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Charting</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Tray</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Windows Native</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Design</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Selected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Flet (Flutter)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Canvas-based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Yes (via backup)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Excellent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Sleek Modern Dashboard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Yes</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Tkinter</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None</w:t>
            </w:r>
          </w:p>
        </w:tc>
        <w:tc>
          <w:tcPr>
            <w:tcW w:type="dxa" w:w="1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Partial</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Poor</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Dated</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No — unprofessional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Electron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Full (D3)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Yes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Moderate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Modern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No — 200MB+ overhead</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PyQt6 + PyQtGraph</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GPU-accelerated</w:t>
            </w:r>
          </w:p>
        </w:tc>
        <w:tc>
          <w:tcPr>
            <w:tcW w:type="dxa" w:w="1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Yes</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Excellent</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Fully customisable</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Backup</w:t>
            </w:r>
          </w:p>
        </w:tc>
      </w:tr>
    </w:tbl>
    <w:p>
      <w:pPr>
        <w:spacing w:after="200"/>
      </w:pPr>
      <w:r>
        <w:t xml:space="preserve"/>
      </w:r>
    </w:p>
    <w:p>
      <w:pPr>
        <w:spacing w:after="200"/>
      </w:pPr>
      <w:r>
        <w:rPr>
          <w:rFonts w:ascii="Arial" w:cs="Arial" w:eastAsia="Arial" w:hAnsi="Arial"/>
          <w:i/>
          <w:iCs/>
          <w:color w:val="595959"/>
          <w:sz w:val="22"/>
          <w:szCs w:val="22"/>
        </w:rPr>
        <w:t>Table 2.1: UI framework comparison. Flet selected for modern responsive dashboard layout, sleek dark design, and cross-platform native execution.</w:t>
      </w:r>
    </w:p>
    <w:p>
      <w:pPr>
        <w:spacing w:after="160"/>
      </w:pPr>
      <w:r>
        <w:t xml:space="preserve"/>
      </w:r>
    </w:p>
    <w:p>
      <w:pPr>
        <w:spacing w:after="160"/>
      </w:pPr>
      <w:r>
        <w:rPr>
          <w:rFonts w:ascii="Arial" w:cs="Arial" w:eastAsia="Arial" w:hAnsi="Arial"/>
          <w:color w:val="1A1A1A"/>
          <w:sz w:val="24"/>
          <w:szCs w:val="24"/>
        </w:rPr>
        <w:t>Flet is built on Flutter's high-performance graphics engine, allowing it to render extremely smooth, modern, and beautiful user interfaces that feel state-of-the-art. In contrast to older frameworks like Tkinter or PyQt6 which look dated unless highly customized, Flet provides a premium out-of-the-box user experience featuring clean layouts, smooth animations, and a responsive grid system. Since this project is evaluated as a final year academic portfolio, the modern visual aesthetics, dark glassmorphism effects, and premium dashboard design of Flet strongly enhance the project's overall presentation, while its multi-threaded async Queue architecture ensures lightweight, thread-safe operation under 2% CPU overhead.</w:t>
      </w:r>
    </w:p>
    <w:p>
      <w:pPr>
        <w:spacing w:after="160"/>
      </w:pPr>
      <w:r>
        <w:t xml:space="preserve"/>
      </w:r>
    </w:p>
    <w:p>
      <w:pPr>
        <w:pStyle w:val="Heading1"/>
        <w:spacing w:after="200" w:before="320"/>
      </w:pPr>
      <w:r>
        <w:t xml:space="preserve">3. Component Architecture</w:t>
      </w:r>
    </w:p>
    <w:p>
      <w:pPr>
        <w:spacing w:after="160"/>
      </w:pPr>
      <w:r>
        <w:rPr>
          <w:rFonts w:ascii="Arial" w:cs="Arial" w:eastAsia="Arial" w:hAnsi="Arial"/>
          <w:color w:val="1A1A1A"/>
          <w:sz w:val="24"/>
          <w:szCs w:val="24"/>
        </w:rPr>
        <w:t>The dashboard is structured as a responsive Flet window containing a left-hand navigation sidebar and a main content area. The main area uses a responsive layout dividing the Circular AI Gauge (top-left) and Metric Tiles (top-right) from the Canvas-based rolling charts (middle) and Running Processes DataTable (bottom). The right-hand column houses manual controls, suspended processes, and system logs.</w:t>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1: Dashboard layout: Header bar (top) + Splitter with Left panel (charts, metric cards, process table) and Right sidebar (AI panel, buttons, suspended list, event log)]</w:t>
      </w:r>
    </w:p>
    <w:p>
      <w:pPr>
        <w:spacing w:after="16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600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Class</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Base</w:t>
            </w:r>
          </w:p>
        </w:tc>
        <w:tc>
          <w:tcPr>
            <w:tcW w:type="dxa" w:w="6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Responsibility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DashboardUI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ft.Page / custom shell</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Root Flet UI controller; coordinates pages and updates Flet controls</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MetricTile</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ft.Container wrapper</w:t>
            </w:r>
          </w:p>
        </w:tc>
        <w:tc>
          <w:tcPr>
            <w:tcW w:type="dxa" w:w="6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Displays one metric: title, live value, and progress indicator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RollingChart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ft.canvas.Canvas</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Real-time 120-sample Canvas-drawn scrolling line chart with threshold boundary</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Circular Gauge Ring</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ft.ProgressRing</w:t>
            </w:r>
          </w:p>
        </w:tc>
        <w:tc>
          <w:tcPr>
            <w:tcW w:type="dxa" w:w="6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Circular gauge ring displaying AI confidence and system prediction insight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Event Log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ft.ListView</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Scrollable event log; displays active system actions with severity coloring</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Queue / poll_queues</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queue.Queue &amp; Thread</w:t>
            </w:r>
          </w:p>
        </w:tc>
        <w:tc>
          <w:tcPr>
            <w:tcW w:type="dxa" w:w="6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t>Thread-safe Queue and async task scheduler for seamless UI updates</w:t>
            </w:r>
          </w:p>
        </w:tc>
      </w:tr>
    </w:tbl>
    <w:p>
      <w:pPr>
        <w:spacing w:after="200"/>
      </w:pPr>
      <w:r>
        <w:t xml:space="preserve"/>
      </w:r>
    </w:p>
    <w:p>
      <w:pPr>
        <w:spacing w:after="200"/>
      </w:pPr>
      <w:r>
        <w:rPr>
          <w:rFonts w:ascii="Arial" w:cs="Arial" w:eastAsia="Arial" w:hAnsi="Arial"/>
          <w:i/>
          <w:iCs/>
          <w:color w:val="595959"/>
          <w:sz w:val="22"/>
          <w:szCs w:val="22"/>
        </w:rPr>
        <w:t xml:space="preserve">Table 3.1: Dashboard component summary.</w:t>
      </w:r>
    </w:p>
    <w:p>
      <w:pPr>
        <w:spacing w:after="160"/>
      </w:pPr>
      <w:r>
        <w:t xml:space="preserve"/>
      </w:r>
    </w:p>
    <w:p>
      <w:pPr>
        <w:pStyle w:val="Heading1"/>
        <w:spacing w:after="200" w:before="320"/>
      </w:pPr>
      <w:r>
        <w:t xml:space="preserve">4. Real-Time Update Architecture</w:t>
      </w:r>
    </w:p>
    <w:p>
      <w:pPr>
        <w:pStyle w:val="Heading2"/>
        <w:spacing w:after="160" w:before="240"/>
      </w:pPr>
      <w:r>
        <w:t>4.1 Thread-Safe Queue and Async Poll Engine</w:t>
      </w:r>
    </w:p>
    <w:p>
      <w:pPr>
        <w:spacing w:after="160"/>
      </w:pPr>
      <w:r>
        <w:rPr>
          <w:rFonts w:ascii="Arial" w:cs="Arial" w:eastAsia="Arial" w:hAnsi="Arial"/>
          <w:color w:val="1A1A1A"/>
          <w:sz w:val="24"/>
          <w:szCs w:val="24"/>
        </w:rPr>
        <w:t>Flet strictly prohibits direct UI updates from separate background threads. The pipeline runs on a background daemon thread and produces PipelineResult objects at 1 Hz. A thread-safe Queue is utilized to pass these results to the main thread. A background polling thread (poll_queues) constantly monitors the queue; when new results are detected, it schedules a UI update (flush_ui) using Flet's asynchronous thread-safe task runner (page.run_task), which safely refreshes the Flet controls on the main event loop.</w:t>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2: Thread communication: Pipeline Thread calls on_result() → PipelineBridge emits signal → Qt queues delivery → MainWindow._on_result() executes on Main Thread]</w:t>
      </w:r>
    </w:p>
    <w:p>
      <w:pPr>
        <w:spacing w:after="160"/>
      </w:pPr>
      <w:r>
        <w:t xml:space="preserve"/>
      </w:r>
    </w:p>
    <w:p>
      <w:pPr>
        <w:pStyle w:val="Heading2"/>
        <w:spacing w:after="160" w:before="240"/>
      </w:pPr>
      <w:r>
        <w:t>4.2 Flet Canvas Real-Time Charts</w:t>
      </w:r>
    </w:p>
    <w:p>
      <w:pPr>
        <w:spacing w:after="160"/>
      </w:pPr>
      <w:r>
        <w:rPr>
          <w:rFonts w:ascii="Arial" w:cs="Arial" w:eastAsia="Arial" w:hAnsi="Arial"/>
          <w:color w:val="1A1A1A"/>
          <w:sz w:val="24"/>
          <w:szCs w:val="24"/>
        </w:rPr>
        <w:t>Each RollingChart maintains a collections.deque(maxlen=120) storing 2 minutes of data. On each pipeline result, the new value is appended and Flet's Canvas-based path updates. Chart line color dynamically transitions: green (#00C896) below 65%, amber (#F0A500) at 65-84%, and red (#E05C5C) at 85%+. A horizontal threshold boundary visually marks the danger area.</w:t>
      </w:r>
    </w:p>
    <w:p>
      <w:pPr>
        <w:pStyle w:val="Heading2"/>
        <w:spacing w:after="160" w:before="240"/>
      </w:pPr>
      <w:r>
        <w:t xml:space="preserve">4.3 Process Table Refresh</w:t>
      </w:r>
    </w:p>
    <w:p>
      <w:pPr>
        <w:spacing w:after="160"/>
      </w:pPr>
      <w:r>
        <w:rPr>
          <w:rFonts w:ascii="Arial" w:cs="Arial" w:eastAsia="Arial" w:hAnsi="Arial"/>
          <w:color w:val="1A1A1A"/>
          <w:sz w:val="24"/>
          <w:szCs w:val="24"/>
        </w:rPr>
        <w:t>A separate polling thread (poll_processes) fires every 3 seconds to refresh the top-20 processes DataTable. This slower rate reduces visual noise while providing actionable process information. Suspended processes are displayed in a dedicated suspended table. The polling is intentionally decoupled from the pipeline rate to prevent UI jitter.</w:t>
      </w:r>
    </w:p>
    <w:p>
      <w:pPr>
        <w:spacing w:after="160"/>
      </w:pPr>
      <w:r>
        <w:t xml:space="preserve"/>
      </w:r>
    </w:p>
    <w:p>
      <w:pPr>
        <w:pStyle w:val="Heading1"/>
        <w:spacing w:after="200" w:before="320"/>
      </w:pPr>
      <w:r>
        <w:t xml:space="preserve">5. Design Token System</w:t>
      </w:r>
    </w:p>
    <w:p>
      <w:pPr>
        <w:spacing w:after="160"/>
      </w:pPr>
      <w:r>
        <w:rPr>
          <w:rFonts w:ascii="Arial" w:cs="Arial" w:eastAsia="Arial" w:hAnsi="Arial"/>
          <w:color w:val="1A1A1A"/>
          <w:sz w:val="24"/>
          <w:szCs w:val="24"/>
        </w:rPr>
        <w:t>The visual design uses a consistent dark colour palette defined as Python constants at the top of src/main.py and applied dynamically to Flet controls. This centralised token approach means changing one constant updates every widget that references it.</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00"/>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Token</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Hex</w:t>
            </w:r>
          </w:p>
        </w:tc>
        <w:tc>
          <w:tcPr>
            <w:tcW w:type="dxa" w:w="6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Usage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#0D1117</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Main window background</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BG_CARD</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#161B22</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Card and panel backgrounds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ACCENT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#00C896</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Healthy state; brand colour; chart lines</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ACCENT_WARN</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#F0A500</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Warning (70–89%)</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ACCENT_CRIT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#E05C5C</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Critical (90%+); danger indicators</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TEXT_PRI</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#E6EDF3</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Primary text; metric values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TEXT_SEC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#8B949E</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Labels and secondary text</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BORDER</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#30363D</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Card borders and dividers</w:t>
            </w:r>
          </w:p>
        </w:tc>
      </w:tr>
    </w:tbl>
    <w:p>
      <w:pPr>
        <w:spacing w:after="200"/>
      </w:pPr>
      <w:r>
        <w:t xml:space="preserve"/>
      </w:r>
    </w:p>
    <w:p>
      <w:pPr>
        <w:spacing w:after="200"/>
      </w:pPr>
      <w:r>
        <w:rPr>
          <w:rFonts w:ascii="Arial" w:cs="Arial" w:eastAsia="Arial" w:hAnsi="Arial"/>
          <w:i/>
          <w:iCs/>
          <w:color w:val="595959"/>
          <w:sz w:val="22"/>
          <w:szCs w:val="22"/>
        </w:rPr>
        <w:t>Table 5.1: Design token palette. All colours defined as constants in src/main.py, applied dynamically.</w:t>
      </w:r>
    </w:p>
    <w:p>
      <w:pPr>
        <w:spacing w:after="160"/>
      </w:pPr>
      <w:r>
        <w:t xml:space="preserve"/>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3: [SCREENSHOT: Dashboard in healthy state — green accent, all metrics below thresholds, confidence &lt; 55%]]</w:t>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4: [SCREENSHOT: Dashboard in warning state — amber confidence panel, elevated CPU chart curve]]</w:t>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5: [SCREENSHOT: Dashboard in critical/action state — red indicators, suspended processes visible in sidebar]]</w:t>
      </w:r>
    </w:p>
    <w:p>
      <w:pPr>
        <w:spacing w:after="160"/>
      </w:pPr>
      <w:r>
        <w:t xml:space="preserve"/>
      </w:r>
    </w:p>
    <w:p>
      <w:pPr>
        <w:pStyle w:val="Heading1"/>
        <w:spacing w:after="200" w:before="320"/>
      </w:pPr>
      <w:r>
        <w:t xml:space="preserve">6. Control Logic</w:t>
      </w:r>
    </w:p>
    <w:p>
      <w:pPr>
        <w:pStyle w:val="Heading2"/>
        <w:spacing w:after="160" w:before="240"/>
      </w:pPr>
      <w:r>
        <w:t xml:space="preserve">6.1 Confidence Panel (Explainable AI)</w:t>
      </w:r>
    </w:p>
    <w:p>
      <w:pPr>
        <w:spacing w:after="160"/>
      </w:pPr>
      <w:r>
        <w:rPr>
          <w:rFonts w:ascii="Arial" w:cs="Arial" w:eastAsia="Arial" w:hAnsi="Arial"/>
          <w:color w:val="1A1A1A"/>
          <w:sz w:val="24"/>
          <w:szCs w:val="24"/>
        </w:rPr>
        <w:t xml:space="preserve">The confidence panel implements the Explainable AI requirement by displaying the raw sigmoid output as a percentage alongside a natural-language description. Below 55%: healthy message. 55-79%: moderate risk with predicted CPU. 80%+: specific warning with predicted CPU and memory values and a 30-second horizon estimate. The colour of the percentage value transitions using the same token system as the charts, ensuring visual consistency across all severity indicators.</w:t>
      </w:r>
    </w:p>
    <w:p>
      <w:pPr>
        <w:pStyle w:val="Heading2"/>
        <w:spacing w:after="160" w:before="240"/>
      </w:pPr>
      <w:r>
        <w:t xml:space="preserve">6.2 One-Click Boost</w:t>
      </w:r>
    </w:p>
    <w:p>
      <w:pPr>
        <w:spacing w:after="160"/>
      </w:pPr>
      <w:r>
        <w:rPr>
          <w:rFonts w:ascii="Arial" w:cs="Arial" w:eastAsia="Arial" w:hAnsi="Arial"/>
          <w:color w:val="1A1A1A"/>
          <w:sz w:val="24"/>
          <w:szCs w:val="24"/>
        </w:rPr>
        <w:t xml:space="preserve">The Boost button always remains enabled, allowing manual invocation at any confidence level. It calls Pipeline.trigger_boost() which resumes all suspended processes and runs Python garbage collection. The result message is written to the event log. This gives users agency to act independently of the AI when they have context the model lacks.</w:t>
      </w:r>
    </w:p>
    <w:p>
      <w:pPr>
        <w:pStyle w:val="Heading2"/>
        <w:spacing w:after="160" w:before="240"/>
      </w:pPr>
      <w:r>
        <w:t xml:space="preserve">6.3 Undo Button State Machine</w:t>
      </w:r>
    </w:p>
    <w:p>
      <w:pPr>
        <w:spacing w:after="160"/>
      </w:pPr>
      <w:r>
        <w:rPr>
          <w:rFonts w:ascii="Arial" w:cs="Arial" w:eastAsia="Arial" w:hAnsi="Arial"/>
          <w:color w:val="1A1A1A"/>
          <w:sz w:val="24"/>
          <w:szCs w:val="24"/>
        </w:rPr>
        <w:t xml:space="preserve">The Undo button is disabled on startup and programmatically enabled only when the action engine reports a successful suspension (action.action_taken == True). After Undo or Boost is pressed, or after the auto-resume watchdog fires, the button returns to disabled. This state management prevents the user from pressing Undo when nothing is suspended and receiving a confusing no-op response.</w:t>
      </w:r>
    </w:p>
    <w:p>
      <w:pPr>
        <w:spacing w:after="160"/>
      </w:pPr>
      <w:r>
        <w:t xml:space="preserve"/>
      </w:r>
    </w:p>
    <w:p>
      <w:pPr>
        <w:pStyle w:val="Heading1"/>
        <w:spacing w:after="200" w:before="320"/>
      </w:pPr>
      <w:r>
        <w:t xml:space="preserve">7. System Tray Integration</w:t>
      </w:r>
    </w:p>
    <w:p>
      <w:pPr>
        <w:spacing w:after="160"/>
      </w:pPr>
      <w:r>
        <w:rPr>
          <w:rFonts w:ascii="Arial" w:cs="Arial" w:eastAsia="Arial" w:hAnsi="Arial"/>
          <w:color w:val="1A1A1A"/>
          <w:sz w:val="24"/>
          <w:szCs w:val="24"/>
        </w:rPr>
        <w:t>Closing the window hides it rather than terminating the application, implemented by overriding closeEvent() to call self.hide() and ignore the event. The system tray integration is provided via backup fallback with Show Dashboard and Quit actions. Double-clicking the tray icon restores the window. On first hide, a toast notification informs the user the optimizer is still active. This design allows continuous background operation without taskbar presence, appropriate for a background monitoring tool.</w:t>
      </w:r>
    </w:p>
    <w:p>
      <w:pPr>
        <w:spacing w:after="160"/>
      </w:pPr>
      <w:r>
        <w:t xml:space="preserve"/>
      </w:r>
    </w:p>
    <w:p>
      <w:pPr>
        <w:pStyle w:val="Heading1"/>
        <w:spacing w:after="200" w:before="320"/>
      </w:pPr>
      <w:r>
        <w:t xml:space="preserve">8. Accessibility and Usability</w:t>
      </w:r>
    </w:p>
    <w:p>
      <w:pPr>
        <w:pStyle w:val="ListParagraph"/>
        <w:numPr>
          <w:ilvl w:val="0"/>
          <w:numId w:val="2"/>
        </w:numPr>
        <w:spacing w:after="100"/>
      </w:pPr>
      <w:r>
        <w:rPr>
          <w:rFonts w:ascii="Arial" w:cs="Arial" w:eastAsia="Arial" w:hAnsi="Arial"/>
          <w:color w:val="1A1A1A"/>
          <w:sz w:val="24"/>
          <w:szCs w:val="24"/>
        </w:rPr>
        <w:t xml:space="preserve">All severity states communicated by both colour and text — accessible for colour vision deficiency.</w:t>
      </w:r>
    </w:p>
    <w:p>
      <w:pPr>
        <w:pStyle w:val="ListParagraph"/>
        <w:numPr>
          <w:ilvl w:val="0"/>
          <w:numId w:val="2"/>
        </w:numPr>
        <w:spacing w:after="100"/>
      </w:pPr>
      <w:r>
        <w:rPr>
          <w:rFonts w:ascii="Arial" w:cs="Arial" w:eastAsia="Arial" w:hAnsi="Arial"/>
          <w:color w:val="1A1A1A"/>
          <w:sz w:val="24"/>
          <w:szCs w:val="24"/>
        </w:rPr>
        <w:t xml:space="preserve">Font sizes defined in points relative to system DPI — readable on standard and high-DPI displays.</w:t>
      </w:r>
    </w:p>
    <w:p>
      <w:pPr>
        <w:pStyle w:val="ListParagraph"/>
        <w:numPr>
          <w:ilvl w:val="0"/>
          <w:numId w:val="2"/>
        </w:numPr>
        <w:spacing w:after="100"/>
      </w:pPr>
      <w:r>
        <w:rPr>
          <w:rFonts w:ascii="Arial" w:cs="Arial" w:eastAsia="Arial" w:hAnsi="Arial"/>
          <w:color w:val="1A1A1A"/>
          <w:sz w:val="24"/>
          <w:szCs w:val="24"/>
        </w:rPr>
        <w:t xml:space="preserve">Event log entries carry ISO timestamps for post-hoc correlation of actions with system events.</w:t>
      </w:r>
    </w:p>
    <w:p>
      <w:pPr>
        <w:pStyle w:val="ListParagraph"/>
        <w:numPr>
          <w:ilvl w:val="0"/>
          <w:numId w:val="2"/>
        </w:numPr>
        <w:spacing w:after="100"/>
      </w:pPr>
      <w:r>
        <w:rPr>
          <w:rFonts w:ascii="Arial" w:cs="Arial" w:eastAsia="Arial" w:hAnsi="Arial"/>
          <w:color w:val="1A1A1A"/>
          <w:sz w:val="24"/>
          <w:szCs w:val="24"/>
        </w:rPr>
        <w:t xml:space="preserve">Process table shows human-readable names as primary identifier, reducing cognitive load.</w:t>
      </w:r>
    </w:p>
    <w:p>
      <w:pPr>
        <w:pStyle w:val="ListParagraph"/>
        <w:numPr>
          <w:ilvl w:val="0"/>
          <w:numId w:val="2"/>
        </w:numPr>
        <w:spacing w:after="100"/>
      </w:pPr>
      <w:r>
        <w:rPr>
          <w:rFonts w:ascii="Arial" w:cs="Arial" w:eastAsia="Arial" w:hAnsi="Arial"/>
          <w:color w:val="1A1A1A"/>
          <w:sz w:val="24"/>
          <w:szCs w:val="24"/>
        </w:rPr>
        <w:t xml:space="preserve">Undo button disabled when nothing to undo — prevents confusing no-op interactions.</w:t>
      </w:r>
    </w:p>
    <w:p>
      <w:pPr>
        <w:pStyle w:val="ListParagraph"/>
        <w:numPr>
          <w:ilvl w:val="0"/>
          <w:numId w:val="2"/>
        </w:numPr>
        <w:spacing w:after="100"/>
      </w:pPr>
      <w:r>
        <w:rPr>
          <w:rFonts w:ascii="Arial" w:cs="Arial" w:eastAsia="Arial" w:hAnsi="Arial"/>
          <w:color w:val="1A1A1A"/>
          <w:sz w:val="24"/>
          <w:szCs w:val="24"/>
        </w:rPr>
        <w:t xml:space="preserve">QSS stylesheet centralised — consistent theming enforced across all 6 custom component classes.</w:t>
      </w:r>
    </w:p>
    <w:p>
      <w:pPr>
        <w:spacing w:after="160"/>
      </w:pPr>
      <w:r>
        <w:t xml:space="preserve"/>
      </w:r>
    </w:p>
    <w:p>
      <w:pPr>
        <w:pStyle w:val="Heading1"/>
        <w:spacing w:after="200" w:before="320"/>
      </w:pPr>
      <w:r>
        <w:t xml:space="preserve">9. References</w:t>
      </w:r>
    </w:p>
    <w:p>
      <w:pPr>
        <w:spacing w:after="160"/>
      </w:pPr>
      <w:r>
        <w:t>[1] Flet Team. (2024). Flet Reference Guide. https://flet.dev/</w:t>
      </w:r>
    </w:p>
    <w:p>
      <w:pPr>
        <w:spacing w:after="160"/>
      </w:pPr>
      <w:r>
        <w:t>[2] Flutter Team. (2024). Flutter Canvas Drawing API. https://flutter.dev/</w:t>
      </w:r>
    </w:p>
    <w:p>
      <w:pPr>
        <w:spacing w:after="160"/>
      </w:pPr>
      <w:r>
        <w:rPr>
          <w:rFonts w:ascii="Arial" w:cs="Arial" w:eastAsia="Arial" w:hAnsi="Arial"/>
          <w:color w:val="1A1A1A"/>
          <w:sz w:val="24"/>
          <w:szCs w:val="24"/>
        </w:rPr>
        <w:t>[3] Flet Team. (2024). Flet Controls Styling. https://flet.dev/ https://doc.qt.io/qt-6/stylesheet-reference.html</w:t>
      </w:r>
    </w:p>
    <w:p>
      <w:pPr>
        <w:spacing w:after="160"/>
      </w:pPr>
      <w:r>
        <w:rPr>
          <w:rFonts w:ascii="Arial" w:cs="Arial" w:eastAsia="Arial" w:hAnsi="Arial"/>
          <w:color w:val="1A1A1A"/>
          <w:sz w:val="24"/>
          <w:szCs w:val="24"/>
        </w:rPr>
        <w:t>[4] Python Software Foundation. (2024). queue — A synchronized queue class. https://doc.qt.io/qt-6/signalsandslots.html</w:t>
      </w:r>
    </w:p>
    <w:p>
      <w:pPr>
        <w:spacing w:after="160"/>
      </w:pPr>
      <w:r>
        <w:rPr>
          <w:rFonts w:ascii="Arial" w:cs="Arial" w:eastAsia="Arial" w:hAnsi="Arial"/>
          <w:color w:val="1A1A1A"/>
          <w:sz w:val="24"/>
          <w:szCs w:val="24"/>
        </w:rPr>
        <w:t xml:space="preserve">[5] Nielsen, J. (1994). Usability Engineering. Morgan Kaufmann.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jc w:val="center"/>
    </w:pPr>
    <w:r>
      <w:rPr>
        <w:rFonts w:ascii="Arial" w:cs="Arial" w:eastAsia="Arial" w:hAnsi="Arial"/>
        <w:color w:val="595959"/>
        <w:sz w:val="18"/>
        <w:szCs w:val="18"/>
      </w:rPr>
      <w:t xml:space="preserve">Lightweight AI-Powered System Resource Optimizer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pPr>
    <w:r>
      <w:rPr>
        <w:rFonts w:ascii="Arial" w:cs="Arial" w:eastAsia="Arial" w:hAnsi="Arial"/>
        <w:color w:val="595959"/>
        <w:sz w:val="18"/>
        <w:szCs w:val="18"/>
      </w:rPr>
      <w:t xml:space="preserve">KNUST Final Year Project — Group 4  |  User Interface Design &amp;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2026-05-12T10:37:25.887Z</dcterms:created>
  <dcterms:modified xsi:type="dcterms:W3CDTF">2026-05-12T10:37:25.888Z</dcterms:modified>
</cp:coreProperties>
</file>

<file path=docProps/custom.xml><?xml version="1.0" encoding="utf-8"?>
<Properties xmlns="http://schemas.openxmlformats.org/officeDocument/2006/custom-properties" xmlns:vt="http://schemas.openxmlformats.org/officeDocument/2006/docPropsVTypes"/>
</file>