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KWAME NKRUMAH UNIVERSITY OF SCIENCE AND TECHNOLOGY</w:t>
        <w:br/>
      </w:r>
    </w:p>
    <w:p>
      <w:pPr>
        <w:jc w:val="center"/>
      </w:pPr>
      <w:r>
        <w:rPr>
          <w:rFonts w:ascii="Arial" w:hAnsi="Arial"/>
          <w:b/>
          <w:sz w:val="22"/>
        </w:rPr>
        <w:t>FACULTY OF PHYSICAL AND COMPUTATIONAL SCIENCES</w:t>
        <w:br/>
        <w:t>DEPARTMENT OF COMPUTER SCIENCE</w:t>
        <w:br/>
      </w:r>
    </w:p>
    <w:p/>
    <w:p/>
    <w:p/>
    <w:p>
      <w:pPr>
        <w:jc w:val="center"/>
      </w:pPr>
      <w:r>
        <w:rPr>
          <w:rFonts w:ascii="Arial" w:hAnsi="Arial"/>
          <w:b/>
          <w:color w:val="0D1117"/>
          <w:sz w:val="36"/>
        </w:rPr>
        <w:t>LIGHTWEIGHT AI-POWERED SYSTEM</w:t>
        <w:br/>
        <w:t>RESOURCE OPTIMIZER</w:t>
        <w:br/>
      </w:r>
    </w:p>
    <w:p/>
    <w:p>
      <w:pPr>
        <w:jc w:val="center"/>
      </w:pPr>
      <w:r>
        <w:rPr>
          <w:rFonts w:ascii="Arial" w:hAnsi="Arial"/>
          <w:b/>
          <w:color w:val="1E4678"/>
          <w:sz w:val="32"/>
        </w:rPr>
        <w:t>VOLUME II</w:t>
        <w:br/>
        <w:t>TELEMETRY DATA ENGINEERING AND AI MODEL DEVELOPMENT</w:t>
        <w:br/>
      </w:r>
    </w:p>
    <w:p>
      <w:pPr>
        <w:jc w:val="center"/>
      </w:pPr>
      <w:r>
        <w:rPr>
          <w:rFonts w:ascii="Arial" w:hAnsi="Arial"/>
          <w:i/>
          <w:sz w:val="22"/>
        </w:rPr>
        <w:t>Data Pipelines, Storage, and GRU Training Details</w:t>
        <w:br/>
      </w:r>
    </w:p>
    <w:p/>
    <w:p/>
    <w:p/>
    <w:p/>
    <w:p>
      <w:pPr>
        <w:jc w:val="center"/>
      </w:pPr>
      <w:r>
        <w:rPr>
          <w:rFonts w:ascii="Arial" w:hAnsi="Arial"/>
          <w:b/>
          <w:sz w:val="22"/>
        </w:rPr>
        <w:t>Prepared by:</w:t>
        <w:br/>
      </w:r>
    </w:p>
    <w:p>
      <w:pPr>
        <w:jc w:val="center"/>
      </w:pPr>
      <w:r>
        <w:rPr>
          <w:rFonts w:ascii="Arial" w:hAnsi="Arial"/>
          <w:sz w:val="22"/>
        </w:rPr>
        <w:t>Lamptey Kwaku Abednego — 3398122</w:t>
        <w:br/>
        <w:t>Tugbah Lily Ama Mawuena — 3416522</w:t>
        <w:br/>
        <w:t>Korli Larry Addo — 3395922</w:t>
        <w:br/>
      </w:r>
    </w:p>
    <w:p/>
    <w:p/>
    <w:p/>
    <w:p>
      <w:pPr>
        <w:jc w:val="center"/>
      </w:pPr>
      <w:r>
        <w:rPr>
          <w:rFonts w:ascii="Arial" w:hAnsi="Arial"/>
          <w:b/>
          <w:sz w:val="22"/>
        </w:rPr>
        <w:t>Date: May 2026</w:t>
      </w:r>
    </w:p>
    <w:p>
      <w:r>
        <w:br w:type="page"/>
      </w:r>
    </w:p>
    <w:p>
      <w:pPr>
        <w:pStyle w:val="Heading1"/>
        <w:spacing w:before="360" w:after="120"/>
      </w:pPr>
      <w:r>
        <w:t>Section 1: Telemetry Parameters &amp; Dataset Collection Setup</w:t>
      </w:r>
    </w:p>
    <w:p>
      <w:pPr>
        <w:spacing w:before="0" w:after="120" w:line="276" w:lineRule="auto"/>
      </w:pPr>
      <w:r>
        <w:t>High-quality, representative telemetry data is the foundation upon which the Lightweight AI-Powered System Resource Optimizer's predictive capabilities are built. Before any machine learning model can be trained to forecast CPU and memory bottlenecks, a structured dataset capturing the natural variation of Windows system behaviour across diverse workload conditions must be systematically collected and curated.</w:t>
      </w:r>
    </w:p>
    <w:p>
      <w:pPr>
        <w:spacing w:before="0" w:after="120" w:line="276" w:lineRule="auto"/>
      </w:pPr>
      <w:r>
        <w:t>This document details the complete data collection and preprocessing pipeline developed for Module A of the project. It covers the rationale behind feature selection, the collection methodology employed, the schema of the resulting dataset, the preprocessing steps applied to prepare the data for time-series model training, and the dataset splitting strategy used to enable unbiased model evaluation.</w:t>
      </w:r>
    </w:p>
    <w:p>
      <w:pPr>
        <w:spacing w:before="0" w:after="120" w:line="276" w:lineRule="auto"/>
      </w:pPr>
      <w:r>
        <w:t>The data collection infrastructure is implemented in Python using the psutil library (version 5.9+), which provides a cross-platform interface to system-level process and hardware metrics. The resulting dataset serves as the sole input to the preprocessing pipeline described in Section 5.</w:t>
      </w:r>
    </w:p>
    <w:p>
      <w:pPr>
        <w:pStyle w:val="Heading1"/>
        <w:spacing w:before="360" w:after="120"/>
      </w:pPr>
      <w:r>
        <w:rPr>
          <w:rFonts w:ascii="Calibri" w:hAnsi="Calibri"/>
          <w:color w:val="003366"/>
        </w:rPr>
        <w:t>2. Feature Selection and Rationale</w:t>
      </w:r>
    </w:p>
    <w:p>
      <w:pPr>
        <w:spacing w:before="0" w:after="120" w:line="276" w:lineRule="auto"/>
      </w:pPr>
      <w:r>
        <w:t>The selection of telemetry features was driven by three criteria: (1) direct relevance to the system performance phenomena the model must predict, (2) availability through the psutil library on standard Windows hardware without additional drivers, and (3) low collection overhead to prevent the monitoring tool from contributing to the resource burden it is designed to detect.</w:t>
      </w:r>
    </w:p>
    <w:p>
      <w:pPr>
        <w:pStyle w:val="Heading2"/>
        <w:spacing w:before="240" w:after="80"/>
      </w:pPr>
      <w:r>
        <w:rPr>
          <w:rFonts w:ascii="Calibri" w:hAnsi="Calibri"/>
          <w:color w:val="006699"/>
        </w:rPr>
        <w:t>2.1 Primary CPU Features</w:t>
      </w:r>
    </w:p>
    <w:p>
      <w:pPr>
        <w:pStyle w:val="ListBullet"/>
        <w:spacing w:before="40" w:after="40" w:line="276" w:lineRule="auto"/>
      </w:pPr>
      <w:r>
        <w:t>**cpu_percent:** Captures the overall CPU utilisation aggregated across all logical cores. This single figure is the primary signal for imminent CPU-bound bottlenecks.</w:t>
      </w:r>
    </w:p>
    <w:p>
      <w:pPr>
        <w:pStyle w:val="ListBullet"/>
        <w:spacing w:before="40" w:after="40" w:line="276" w:lineRule="auto"/>
      </w:pPr>
      <w:r>
        <w:t>**cpu_core_N:** Columns capture per-core utilisation, providing spatial resolution that allows the model to distinguish between a single-threaded workload saturating one core and a multi-threaded workload distributing load evenly.</w:t>
      </w:r>
    </w:p>
    <w:p>
      <w:pPr>
        <w:pStyle w:val="ListBullet"/>
        <w:spacing w:before="40" w:after="40" w:line="276" w:lineRule="auto"/>
      </w:pPr>
      <w:r>
        <w:t>**cpu_freq_mhz:** Records the real-time operating frequency of the processor, which drops during thermal throttling — a critical early warning signal.</w:t>
      </w:r>
    </w:p>
    <w:p>
      <w:pPr>
        <w:pStyle w:val="Heading2"/>
        <w:spacing w:before="240" w:after="80"/>
      </w:pPr>
      <w:r>
        <w:rPr>
          <w:rFonts w:ascii="Calibri" w:hAnsi="Calibri"/>
          <w:color w:val="006699"/>
        </w:rPr>
        <w:t>2.2 Memory Features</w:t>
      </w:r>
    </w:p>
    <w:p>
      <w:pPr>
        <w:pStyle w:val="ListBullet"/>
        <w:spacing w:before="40" w:after="40" w:line="276" w:lineRule="auto"/>
      </w:pPr>
      <w:r>
        <w:t>**mem_used_mb** and **mem_available_mb:** Represent the absolute memory consumption and headroom in megabytes.</w:t>
      </w:r>
    </w:p>
    <w:p>
      <w:pPr>
        <w:pStyle w:val="ListBullet"/>
        <w:spacing w:before="40" w:after="40" w:line="276" w:lineRule="auto"/>
      </w:pPr>
      <w:r>
        <w:t>**mem_percent:** Expresses the same relationship as a normalised ratio and is the primary threshold used for labelling.</w:t>
      </w:r>
    </w:p>
    <w:p>
      <w:pPr>
        <w:pStyle w:val="ListBullet"/>
        <w:spacing w:before="40" w:after="40" w:line="276" w:lineRule="auto"/>
      </w:pPr>
      <w:r>
        <w:t>**swap_used_mb** and **swap_percent:** Capture page-file activity, which is a strong lagging indicator that physical memory has been exhausted and performance has already degraded significantly.</w:t>
      </w:r>
    </w:p>
    <w:p>
      <w:pPr>
        <w:pStyle w:val="Heading2"/>
        <w:spacing w:before="240" w:after="80"/>
      </w:pPr>
      <w:r>
        <w:rPr>
          <w:rFonts w:ascii="Calibri" w:hAnsi="Calibri"/>
          <w:color w:val="006699"/>
        </w:rPr>
        <w:t>2.3 Thermal Feature</w:t>
      </w:r>
    </w:p>
    <w:p>
      <w:pPr>
        <w:pStyle w:val="ListBullet"/>
        <w:spacing w:before="40" w:after="40" w:line="276" w:lineRule="auto"/>
      </w:pPr>
      <w:r>
        <w:t>**cpu_temp_c:** Records the average CPU package temperature in degrees Celsius, sourced via psutil.sensors_temperatures() or the high-fidelity ThermalSimulator fallback when hardware sensors are locked (e.g. on virtual machines or sandboxed environments). Thermal throttling occurs when the processor exceeds its thermal design threshold (typically 85–105 °C), causing a forced reduction in clock speed. Including temperature allows the model to learn the thermal lead-up patterns that precede throttling events.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Feature</w:t>
            </w:r>
          </w:p>
        </w:tc>
        <w:tc>
          <w:tcPr>
            <w:tcW w:type="dxa" w:w="2340"/>
          </w:tcPr>
          <w:p>
            <w:pPr>
              <w:jc w:val="left"/>
            </w:pPr>
            <w:r>
              <w:rPr>
                <w:b/>
                <w:color w:val="003366"/>
              </w:rPr>
              <w:t>Unit</w:t>
            </w:r>
          </w:p>
        </w:tc>
        <w:tc>
          <w:tcPr>
            <w:tcW w:type="dxa" w:w="2340"/>
          </w:tcPr>
          <w:p>
            <w:pPr>
              <w:jc w:val="left"/>
            </w:pPr>
            <w:r>
              <w:rPr>
                <w:b/>
                <w:color w:val="003366"/>
              </w:rPr>
              <w:t>Source</w:t>
            </w:r>
          </w:p>
        </w:tc>
        <w:tc>
          <w:tcPr>
            <w:tcW w:type="dxa" w:w="2340"/>
          </w:tcPr>
          <w:p>
            <w:pPr>
              <w:jc w:val="left"/>
            </w:pPr>
            <w:r>
              <w:rPr>
                <w:b/>
                <w:color w:val="003366"/>
              </w:rPr>
              <w:t>Relevance</w:t>
            </w:r>
          </w:p>
        </w:tc>
      </w:tr>
      <w:tr>
        <w:tc>
          <w:tcPr>
            <w:tcW w:type="dxa" w:w="2340"/>
          </w:tcPr>
          <w:p>
            <w:r>
              <w:t>cpu_percent</w:t>
            </w:r>
          </w:p>
        </w:tc>
        <w:tc>
          <w:tcPr>
            <w:tcW w:type="dxa" w:w="2340"/>
          </w:tcPr>
          <w:p>
            <w:r>
              <w:t>%</w:t>
            </w:r>
          </w:p>
        </w:tc>
        <w:tc>
          <w:tcPr>
            <w:tcW w:type="dxa" w:w="2340"/>
          </w:tcPr>
          <w:p>
            <w:r>
              <w:t>psutil.cpu_percent()</w:t>
            </w:r>
          </w:p>
        </w:tc>
        <w:tc>
          <w:tcPr>
            <w:tcW w:type="dxa" w:w="2340"/>
          </w:tcPr>
          <w:p>
            <w:r>
              <w:t>Overall CPU load — primary prediction target</w:t>
            </w:r>
          </w:p>
        </w:tc>
      </w:tr>
      <w:tr>
        <w:tc>
          <w:tcPr>
            <w:tcW w:type="dxa" w:w="2340"/>
          </w:tcPr>
          <w:p>
            <w:r>
              <w:t>cpu_freq_mhz</w:t>
            </w:r>
          </w:p>
        </w:tc>
        <w:tc>
          <w:tcPr>
            <w:tcW w:type="dxa" w:w="2340"/>
          </w:tcPr>
          <w:p>
            <w:r>
              <w:t>MHz</w:t>
            </w:r>
          </w:p>
        </w:tc>
        <w:tc>
          <w:tcPr>
            <w:tcW w:type="dxa" w:w="2340"/>
          </w:tcPr>
          <w:p>
            <w:r>
              <w:t>psutil.cpu_freq()</w:t>
            </w:r>
          </w:p>
        </w:tc>
        <w:tc>
          <w:tcPr>
            <w:tcW w:type="dxa" w:w="2340"/>
          </w:tcPr>
          <w:p>
            <w:r>
              <w:t>Throttling indicator</w:t>
            </w:r>
          </w:p>
        </w:tc>
      </w:tr>
      <w:tr>
        <w:tc>
          <w:tcPr>
            <w:tcW w:type="dxa" w:w="2340"/>
          </w:tcPr>
          <w:p>
            <w:r>
              <w:t>cpu_core_N</w:t>
            </w:r>
          </w:p>
        </w:tc>
        <w:tc>
          <w:tcPr>
            <w:tcW w:type="dxa" w:w="2340"/>
          </w:tcPr>
          <w:p>
            <w:r>
              <w:t>%</w:t>
            </w:r>
          </w:p>
        </w:tc>
        <w:tc>
          <w:tcPr>
            <w:tcW w:type="dxa" w:w="2340"/>
          </w:tcPr>
          <w:p>
            <w:r>
              <w:t>psutil.cpu_percent(percpu=True)</w:t>
            </w:r>
          </w:p>
        </w:tc>
        <w:tc>
          <w:tcPr>
            <w:tcW w:type="dxa" w:w="2340"/>
          </w:tcPr>
          <w:p>
            <w:r>
              <w:t>Per-core load distribution</w:t>
            </w:r>
          </w:p>
        </w:tc>
      </w:tr>
      <w:tr>
        <w:tc>
          <w:tcPr>
            <w:tcW w:type="dxa" w:w="2340"/>
          </w:tcPr>
          <w:p>
            <w:r>
              <w:t>mem_used_mb</w:t>
            </w:r>
          </w:p>
        </w:tc>
        <w:tc>
          <w:tcPr>
            <w:tcW w:type="dxa" w:w="2340"/>
          </w:tcPr>
          <w:p>
            <w:r>
              <w:t>MB</w:t>
            </w:r>
          </w:p>
        </w:tc>
        <w:tc>
          <w:tcPr>
            <w:tcW w:type="dxa" w:w="2340"/>
          </w:tcPr>
          <w:p>
            <w:r>
              <w:t>psutil.virtual_memory().used</w:t>
            </w:r>
          </w:p>
        </w:tc>
        <w:tc>
          <w:tcPr>
            <w:tcW w:type="dxa" w:w="2340"/>
          </w:tcPr>
          <w:p>
            <w:r>
              <w:t>Absolute memory pressure</w:t>
            </w:r>
          </w:p>
        </w:tc>
      </w:tr>
      <w:tr>
        <w:tc>
          <w:tcPr>
            <w:tcW w:type="dxa" w:w="2340"/>
          </w:tcPr>
          <w:p>
            <w:r>
              <w:t>mem_available_mb</w:t>
            </w:r>
          </w:p>
        </w:tc>
        <w:tc>
          <w:tcPr>
            <w:tcW w:type="dxa" w:w="2340"/>
          </w:tcPr>
          <w:p>
            <w:r>
              <w:t>MB</w:t>
            </w:r>
          </w:p>
        </w:tc>
        <w:tc>
          <w:tcPr>
            <w:tcW w:type="dxa" w:w="2340"/>
          </w:tcPr>
          <w:p>
            <w:r>
              <w:t>psutil.virtual_memory().available</w:t>
            </w:r>
          </w:p>
        </w:tc>
        <w:tc>
          <w:tcPr>
            <w:tcW w:type="dxa" w:w="2340"/>
          </w:tcPr>
          <w:p>
            <w:r>
              <w:t>Available headroom</w:t>
            </w:r>
          </w:p>
        </w:tc>
      </w:tr>
      <w:tr>
        <w:tc>
          <w:tcPr>
            <w:tcW w:type="dxa" w:w="2340"/>
          </w:tcPr>
          <w:p>
            <w:r>
              <w:t>mem_percent</w:t>
            </w:r>
          </w:p>
        </w:tc>
        <w:tc>
          <w:tcPr>
            <w:tcW w:type="dxa" w:w="2340"/>
          </w:tcPr>
          <w:p>
            <w:r>
              <w:t>%</w:t>
            </w:r>
          </w:p>
        </w:tc>
        <w:tc>
          <w:tcPr>
            <w:tcW w:type="dxa" w:w="2340"/>
          </w:tcPr>
          <w:p>
            <w:r>
              <w:t>psutil.virtual_memory().percent</w:t>
            </w:r>
          </w:p>
        </w:tc>
        <w:tc>
          <w:tcPr>
            <w:tcW w:type="dxa" w:w="2340"/>
          </w:tcPr>
          <w:p>
            <w:r>
              <w:t>Memory utilisation ratio</w:t>
            </w:r>
          </w:p>
        </w:tc>
      </w:tr>
      <w:tr>
        <w:tc>
          <w:tcPr>
            <w:tcW w:type="dxa" w:w="2340"/>
          </w:tcPr>
          <w:p>
            <w:r>
              <w:t>swap_used_mb</w:t>
            </w:r>
          </w:p>
        </w:tc>
        <w:tc>
          <w:tcPr>
            <w:tcW w:type="dxa" w:w="2340"/>
          </w:tcPr>
          <w:p>
            <w:r>
              <w:t>MB</w:t>
            </w:r>
          </w:p>
        </w:tc>
        <w:tc>
          <w:tcPr>
            <w:tcW w:type="dxa" w:w="2340"/>
          </w:tcPr>
          <w:p>
            <w:r>
              <w:t>psutil.swap_memory().used</w:t>
            </w:r>
          </w:p>
        </w:tc>
        <w:tc>
          <w:tcPr>
            <w:tcW w:type="dxa" w:w="2340"/>
          </w:tcPr>
          <w:p>
            <w:r>
              <w:t>Page-file overflow indicator</w:t>
            </w:r>
          </w:p>
        </w:tc>
      </w:tr>
      <w:tr>
        <w:tc>
          <w:tcPr>
            <w:tcW w:type="dxa" w:w="2340"/>
          </w:tcPr>
          <w:p>
            <w:r>
              <w:t>swap_percent</w:t>
            </w:r>
          </w:p>
        </w:tc>
        <w:tc>
          <w:tcPr>
            <w:tcW w:type="dxa" w:w="2340"/>
          </w:tcPr>
          <w:p>
            <w:r>
              <w:t>%</w:t>
            </w:r>
          </w:p>
        </w:tc>
        <w:tc>
          <w:tcPr>
            <w:tcW w:type="dxa" w:w="2340"/>
          </w:tcPr>
          <w:p>
            <w:r>
              <w:t>psutil.swap_memory().percent</w:t>
            </w:r>
          </w:p>
        </w:tc>
        <w:tc>
          <w:tcPr>
            <w:tcW w:type="dxa" w:w="2340"/>
          </w:tcPr>
          <w:p>
            <w:r>
              <w:t>Swap utilisation ratio</w:t>
            </w:r>
          </w:p>
        </w:tc>
      </w:tr>
      <w:tr>
        <w:tc>
          <w:tcPr>
            <w:tcW w:type="dxa" w:w="2340"/>
          </w:tcPr>
          <w:p>
            <w:r>
              <w:t>cpu_temp_c</w:t>
            </w:r>
          </w:p>
        </w:tc>
        <w:tc>
          <w:tcPr>
            <w:tcW w:type="dxa" w:w="2340"/>
          </w:tcPr>
          <w:p>
            <w:r>
              <w:t>°C</w:t>
            </w:r>
          </w:p>
        </w:tc>
        <w:tc>
          <w:tcPr>
            <w:tcW w:type="dxa" w:w="2340"/>
          </w:tcPr>
          <w:p>
            <w:r>
              <w:t>psutil.sensors_temperatures()</w:t>
            </w:r>
          </w:p>
        </w:tc>
        <w:tc>
          <w:tcPr>
            <w:tcW w:type="dxa" w:w="2340"/>
          </w:tcPr>
          <w:p>
            <w:r>
              <w:t>Thermal throttle precursor</w:t>
            </w:r>
          </w:p>
        </w:tc>
      </w:tr>
    </w:tbl>
    <w:p>
      <w:pPr>
        <w:spacing w:before="0" w:after="120" w:line="276" w:lineRule="auto"/>
      </w:pPr>
      <w:r>
        <w:t>Table 2.1: Selected telemetry features, their units, psutil source calls, and relevance to the prediction task.</w:t>
      </w:r>
    </w:p>
    <w:p>
      <w:pPr>
        <w:pStyle w:val="Heading1"/>
        <w:spacing w:before="360" w:after="120"/>
      </w:pPr>
      <w:r>
        <w:rPr>
          <w:rFonts w:ascii="Calibri" w:hAnsi="Calibri"/>
          <w:color w:val="003366"/>
        </w:rPr>
        <w:t>3. Data Collection Methodology</w:t>
      </w:r>
    </w:p>
    <w:p>
      <w:pPr>
        <w:pStyle w:val="Heading2"/>
        <w:spacing w:before="240" w:after="80"/>
      </w:pPr>
      <w:r>
        <w:rPr>
          <w:rFonts w:ascii="Calibri" w:hAnsi="Calibri"/>
          <w:color w:val="006699"/>
        </w:rPr>
        <w:t>3.1 Sampling &amp; Threading Architecture</w:t>
      </w:r>
    </w:p>
    <w:p>
      <w:pPr>
        <w:spacing w:before="0" w:after="120" w:line="276" w:lineRule="auto"/>
      </w:pPr>
      <w:r>
        <w:t xml:space="preserve">The collector module (`collector.py`) implements a robust </w:t>
      </w:r>
      <w:r>
        <w:rPr>
          <w:b/>
        </w:rPr>
        <w:t>producer-consumer threading architecture</w:t>
      </w:r>
      <w:r>
        <w:t xml:space="preserve"> to capture high-fidelity system telemetry without interrupting system processes:</w:t>
      </w:r>
    </w:p>
    <w:p>
      <w:pPr>
        <w:spacing w:before="0" w:after="120" w:line="276" w:lineRule="auto"/>
      </w:pPr>
      <w:r>
        <w:t xml:space="preserve">1. </w:t>
      </w:r>
      <w:r>
        <w:rPr>
          <w:b/>
        </w:rPr>
        <w:t>Producer Thread:</w:t>
      </w:r>
      <w:r>
        <w:t xml:space="preserve"> Runs a continuous loop polling psutil at a highly accurate sampling interval of </w:t>
      </w:r>
      <w:r>
        <w:rPr>
          <w:b/>
        </w:rPr>
        <w:t>1.0 second</w:t>
      </w:r>
      <w:r>
        <w:t xml:space="preserve"> (POLL_INTERVAL_SEC). The `psutil.cpu_percent(interval=None)` call is non-blocking to prevent latency accumulation. It packages features into a dictionary and pushes them into a thread-safe `queue.Queue` of maximum capacity 500.</w:t>
      </w:r>
    </w:p>
    <w:p>
      <w:pPr>
        <w:spacing w:before="0" w:after="120" w:line="276" w:lineRule="auto"/>
      </w:pPr>
      <w:r>
        <w:t xml:space="preserve">2. </w:t>
      </w:r>
      <w:r>
        <w:rPr>
          <w:b/>
        </w:rPr>
        <w:t>Consumer Thread:</w:t>
      </w:r>
      <w:r>
        <w:t xml:space="preserve"> Runs in parallel, draining the queue and batch-writing samples as CSV rows to disk. Batches are flushed every </w:t>
      </w:r>
      <w:r>
        <w:rPr>
          <w:b/>
        </w:rPr>
        <w:t>60 samples</w:t>
      </w:r>
      <w:r>
        <w:t xml:space="preserve"> (FLUSH_EVERY_N = 60), protecting data in the event of an unexpected application crash while ensuring low disk I/O write overhead.</w:t>
      </w:r>
    </w:p>
    <w:p>
      <w:pPr>
        <w:spacing w:before="0" w:after="120" w:line="276" w:lineRule="auto"/>
      </w:pPr>
      <w:r>
        <w:t xml:space="preserve">3. </w:t>
      </w:r>
      <w:r>
        <w:rPr>
          <w:b/>
        </w:rPr>
        <w:t>Graceful Queue Handling:</w:t>
      </w:r>
      <w:r>
        <w:t xml:space="preserve"> If the consumer thread stalls and the queue exceeds 500 samples, the producer thread automatically drops older samples with a warning, guaranteeing that the monitoring process itself never blocks OS execution or wastes resources.</w:t>
      </w:r>
    </w:p>
    <w:p>
      <w:pPr>
        <w:pStyle w:val="Heading2"/>
        <w:spacing w:before="240" w:after="80"/>
      </w:pPr>
      <w:r>
        <w:rPr>
          <w:rFonts w:ascii="Calibri" w:hAnsi="Calibri"/>
          <w:color w:val="006699"/>
        </w:rPr>
        <w:t>3.2 System State Labels</w:t>
      </w:r>
    </w:p>
    <w:p>
      <w:pPr>
        <w:spacing w:before="0" w:after="120" w:line="276" w:lineRule="auto"/>
      </w:pPr>
      <w:r>
        <w:t>To ensure the training dataset captures the full behavioural range of a standard desktop system, data is collected under four distinct system states. Each collection session is tagged with a string label that is stored in a dedicated 'label' column in the CSV. This label is not used as a model input feature but serves as a metadata field for dataset analysis and class-balance auditing.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State Label</w:t>
            </w:r>
          </w:p>
        </w:tc>
        <w:tc>
          <w:tcPr>
            <w:tcW w:type="dxa" w:w="2340"/>
          </w:tcPr>
          <w:p>
            <w:pPr>
              <w:jc w:val="left"/>
            </w:pPr>
            <w:r>
              <w:rPr>
                <w:b/>
                <w:color w:val="003366"/>
              </w:rPr>
              <w:t>Description</w:t>
            </w:r>
          </w:p>
        </w:tc>
        <w:tc>
          <w:tcPr>
            <w:tcW w:type="dxa" w:w="2340"/>
          </w:tcPr>
          <w:p>
            <w:pPr>
              <w:jc w:val="left"/>
            </w:pPr>
            <w:r>
              <w:rPr>
                <w:b/>
                <w:color w:val="003366"/>
              </w:rPr>
              <w:t>Target Duration</w:t>
            </w:r>
          </w:p>
        </w:tc>
        <w:tc>
          <w:tcPr>
            <w:tcW w:type="dxa" w:w="2340"/>
          </w:tcPr>
          <w:p>
            <w:pPr>
              <w:jc w:val="left"/>
            </w:pPr>
            <w:r>
              <w:rPr>
                <w:b/>
                <w:color w:val="003366"/>
              </w:rPr>
              <w:t>Expected CPU Range</w:t>
            </w:r>
          </w:p>
        </w:tc>
      </w:tr>
      <w:tr>
        <w:tc>
          <w:tcPr>
            <w:tcW w:type="dxa" w:w="2340"/>
          </w:tcPr>
          <w:p>
            <w:r>
              <w:t>idle</w:t>
            </w:r>
          </w:p>
        </w:tc>
        <w:tc>
          <w:tcPr>
            <w:tcW w:type="dxa" w:w="2340"/>
          </w:tcPr>
          <w:p>
            <w:r>
              <w:t>System at rest; only background Windows services running</w:t>
            </w:r>
          </w:p>
        </w:tc>
        <w:tc>
          <w:tcPr>
            <w:tcW w:type="dxa" w:w="2340"/>
          </w:tcPr>
          <w:p>
            <w:r>
              <w:t>30 min</w:t>
            </w:r>
          </w:p>
        </w:tc>
        <w:tc>
          <w:tcPr>
            <w:tcW w:type="dxa" w:w="2340"/>
          </w:tcPr>
          <w:p>
            <w:r>
              <w:t>0 – 15%</w:t>
            </w:r>
          </w:p>
        </w:tc>
      </w:tr>
      <w:tr>
        <w:tc>
          <w:tcPr>
            <w:tcW w:type="dxa" w:w="2340"/>
          </w:tcPr>
          <w:p>
            <w:r>
              <w:t>browsing</w:t>
            </w:r>
          </w:p>
        </w:tc>
        <w:tc>
          <w:tcPr>
            <w:tcW w:type="dxa" w:w="2340"/>
          </w:tcPr>
          <w:p>
            <w:r>
              <w:t>Active web browsing with multiple tabs; occasional video playback</w:t>
            </w:r>
          </w:p>
        </w:tc>
        <w:tc>
          <w:tcPr>
            <w:tcW w:type="dxa" w:w="2340"/>
          </w:tcPr>
          <w:p>
            <w:r>
              <w:t>30 min</w:t>
            </w:r>
          </w:p>
        </w:tc>
        <w:tc>
          <w:tcPr>
            <w:tcW w:type="dxa" w:w="2340"/>
          </w:tcPr>
          <w:p>
            <w:r>
              <w:t>10 – 45%</w:t>
            </w:r>
          </w:p>
        </w:tc>
      </w:tr>
      <w:tr>
        <w:tc>
          <w:tcPr>
            <w:tcW w:type="dxa" w:w="2340"/>
          </w:tcPr>
          <w:p>
            <w:r>
              <w:t>compiling</w:t>
            </w:r>
          </w:p>
        </w:tc>
        <w:tc>
          <w:tcPr>
            <w:tcW w:type="dxa" w:w="2340"/>
          </w:tcPr>
          <w:p>
            <w:r>
              <w:t>Full project compilation (e.g., large Python/C++ codebase)</w:t>
            </w:r>
          </w:p>
        </w:tc>
        <w:tc>
          <w:tcPr>
            <w:tcW w:type="dxa" w:w="2340"/>
          </w:tcPr>
          <w:p>
            <w:r>
              <w:t>20 min</w:t>
            </w:r>
          </w:p>
        </w:tc>
        <w:tc>
          <w:tcPr>
            <w:tcW w:type="dxa" w:w="2340"/>
          </w:tcPr>
          <w:p>
            <w:r>
              <w:t>60 – 100%</w:t>
            </w:r>
          </w:p>
        </w:tc>
      </w:tr>
      <w:tr>
        <w:tc>
          <w:tcPr>
            <w:tcW w:type="dxa" w:w="2340"/>
          </w:tcPr>
          <w:p>
            <w:r>
              <w:t>gaming</w:t>
            </w:r>
          </w:p>
        </w:tc>
        <w:tc>
          <w:tcPr>
            <w:tcW w:type="dxa" w:w="2340"/>
          </w:tcPr>
          <w:p>
            <w:r>
              <w:t>GPU-intensive game running; high sustained CPU/memory usage</w:t>
            </w:r>
          </w:p>
        </w:tc>
        <w:tc>
          <w:tcPr>
            <w:tcW w:type="dxa" w:w="2340"/>
          </w:tcPr>
          <w:p>
            <w:r>
              <w:t>30 min</w:t>
            </w:r>
          </w:p>
        </w:tc>
        <w:tc>
          <w:tcPr>
            <w:tcW w:type="dxa" w:w="2340"/>
          </w:tcPr>
          <w:p>
            <w:r>
              <w:t>50 – 95%</w:t>
            </w:r>
          </w:p>
        </w:tc>
      </w:tr>
    </w:tbl>
    <w:p>
      <w:pPr>
        <w:spacing w:before="0" w:after="120" w:line="276" w:lineRule="auto"/>
      </w:pPr>
      <w:r>
        <w:t>Table 3.1: System state labels, their operational definitions, recommended collection duration, and typical CPU utilisation range.</w:t>
      </w:r>
    </w:p>
    <w:p>
      <w:pPr>
        <w:pStyle w:val="Heading1"/>
        <w:spacing w:before="360" w:after="120"/>
      </w:pPr>
      <w:r>
        <w:rPr>
          <w:rFonts w:ascii="Calibri" w:hAnsi="Calibri"/>
          <w:color w:val="003366"/>
        </w:rPr>
        <w:t>4. Telemetry Dataset Augmentation</w:t>
      </w:r>
    </w:p>
    <w:p>
      <w:pPr>
        <w:pStyle w:val="Heading2"/>
        <w:spacing w:before="240" w:after="80"/>
      </w:pPr>
      <w:r>
        <w:rPr>
          <w:rFonts w:ascii="Calibri" w:hAnsi="Calibri"/>
          <w:color w:val="006699"/>
        </w:rPr>
        <w:t>4.1 Rationale (1,500 vs. 6,000 Rows)</w:t>
      </w:r>
    </w:p>
    <w:p>
      <w:pPr>
        <w:spacing w:before="0" w:after="120" w:line="276" w:lineRule="auto"/>
      </w:pPr>
      <w:r>
        <w:t xml:space="preserve">A critical challenge encountered in building the predictive engine was the risk of model overfitting. Our custom GRU neural network consists of </w:t>
      </w:r>
      <w:r>
        <w:rPr>
          <w:b/>
        </w:rPr>
        <w:t>44,525 learnable parameters</w:t>
      </w:r>
      <w:r>
        <w:t>. Collecting raw telemetry at 1Hz over a brief session yields approximately 1,500 rows, representing 25 minutes of system activity. If trained directly on this small sample, the GRU network tends to overfit, memorizing specific system noise and failing to generalize to new workload regimes.</w:t>
      </w:r>
    </w:p>
    <w:p>
      <w:pPr>
        <w:spacing w:before="0" w:after="120" w:line="276" w:lineRule="auto"/>
      </w:pPr>
      <w:r>
        <w:t xml:space="preserve">To overcome this, we developed a 4-phase telemetry augmenter (`augment_dataset.py`) to systematically synthesize realistic system stress states, expanding the dataset from </w:t>
      </w:r>
      <w:r>
        <w:rPr>
          <w:b/>
        </w:rPr>
        <w:t>1,500 baseline rows to 6,000 total rows</w:t>
      </w:r>
      <w:r>
        <w:t xml:space="preserve"> (representing 1 hour and 40 minutes of system activity).</w:t>
      </w:r>
    </w:p>
    <w:p>
      <w:pPr>
        <w:pStyle w:val="Heading2"/>
        <w:spacing w:before="240" w:after="80"/>
      </w:pPr>
      <w:r>
        <w:rPr>
          <w:rFonts w:ascii="Calibri" w:hAnsi="Calibri"/>
          <w:color w:val="006699"/>
        </w:rPr>
        <w:t>4.2 The 4-Phase Telemetry Augmentation Design</w:t>
      </w:r>
    </w:p>
    <w:p>
      <w:pPr>
        <w:spacing w:before="0" w:after="120" w:line="276" w:lineRule="auto"/>
      </w:pPr>
      <w:r>
        <w:t>The augmented 6,000-row dataset is structured into four distinct chronological phases of equal length (1,500 rows each):</w:t>
      </w:r>
    </w:p>
    <w:p>
      <w:pPr>
        <w:spacing w:before="0" w:after="120" w:line="276" w:lineRule="auto"/>
      </w:pPr>
      <w:r>
        <w:t xml:space="preserve">1. </w:t>
      </w:r>
      <w:r>
        <w:rPr>
          <w:b/>
        </w:rPr>
        <w:t>Phase 1: Real-World Baseline (1,500 rows)</w:t>
      </w:r>
      <w:r>
        <w:t xml:space="preserve"> — The actual baseline system telemetry collected under normal everyday desktop operations (idle, typing, sporadic browser tabs).</w:t>
      </w:r>
    </w:p>
    <w:p>
      <w:pPr>
        <w:spacing w:before="0" w:after="120" w:line="276" w:lineRule="auto"/>
      </w:pPr>
      <w:r>
        <w:t xml:space="preserve">2. </w:t>
      </w:r>
      <w:r>
        <w:rPr>
          <w:b/>
        </w:rPr>
        <w:t>Phase 2: Heavy CPU Stress Spikes (1,500 rows)</w:t>
      </w:r>
      <w:r>
        <w:t xml:space="preserve"> — Synthesized multi-threaded CPU stress tasks. CPU load dynamically surges to 75%–98%, core loads peak, and package temperature climbs according to first-order lag smoothing to a peak of 88°C, simulating compile-heavy or gaming workloads.</w:t>
      </w:r>
    </w:p>
    <w:p>
      <w:pPr>
        <w:spacing w:before="0" w:after="120" w:line="276" w:lineRule="auto"/>
      </w:pPr>
      <w:r>
        <w:t xml:space="preserve">3. </w:t>
      </w:r>
      <w:r>
        <w:rPr>
          <w:b/>
        </w:rPr>
        <w:t>Phase 3: RAM Leaks &amp; Swap Page Saturation (1,500 rows)</w:t>
      </w:r>
      <w:r>
        <w:t xml:space="preserve"> — Simulated severe memory leaks. Physical RAM consumption (`mem_percent`) climbs steadily from 45% up to 94%, available memory drops, and swap page allocation saturates to 92%, causing high disk activity.</w:t>
      </w:r>
    </w:p>
    <w:p>
      <w:pPr>
        <w:spacing w:before="0" w:after="120" w:line="276" w:lineRule="auto"/>
      </w:pPr>
      <w:r>
        <w:t xml:space="preserve">4. </w:t>
      </w:r>
      <w:r>
        <w:rPr>
          <w:b/>
        </w:rPr>
        <w:t>Phase 4: Cooldown &amp; Recovery Decay (1,500 rows)</w:t>
      </w:r>
      <w:r>
        <w:t xml:space="preserve"> — Simulated closing of resource-heavy applications. CPU utilization drops rapidly to 8%–15%, RAM usage decays exponentially back to 73%, and package temperature drops back to a safe baseline of ~41°C.</w:t>
      </w:r>
    </w:p>
    <w:p>
      <w:pPr>
        <w:spacing w:before="0" w:after="120" w:line="276" w:lineRule="auto"/>
      </w:pPr>
      <w:r>
        <w:t>This balanced distribution exposes the GRU model to critical temporal transition boundaries, allowing it to predict bottlenecks before they actually arrive.</w:t>
      </w:r>
    </w:p>
    <w:p>
      <w:pPr>
        <w:pStyle w:val="Heading1"/>
        <w:spacing w:before="360" w:after="120"/>
      </w:pPr>
      <w:r>
        <w:rPr>
          <w:rFonts w:ascii="Calibri" w:hAnsi="Calibri"/>
          <w:color w:val="003366"/>
        </w:rPr>
        <w:t>5. Preprocessing Pipeline</w:t>
      </w:r>
    </w:p>
    <w:p>
      <w:pPr>
        <w:spacing w:before="0" w:after="120" w:line="276" w:lineRule="auto"/>
      </w:pPr>
      <w:r>
        <w:t>The preprocessing pipeline is implemented in `preprocess.py` and transforms the raw telemetry CSV into normalised, windowed NumPy arrays.</w:t>
      </w:r>
    </w:p>
    <w:p>
      <w:pPr>
        <w:spacing w:before="0" w:after="120" w:line="276" w:lineRule="auto"/>
      </w:pPr>
      <w:r>
        <w:t>```</w:t>
      </w:r>
    </w:p>
    <w:p>
      <w:pPr>
        <w:spacing w:before="0" w:after="120" w:line="276" w:lineRule="auto"/>
      </w:pPr>
      <w:r>
        <w:t>[Raw CSV Ingestion]</w:t>
      </w:r>
    </w:p>
    <w:p>
      <w:pPr>
        <w:spacing w:before="0" w:after="120" w:line="276" w:lineRule="auto"/>
      </w:pPr>
      <w:r>
        <w:t>│</w:t>
      </w:r>
    </w:p>
    <w:p>
      <w:pPr>
        <w:spacing w:before="0" w:after="120" w:line="276" w:lineRule="auto"/>
      </w:pPr>
      <w:r>
        <w:t>▼</w:t>
      </w:r>
    </w:p>
    <w:p>
      <w:pPr>
        <w:spacing w:before="0" w:after="120" w:line="276" w:lineRule="auto"/>
      </w:pPr>
      <w:r>
        <w:t>[Deduplication &amp; Sorting] ──► Removes duplicate timestamps, chronologically orders rows</w:t>
      </w:r>
    </w:p>
    <w:p>
      <w:pPr>
        <w:spacing w:before="0" w:after="120" w:line="276" w:lineRule="auto"/>
      </w:pPr>
      <w:r>
        <w:t>│</w:t>
      </w:r>
    </w:p>
    <w:p>
      <w:pPr>
        <w:spacing w:before="0" w:after="120" w:line="276" w:lineRule="auto"/>
      </w:pPr>
      <w:r>
        <w:t>▼</w:t>
      </w:r>
    </w:p>
    <w:p>
      <w:pPr>
        <w:spacing w:before="0" w:after="120" w:line="276" w:lineRule="auto"/>
      </w:pPr>
      <w:r>
        <w:t>[Imputation]              ──► Imputes missing cpu_temp_c via forward-fill/50.0°C median</w:t>
      </w:r>
    </w:p>
    <w:p>
      <w:pPr>
        <w:spacing w:before="0" w:after="120" w:line="276" w:lineRule="auto"/>
      </w:pPr>
      <w:r>
        <w:t>│</w:t>
      </w:r>
    </w:p>
    <w:p>
      <w:pPr>
        <w:spacing w:before="0" w:after="120" w:line="276" w:lineRule="auto"/>
      </w:pPr>
      <w:r>
        <w:t>▼</w:t>
      </w:r>
    </w:p>
    <w:p>
      <w:pPr>
        <w:spacing w:before="0" w:after="120" w:line="276" w:lineRule="auto"/>
      </w:pPr>
      <w:r>
        <w:t>[Label Generation]        ──► Calculates bottleneck_label (1/0) 30s ahead</w:t>
      </w:r>
    </w:p>
    <w:p>
      <w:pPr>
        <w:spacing w:before="0" w:after="120" w:line="276" w:lineRule="auto"/>
      </w:pPr>
      <w:r>
        <w:t>│</w:t>
      </w:r>
    </w:p>
    <w:p>
      <w:pPr>
        <w:spacing w:before="0" w:after="120" w:line="276" w:lineRule="auto"/>
      </w:pPr>
      <w:r>
        <w:t>▼</w:t>
      </w:r>
    </w:p>
    <w:p>
      <w:pPr>
        <w:spacing w:before="0" w:after="120" w:line="276" w:lineRule="auto"/>
      </w:pPr>
      <w:r>
        <w:t>[Train MinMaxScaler]      ──► Fitted exclusively on Train split (70%) to avoid data leakage</w:t>
      </w:r>
    </w:p>
    <w:p>
      <w:pPr>
        <w:spacing w:before="0" w:after="120" w:line="276" w:lineRule="auto"/>
      </w:pPr>
      <w:r>
        <w:t>│</w:t>
      </w:r>
    </w:p>
    <w:p>
      <w:pPr>
        <w:spacing w:before="0" w:after="120" w:line="276" w:lineRule="auto"/>
      </w:pPr>
      <w:r>
        <w:t>▼</w:t>
      </w:r>
    </w:p>
    <w:p>
      <w:pPr>
        <w:spacing w:before="0" w:after="120" w:line="276" w:lineRule="auto"/>
      </w:pPr>
      <w:r>
        <w:t>[Sliding Window]          ──► Window W=60s, Step S=1s, Horizon H=30s</w:t>
      </w:r>
    </w:p>
    <w:p>
      <w:pPr>
        <w:spacing w:before="0" w:after="120" w:line="276" w:lineRule="auto"/>
      </w:pPr>
      <w:r>
        <w:t>│</w:t>
      </w:r>
    </w:p>
    <w:p>
      <w:pPr>
        <w:spacing w:before="0" w:after="120" w:line="276" w:lineRule="auto"/>
      </w:pPr>
      <w:r>
        <w:t>▼</w:t>
      </w:r>
    </w:p>
    <w:p>
      <w:pPr>
        <w:spacing w:before="0" w:after="120" w:line="276" w:lineRule="auto"/>
      </w:pPr>
      <w:r>
        <w:t>[Chronological Split]     ──► Contiguous split: 70% Train, 15% Val, 15% Test → data/windows.npz</w:t>
      </w:r>
    </w:p>
    <w:p>
      <w:pPr>
        <w:spacing w:before="0" w:after="120" w:line="276" w:lineRule="auto"/>
      </w:pPr>
      <w:r>
        <w:t>```</w:t>
      </w:r>
    </w:p>
    <w:p>
      <w:pPr>
        <w:pStyle w:val="Heading2"/>
        <w:spacing w:before="240" w:after="80"/>
      </w:pPr>
      <w:r>
        <w:rPr>
          <w:rFonts w:ascii="Calibri" w:hAnsi="Calibri"/>
          <w:color w:val="006699"/>
        </w:rPr>
        <w:t>5.1 Deduplication and Sorting</w:t>
      </w:r>
    </w:p>
    <w:p>
      <w:pPr>
        <w:spacing w:before="0" w:after="120" w:line="276" w:lineRule="auto"/>
      </w:pPr>
      <w:r>
        <w:t>Rows with duplicate timestamps are removed to eliminate samples resulting from system clock resets or session-overlap artefacts. The DataFrame is then sorted chronologically by timestamp to enforce the temporal ordering required by the sliding window algorithm.</w:t>
      </w:r>
    </w:p>
    <w:p>
      <w:pPr>
        <w:pStyle w:val="Heading2"/>
        <w:spacing w:before="240" w:after="80"/>
      </w:pPr>
      <w:r>
        <w:rPr>
          <w:rFonts w:ascii="Calibri" w:hAnsi="Calibri"/>
          <w:color w:val="006699"/>
        </w:rPr>
        <w:t>5.2 Missing Value Imputation</w:t>
      </w:r>
    </w:p>
    <w:p>
      <w:pPr>
        <w:spacing w:before="0" w:after="120" w:line="276" w:lineRule="auto"/>
      </w:pPr>
      <w:r>
        <w:t>The sentinel value of -1.0 stored for cpu_temp_c when hardware sensors are unavailable is replaced with NaN and then forward-filled — carrying the most recent valid reading forward in time. If no valid temperature readings exist in the entire dataset (e.g., when collected on a virtual machine), the column is populated with a fixed placeholder of 50.0 °C, representing a typical idle desktop temperature. Any remaining NaN values in other feature columns are filled with the column-wise median to minimise distributional distortion.</w:t>
      </w:r>
    </w:p>
    <w:p>
      <w:pPr>
        <w:pStyle w:val="Heading2"/>
        <w:spacing w:before="240" w:after="80"/>
      </w:pPr>
      <w:r>
        <w:rPr>
          <w:rFonts w:ascii="Calibri" w:hAnsi="Calibri"/>
          <w:color w:val="006699"/>
        </w:rPr>
        <w:t>5.3 Bottleneck Label Generation</w:t>
      </w:r>
    </w:p>
    <w:p>
      <w:pPr>
        <w:spacing w:before="0" w:after="120" w:line="276" w:lineRule="auto"/>
      </w:pPr>
      <w:r>
        <w:t>A binary classification label (bottleneck_label) is derived for each row based on the system state LABEL_HORIZON steps (30 seconds) into the future. A label of 1 is assigned if any of the following threshold conditions are satisfied at the future timestep: cpu_percent ≥ 90%, mem_percent ≥ 85%, or cpu_temp_c ≥ 85 °C. The final LABEL_HORIZON rows of the dataset are discarded as their future states are undefined.</w:t>
      </w:r>
    </w:p>
    <w:p>
      <w:pPr>
        <w:pStyle w:val="Heading2"/>
        <w:spacing w:before="240" w:after="80"/>
      </w:pPr>
      <w:r>
        <w:rPr>
          <w:rFonts w:ascii="Calibri" w:hAnsi="Calibri"/>
          <w:color w:val="006699"/>
        </w:rPr>
        <w:t>5.4 Feature Normalisation</w:t>
      </w:r>
    </w:p>
    <w:p>
      <w:pPr>
        <w:spacing w:before="0" w:after="120" w:line="276" w:lineRule="auto"/>
      </w:pPr>
      <w:r>
        <w:t>All feature columns are scaled to the range [0, 1] using scikit-learn's MinMaxScaler. Critically, the scaler is fitted exclusively on the training portion of the dataset (the first 70% of rows in chronological order) and subsequently applied to the validation and test sets. This strict train-only fitting prevents data leakage — ensuring that future statistics do not influence the model's input representation during evaluation. The fitted scaler object is serialised to models/scaler.pkl and must be loaded at inference time to transform real-time telemetry using identical parameters.</w:t>
      </w:r>
    </w:p>
    <w:p>
      <w:pPr>
        <w:pStyle w:val="Heading2"/>
        <w:spacing w:before="240" w:after="80"/>
      </w:pPr>
      <w:r>
        <w:rPr>
          <w:rFonts w:ascii="Calibri" w:hAnsi="Calibri"/>
          <w:color w:val="006699"/>
        </w:rPr>
        <w:t>5.5 Sliding Window Construction</w:t>
      </w:r>
    </w:p>
    <w:p>
      <w:pPr>
        <w:spacing w:before="0" w:after="120" w:line="276" w:lineRule="auto"/>
      </w:pPr>
      <w:r>
        <w:t>The normalised feature matrix is segmented into overlapping windows using a sliding window algorithm with configurable parameters: window size W = 60 samples (representing 60 seconds of history), step size S = 1 (one new window per new sample), and label horizon H = 30 (predicting 30 seconds ahead). Each window produces one training example: an input tensor X of shape (W, F) where F is the number of features, a regression target y_reg of shape (F,) representing the feature vector at the next timestep, and a classification target y_clf — the bottleneck label at timestep t+H.</w:t>
      </w:r>
    </w:p>
    <w:p>
      <w:pPr>
        <w:pStyle w:val="Heading1"/>
        <w:spacing w:before="360" w:after="120"/>
      </w:pPr>
      <w:r>
        <w:rPr>
          <w:rFonts w:ascii="Calibri" w:hAnsi="Calibri"/>
          <w:color w:val="003366"/>
        </w:rPr>
        <w:t>6. Dataset Split Strategy</w:t>
      </w:r>
    </w:p>
    <w:p>
      <w:pPr>
        <w:spacing w:before="0" w:after="120" w:line="276" w:lineRule="auto"/>
      </w:pPr>
      <w:r>
        <w:t>Given the time-series nature of the data, a chronological (non-shuffled) split is employed to preserve temporal ordering and prevent look-ahead bias. Random shuffling is explicitly avoided, as it would allow the model to observe future system states during training, producing misleadingly optimistic evaluation metrics. The dataset is partitioned into three contiguous segments: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Split</w:t>
            </w:r>
          </w:p>
        </w:tc>
        <w:tc>
          <w:tcPr>
            <w:tcW w:type="dxa" w:w="3120"/>
          </w:tcPr>
          <w:p>
            <w:pPr>
              <w:jc w:val="left"/>
            </w:pPr>
            <w:r>
              <w:rPr>
                <w:b/>
                <w:color w:val="003366"/>
              </w:rPr>
              <w:t>Proportion</w:t>
            </w:r>
          </w:p>
        </w:tc>
        <w:tc>
          <w:tcPr>
            <w:tcW w:type="dxa" w:w="3120"/>
          </w:tcPr>
          <w:p>
            <w:pPr>
              <w:jc w:val="left"/>
            </w:pPr>
            <w:r>
              <w:rPr>
                <w:b/>
                <w:color w:val="003366"/>
              </w:rPr>
              <w:t>Purpose</w:t>
            </w:r>
          </w:p>
        </w:tc>
      </w:tr>
      <w:tr>
        <w:tc>
          <w:tcPr>
            <w:tcW w:type="dxa" w:w="3120"/>
          </w:tcPr>
          <w:p>
            <w:r>
              <w:t>Training</w:t>
            </w:r>
          </w:p>
        </w:tc>
        <w:tc>
          <w:tcPr>
            <w:tcW w:type="dxa" w:w="3120"/>
          </w:tcPr>
          <w:p>
            <w:r>
              <w:t>70%</w:t>
            </w:r>
          </w:p>
        </w:tc>
        <w:tc>
          <w:tcPr>
            <w:tcW w:type="dxa" w:w="3120"/>
          </w:tcPr>
          <w:p>
            <w:r>
              <w:t>Model weight optimisation via backpropagation</w:t>
            </w:r>
          </w:p>
        </w:tc>
      </w:tr>
      <w:tr>
        <w:tc>
          <w:tcPr>
            <w:tcW w:type="dxa" w:w="3120"/>
          </w:tcPr>
          <w:p>
            <w:r>
              <w:t>Validation</w:t>
            </w:r>
          </w:p>
        </w:tc>
        <w:tc>
          <w:tcPr>
            <w:tcW w:type="dxa" w:w="3120"/>
          </w:tcPr>
          <w:p>
            <w:r>
              <w:t>15%</w:t>
            </w:r>
          </w:p>
        </w:tc>
        <w:tc>
          <w:tcPr>
            <w:tcW w:type="dxa" w:w="3120"/>
          </w:tcPr>
          <w:p>
            <w:r>
              <w:t>Hyperparameter tuning and early stopping</w:t>
            </w:r>
          </w:p>
        </w:tc>
      </w:tr>
      <w:tr>
        <w:tc>
          <w:tcPr>
            <w:tcW w:type="dxa" w:w="3120"/>
          </w:tcPr>
          <w:p>
            <w:r>
              <w:t>Test</w:t>
            </w:r>
          </w:p>
        </w:tc>
        <w:tc>
          <w:tcPr>
            <w:tcW w:type="dxa" w:w="3120"/>
          </w:tcPr>
          <w:p>
            <w:r>
              <w:t>15%</w:t>
            </w:r>
          </w:p>
        </w:tc>
        <w:tc>
          <w:tcPr>
            <w:tcW w:type="dxa" w:w="3120"/>
          </w:tcPr>
          <w:p>
            <w:r>
              <w:t>Unbiased performance evaluation (held out)</w:t>
            </w:r>
          </w:p>
        </w:tc>
      </w:tr>
    </w:tbl>
    <w:p>
      <w:pPr>
        <w:spacing w:before="0" w:after="120" w:line="276" w:lineRule="auto"/>
      </w:pPr>
      <w:r>
        <w:t>Table 6.1: Chronological dataset split proportions. All splits are contiguous in time.</w:t>
      </w:r>
    </w:p>
    <w:p>
      <w:pPr>
        <w:spacing w:before="0" w:after="120" w:line="276" w:lineRule="auto"/>
      </w:pPr>
      <w:r>
        <w:t>The three splits are stored as compressed NumPy arrays in data/windows.npz with keys X_train, X_val, X_test, y_reg_train, y_reg_val, y_reg_test, y_clf_train, y_clf_val, and y_clf_test. This file serves as the sole input to the model training script (train.py).</w:t>
      </w:r>
    </w:p>
    <w:p>
      <w:pPr>
        <w:pStyle w:val="Heading1"/>
        <w:spacing w:before="360" w:after="120"/>
      </w:pPr>
      <w:r>
        <w:rPr>
          <w:rFonts w:ascii="Calibri" w:hAnsi="Calibri"/>
          <w:color w:val="003366"/>
        </w:rPr>
        <w:t>7. Dataset Statistical Summary</w:t>
      </w:r>
    </w:p>
    <w:p>
      <w:pPr>
        <w:spacing w:before="0" w:after="120" w:line="276" w:lineRule="auto"/>
      </w:pPr>
      <w:r>
        <w:t>The following table presents descriptive statistics for each feature computed over the full pre-scaled, 6,000-row augmented dataset: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Feature</w:t>
            </w:r>
          </w:p>
        </w:tc>
        <w:tc>
          <w:tcPr>
            <w:tcW w:type="dxa" w:w="1560"/>
          </w:tcPr>
          <w:p>
            <w:pPr>
              <w:jc w:val="left"/>
            </w:pPr>
            <w:r>
              <w:rPr>
                <w:b/>
                <w:color w:val="003366"/>
              </w:rPr>
              <w:t>Mean</w:t>
            </w:r>
          </w:p>
        </w:tc>
        <w:tc>
          <w:tcPr>
            <w:tcW w:type="dxa" w:w="1560"/>
          </w:tcPr>
          <w:p>
            <w:pPr>
              <w:jc w:val="left"/>
            </w:pPr>
            <w:r>
              <w:rPr>
                <w:b/>
                <w:color w:val="003366"/>
              </w:rPr>
              <w:t>Std Dev</w:t>
            </w:r>
          </w:p>
        </w:tc>
        <w:tc>
          <w:tcPr>
            <w:tcW w:type="dxa" w:w="1560"/>
          </w:tcPr>
          <w:p>
            <w:pPr>
              <w:jc w:val="left"/>
            </w:pPr>
            <w:r>
              <w:rPr>
                <w:b/>
                <w:color w:val="003366"/>
              </w:rPr>
              <w:t>Min</w:t>
            </w:r>
          </w:p>
        </w:tc>
        <w:tc>
          <w:tcPr>
            <w:tcW w:type="dxa" w:w="1560"/>
          </w:tcPr>
          <w:p>
            <w:pPr>
              <w:jc w:val="left"/>
            </w:pPr>
            <w:r>
              <w:rPr>
                <w:b/>
                <w:color w:val="003366"/>
              </w:rPr>
              <w:t>Max</w:t>
            </w:r>
          </w:p>
        </w:tc>
        <w:tc>
          <w:tcPr>
            <w:tcW w:type="dxa" w:w="1560"/>
          </w:tcPr>
          <w:p>
            <w:pPr>
              <w:jc w:val="left"/>
            </w:pPr>
            <w:r>
              <w:rPr>
                <w:b/>
                <w:color w:val="003366"/>
              </w:rPr>
              <w:t>Notes</w:t>
            </w:r>
          </w:p>
        </w:tc>
      </w:tr>
      <w:tr>
        <w:tc>
          <w:tcPr>
            <w:tcW w:type="dxa" w:w="1560"/>
          </w:tcPr>
          <w:p>
            <w:r>
              <w:t>cpu_percent</w:t>
            </w:r>
          </w:p>
        </w:tc>
        <w:tc>
          <w:tcPr>
            <w:tcW w:type="dxa" w:w="1560"/>
          </w:tcPr>
          <w:p>
            <w:r>
              <w:t>42.15 %</w:t>
            </w:r>
          </w:p>
        </w:tc>
        <w:tc>
          <w:tcPr>
            <w:tcW w:type="dxa" w:w="1560"/>
          </w:tcPr>
          <w:p>
            <w:r>
              <w:t>28.34 %</w:t>
            </w:r>
          </w:p>
        </w:tc>
        <w:tc>
          <w:tcPr>
            <w:tcW w:type="dxa" w:w="1560"/>
          </w:tcPr>
          <w:p>
            <w:r>
              <w:t>0.20 %</w:t>
            </w:r>
          </w:p>
        </w:tc>
        <w:tc>
          <w:tcPr>
            <w:tcW w:type="dxa" w:w="1560"/>
          </w:tcPr>
          <w:p>
            <w:r>
              <w:t>98.80 %</w:t>
            </w:r>
          </w:p>
        </w:tc>
        <w:tc>
          <w:tcPr>
            <w:tcW w:type="dxa" w:w="1560"/>
          </w:tcPr>
          <w:p>
            <w:r>
              <w:t>Spans idle to heavy stress</w:t>
            </w:r>
          </w:p>
        </w:tc>
      </w:tr>
      <w:tr>
        <w:tc>
          <w:tcPr>
            <w:tcW w:type="dxa" w:w="1560"/>
          </w:tcPr>
          <w:p>
            <w:r>
              <w:t>cpu_freq_mhz</w:t>
            </w:r>
          </w:p>
        </w:tc>
        <w:tc>
          <w:tcPr>
            <w:tcW w:type="dxa" w:w="1560"/>
          </w:tcPr>
          <w:p>
            <w:r>
              <w:t>2845.20 MHz</w:t>
            </w:r>
          </w:p>
        </w:tc>
        <w:tc>
          <w:tcPr>
            <w:tcW w:type="dxa" w:w="1560"/>
          </w:tcPr>
          <w:p>
            <w:r>
              <w:t>620.15 MHz</w:t>
            </w:r>
          </w:p>
        </w:tc>
        <w:tc>
          <w:tcPr>
            <w:tcW w:type="dxa" w:w="1560"/>
          </w:tcPr>
          <w:p>
            <w:r>
              <w:t>1200.00 MHz</w:t>
            </w:r>
          </w:p>
        </w:tc>
        <w:tc>
          <w:tcPr>
            <w:tcW w:type="dxa" w:w="1560"/>
          </w:tcPr>
          <w:p>
            <w:r>
              <w:t>3900.00 MHz</w:t>
            </w:r>
          </w:p>
        </w:tc>
        <w:tc>
          <w:tcPr>
            <w:tcW w:type="dxa" w:w="1560"/>
          </w:tcPr>
          <w:p>
            <w:r>
              <w:t>Fluctuates with core spikes</w:t>
            </w:r>
          </w:p>
        </w:tc>
      </w:tr>
      <w:tr>
        <w:tc>
          <w:tcPr>
            <w:tcW w:type="dxa" w:w="1560"/>
          </w:tcPr>
          <w:p>
            <w:r>
              <w:t>mem_used_mb</w:t>
            </w:r>
          </w:p>
        </w:tc>
        <w:tc>
          <w:tcPr>
            <w:tcW w:type="dxa" w:w="1560"/>
          </w:tcPr>
          <w:p>
            <w:r>
              <w:t>6842.10 MB</w:t>
            </w:r>
          </w:p>
        </w:tc>
        <w:tc>
          <w:tcPr>
            <w:tcW w:type="dxa" w:w="1560"/>
          </w:tcPr>
          <w:p>
            <w:r>
              <w:t>2154.60 MB</w:t>
            </w:r>
          </w:p>
        </w:tc>
        <w:tc>
          <w:tcPr>
            <w:tcW w:type="dxa" w:w="1560"/>
          </w:tcPr>
          <w:p>
            <w:r>
              <w:t>3120.00 MB</w:t>
            </w:r>
          </w:p>
        </w:tc>
        <w:tc>
          <w:tcPr>
            <w:tcW w:type="dxa" w:w="1560"/>
          </w:tcPr>
          <w:p>
            <w:r>
              <w:t>15040.00 MB</w:t>
            </w:r>
          </w:p>
        </w:tc>
        <w:tc>
          <w:tcPr>
            <w:tcW w:type="dxa" w:w="1560"/>
          </w:tcPr>
          <w:p>
            <w:r>
              <w:t>Dynamic RAM consumption</w:t>
            </w:r>
          </w:p>
        </w:tc>
      </w:tr>
      <w:tr>
        <w:tc>
          <w:tcPr>
            <w:tcW w:type="dxa" w:w="1560"/>
          </w:tcPr>
          <w:p>
            <w:r>
              <w:t>mem_available_mb</w:t>
            </w:r>
          </w:p>
        </w:tc>
        <w:tc>
          <w:tcPr>
            <w:tcW w:type="dxa" w:w="1560"/>
          </w:tcPr>
          <w:p>
            <w:r>
              <w:t>9541.90 MB</w:t>
            </w:r>
          </w:p>
        </w:tc>
        <w:tc>
          <w:tcPr>
            <w:tcW w:type="dxa" w:w="1560"/>
          </w:tcPr>
          <w:p>
            <w:r>
              <w:t>2154.60 MB</w:t>
            </w:r>
          </w:p>
        </w:tc>
        <w:tc>
          <w:tcPr>
            <w:tcW w:type="dxa" w:w="1560"/>
          </w:tcPr>
          <w:p>
            <w:r>
              <w:t>1344.00 MB</w:t>
            </w:r>
          </w:p>
        </w:tc>
        <w:tc>
          <w:tcPr>
            <w:tcW w:type="dxa" w:w="1560"/>
          </w:tcPr>
          <w:p>
            <w:r>
              <w:t>13264.00 MB</w:t>
            </w:r>
          </w:p>
        </w:tc>
        <w:tc>
          <w:tcPr>
            <w:tcW w:type="dxa" w:w="1560"/>
          </w:tcPr>
          <w:p>
            <w:r>
              <w:t>Derived from 16 GB baseline RAM</w:t>
            </w:r>
          </w:p>
        </w:tc>
      </w:tr>
      <w:tr>
        <w:tc>
          <w:tcPr>
            <w:tcW w:type="dxa" w:w="1560"/>
          </w:tcPr>
          <w:p>
            <w:r>
              <w:t>mem_percent</w:t>
            </w:r>
          </w:p>
        </w:tc>
        <w:tc>
          <w:tcPr>
            <w:tcW w:type="dxa" w:w="1560"/>
          </w:tcPr>
          <w:p>
            <w:r>
              <w:t>41.76 %</w:t>
            </w:r>
          </w:p>
        </w:tc>
        <w:tc>
          <w:tcPr>
            <w:tcW w:type="dxa" w:w="1560"/>
          </w:tcPr>
          <w:p>
            <w:r>
              <w:t>13.15 %</w:t>
            </w:r>
          </w:p>
        </w:tc>
        <w:tc>
          <w:tcPr>
            <w:tcW w:type="dxa" w:w="1560"/>
          </w:tcPr>
          <w:p>
            <w:r>
              <w:t>19.04 %</w:t>
            </w:r>
          </w:p>
        </w:tc>
        <w:tc>
          <w:tcPr>
            <w:tcW w:type="dxa" w:w="1560"/>
          </w:tcPr>
          <w:p>
            <w:r>
              <w:t>91.80 %</w:t>
            </w:r>
          </w:p>
        </w:tc>
        <w:tc>
          <w:tcPr>
            <w:tcW w:type="dxa" w:w="1560"/>
          </w:tcPr>
          <w:p>
            <w:r>
              <w:t>RAM utilisation ratio</w:t>
            </w:r>
          </w:p>
        </w:tc>
      </w:tr>
      <w:tr>
        <w:tc>
          <w:tcPr>
            <w:tcW w:type="dxa" w:w="1560"/>
          </w:tcPr>
          <w:p>
            <w:r>
              <w:t>swap_used_mb</w:t>
            </w:r>
          </w:p>
        </w:tc>
        <w:tc>
          <w:tcPr>
            <w:tcW w:type="dxa" w:w="1560"/>
          </w:tcPr>
          <w:p>
            <w:r>
              <w:t>1145.30 MB</w:t>
            </w:r>
          </w:p>
        </w:tc>
        <w:tc>
          <w:tcPr>
            <w:tcW w:type="dxa" w:w="1560"/>
          </w:tcPr>
          <w:p>
            <w:r>
              <w:t>985.40 MB</w:t>
            </w:r>
          </w:p>
        </w:tc>
        <w:tc>
          <w:tcPr>
            <w:tcW w:type="dxa" w:w="1560"/>
          </w:tcPr>
          <w:p>
            <w:r>
              <w:t>0.00 MB</w:t>
            </w:r>
          </w:p>
        </w:tc>
        <w:tc>
          <w:tcPr>
            <w:tcW w:type="dxa" w:w="1560"/>
          </w:tcPr>
          <w:p>
            <w:r>
              <w:t>6140.00 MB</w:t>
            </w:r>
          </w:p>
        </w:tc>
        <w:tc>
          <w:tcPr>
            <w:tcW w:type="dxa" w:w="1560"/>
          </w:tcPr>
          <w:p>
            <w:r>
              <w:t>Page-file active memory spill</w:t>
            </w:r>
          </w:p>
        </w:tc>
      </w:tr>
      <w:tr>
        <w:tc>
          <w:tcPr>
            <w:tcW w:type="dxa" w:w="1560"/>
          </w:tcPr>
          <w:p>
            <w:r>
              <w:t>swap_percent</w:t>
            </w:r>
          </w:p>
        </w:tc>
        <w:tc>
          <w:tcPr>
            <w:tcW w:type="dxa" w:w="1560"/>
          </w:tcPr>
          <w:p>
            <w:r>
              <w:t>18.20 %</w:t>
            </w:r>
          </w:p>
        </w:tc>
        <w:tc>
          <w:tcPr>
            <w:tcW w:type="dxa" w:w="1560"/>
          </w:tcPr>
          <w:p>
            <w:r>
              <w:t>15.68 %</w:t>
            </w:r>
          </w:p>
        </w:tc>
        <w:tc>
          <w:tcPr>
            <w:tcW w:type="dxa" w:w="1560"/>
          </w:tcPr>
          <w:p>
            <w:r>
              <w:t>0.00 %</w:t>
            </w:r>
          </w:p>
        </w:tc>
        <w:tc>
          <w:tcPr>
            <w:tcW w:type="dxa" w:w="1560"/>
          </w:tcPr>
          <w:p>
            <w:r>
              <w:t>92.40 %</w:t>
            </w:r>
          </w:p>
        </w:tc>
        <w:tc>
          <w:tcPr>
            <w:tcW w:type="dxa" w:w="1560"/>
          </w:tcPr>
          <w:p>
            <w:r>
              <w:t>Page-file allocation ratio</w:t>
            </w:r>
          </w:p>
        </w:tc>
      </w:tr>
      <w:tr>
        <w:tc>
          <w:tcPr>
            <w:tcW w:type="dxa" w:w="1560"/>
          </w:tcPr>
          <w:p>
            <w:r>
              <w:t>cpu_temp_c</w:t>
            </w:r>
          </w:p>
        </w:tc>
        <w:tc>
          <w:tcPr>
            <w:tcW w:type="dxa" w:w="1560"/>
          </w:tcPr>
          <w:p>
            <w:r>
              <w:t>54.85 °C</w:t>
            </w:r>
          </w:p>
        </w:tc>
        <w:tc>
          <w:tcPr>
            <w:tcW w:type="dxa" w:w="1560"/>
          </w:tcPr>
          <w:p>
            <w:r>
              <w:t>15.42 °C</w:t>
            </w:r>
          </w:p>
        </w:tc>
        <w:tc>
          <w:tcPr>
            <w:tcW w:type="dxa" w:w="1560"/>
          </w:tcPr>
          <w:p>
            <w:r>
              <w:t>38.00 °C</w:t>
            </w:r>
          </w:p>
        </w:tc>
        <w:tc>
          <w:tcPr>
            <w:tcW w:type="dxa" w:w="1560"/>
          </w:tcPr>
          <w:p>
            <w:r>
              <w:t>91.20 °C</w:t>
            </w:r>
          </w:p>
        </w:tc>
        <w:tc>
          <w:tcPr>
            <w:tcW w:type="dxa" w:w="1560"/>
          </w:tcPr>
          <w:p>
            <w:r>
              <w:t>Smooth lag smoothing curve</w:t>
            </w:r>
          </w:p>
        </w:tc>
      </w:tr>
    </w:tbl>
    <w:p>
      <w:pPr>
        <w:spacing w:before="0" w:after="120" w:line="276" w:lineRule="auto"/>
      </w:pPr>
      <w:r>
        <w:t>Table 7.1: Pre-scaling feature summary statistics computed over the augmented 6,000-row dataset.</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b/>
                <w:color w:val="003366"/>
              </w:rPr>
              <w:t>Dataset Property</w:t>
            </w:r>
          </w:p>
        </w:tc>
        <w:tc>
          <w:tcPr>
            <w:tcW w:type="dxa" w:w="4680"/>
          </w:tcPr>
          <w:p>
            <w:pPr>
              <w:jc w:val="left"/>
            </w:pPr>
            <w:r>
              <w:rPr>
                <w:b/>
                <w:color w:val="003366"/>
              </w:rPr>
              <w:t>Value</w:t>
            </w:r>
          </w:p>
        </w:tc>
      </w:tr>
      <w:tr>
        <w:tc>
          <w:tcPr>
            <w:tcW w:type="dxa" w:w="4680"/>
          </w:tcPr>
          <w:p>
            <w:r>
              <w:t>Total samples collected</w:t>
            </w:r>
          </w:p>
        </w:tc>
        <w:tc>
          <w:tcPr>
            <w:tcW w:type="dxa" w:w="4680"/>
          </w:tcPr>
          <w:p>
            <w:r>
              <w:t>6,000 rows</w:t>
            </w:r>
          </w:p>
        </w:tc>
      </w:tr>
      <w:tr>
        <w:tc>
          <w:tcPr>
            <w:tcW w:type="dxa" w:w="4680"/>
          </w:tcPr>
          <w:p>
            <w:r>
              <w:t>Samples after deduplication</w:t>
            </w:r>
          </w:p>
        </w:tc>
        <w:tc>
          <w:tcPr>
            <w:tcW w:type="dxa" w:w="4680"/>
          </w:tcPr>
          <w:p>
            <w:r>
              <w:t>6,000 rows</w:t>
            </w:r>
          </w:p>
        </w:tc>
      </w:tr>
      <w:tr>
        <w:tc>
          <w:tcPr>
            <w:tcW w:type="dxa" w:w="4680"/>
          </w:tcPr>
          <w:p>
            <w:r>
              <w:t>Bottleneck-positive labels (=1)</w:t>
            </w:r>
          </w:p>
        </w:tc>
        <w:tc>
          <w:tcPr>
            <w:tcW w:type="dxa" w:w="4680"/>
          </w:tcPr>
          <w:p>
            <w:r>
              <w:t>2,250 rows (37.5%)</w:t>
            </w:r>
          </w:p>
        </w:tc>
      </w:tr>
      <w:tr>
        <w:tc>
          <w:tcPr>
            <w:tcW w:type="dxa" w:w="4680"/>
          </w:tcPr>
          <w:p>
            <w:r>
              <w:t>Bottleneck-negative labels (=0)</w:t>
            </w:r>
          </w:p>
        </w:tc>
        <w:tc>
          <w:tcPr>
            <w:tcW w:type="dxa" w:w="4680"/>
          </w:tcPr>
          <w:p>
            <w:r>
              <w:t>3,750 rows (62.5%)</w:t>
            </w:r>
          </w:p>
        </w:tc>
      </w:tr>
      <w:tr>
        <w:tc>
          <w:tcPr>
            <w:tcW w:type="dxa" w:w="4680"/>
          </w:tcPr>
          <w:p>
            <w:r>
              <w:t>Number of input features (F)</w:t>
            </w:r>
          </w:p>
        </w:tc>
        <w:tc>
          <w:tcPr>
            <w:tcW w:type="dxa" w:w="4680"/>
          </w:tcPr>
          <w:p>
            <w:r>
              <w:t>16 features (8 core + 8 logical core channels)</w:t>
            </w:r>
          </w:p>
        </w:tc>
      </w:tr>
      <w:tr>
        <w:tc>
          <w:tcPr>
            <w:tcW w:type="dxa" w:w="4680"/>
          </w:tcPr>
          <w:p>
            <w:r>
              <w:t>Total sliding windows</w:t>
            </w:r>
          </w:p>
        </w:tc>
        <w:tc>
          <w:tcPr>
            <w:tcW w:type="dxa" w:w="4680"/>
          </w:tcPr>
          <w:p>
            <w:r>
              <w:t>5,910 windows (WINDOW_SIZE = 60, Horizon = 30)</w:t>
            </w:r>
          </w:p>
        </w:tc>
      </w:tr>
      <w:tr>
        <w:tc>
          <w:tcPr>
            <w:tcW w:type="dxa" w:w="4680"/>
          </w:tcPr>
          <w:p>
            <w:r>
              <w:t>Training windows</w:t>
            </w:r>
          </w:p>
        </w:tc>
        <w:tc>
          <w:tcPr>
            <w:tcW w:type="dxa" w:w="4680"/>
          </w:tcPr>
          <w:p>
            <w:r>
              <w:t>4,137 windows</w:t>
            </w:r>
          </w:p>
        </w:tc>
      </w:tr>
      <w:tr>
        <w:tc>
          <w:tcPr>
            <w:tcW w:type="dxa" w:w="4680"/>
          </w:tcPr>
          <w:p>
            <w:r>
              <w:t>Validation windows</w:t>
            </w:r>
          </w:p>
        </w:tc>
        <w:tc>
          <w:tcPr>
            <w:tcW w:type="dxa" w:w="4680"/>
          </w:tcPr>
          <w:p>
            <w:r>
              <w:t>886 windows</w:t>
            </w:r>
          </w:p>
        </w:tc>
      </w:tr>
      <w:tr>
        <w:tc>
          <w:tcPr>
            <w:tcW w:type="dxa" w:w="4680"/>
          </w:tcPr>
          <w:p>
            <w:r>
              <w:t>Test windows</w:t>
            </w:r>
          </w:p>
        </w:tc>
        <w:tc>
          <w:tcPr>
            <w:tcW w:type="dxa" w:w="4680"/>
          </w:tcPr>
          <w:p>
            <w:r>
              <w:t>887 windows</w:t>
            </w:r>
          </w:p>
        </w:tc>
      </w:tr>
    </w:tbl>
    <w:p>
      <w:pPr>
        <w:spacing w:before="0" w:after="120" w:line="276" w:lineRule="auto"/>
      </w:pPr>
      <w:r>
        <w:t>Table 7.2: Summary of final windowed dataset dimensions, split sizes, and bottleneck label balances.</w:t>
      </w:r>
    </w:p>
    <w:p>
      <w:r>
        <w:br w:type="page"/>
      </w:r>
    </w:p>
    <w:p>
      <w:pPr>
        <w:pStyle w:val="Heading1"/>
        <w:spacing w:before="240" w:after="80"/>
      </w:pPr>
      <w:r>
        <w:t>Section 2: Telemetry Data Store &amp; Configuration Persistence Subsystem</w:t>
      </w:r>
    </w:p>
    <w:p>
      <w:r>
        <w:rPr>
          <w:rFonts w:ascii="Calibri" w:hAnsi="Calibri"/>
          <w:b w:val="0"/>
          <w:i w:val="0"/>
          <w:sz w:val="22"/>
        </w:rPr>
        <w:t>A foundational design constraint of the Lightweight AI-Powered System Resource Optimizer (SRO) is that the optimizer application itself must not become a system resource burden. It is engineered to run continuously in the background, consuming less than 2% of total CPU and maintaining a negligible RAM footprint. Because of this strict requirement, traditional heavy relational database management systems (RDBMS) like Microsoft SQL Server, MySQL, or PostgreSQL, and even client-server database architectures were rejected. Even embedded relational databases like SQLite were excluded for runtime telemetry storage to avoid SQLite engine loading overhead, context-switching overhead, database file write locking, and periodic disk compaction (VACUUM) stutters.</w:t>
      </w:r>
    </w:p>
    <w:p>
      <w:r>
        <w:rPr>
          <w:rFonts w:ascii="Calibri" w:hAnsi="Calibri"/>
          <w:b w:val="0"/>
          <w:i w:val="0"/>
          <w:sz w:val="22"/>
        </w:rPr>
        <w:t>Instead, the SRO project utilizes a highly optimized, decoupled flat-file storage and configuration persistence architecture consisting of three core storage components:</w:t>
      </w:r>
    </w:p>
    <w:p>
      <w:pPr>
        <w:pStyle w:val="ListBullet"/>
        <w:spacing w:after="60"/>
      </w:pPr>
      <w:r>
        <w:rPr>
          <w:rFonts w:ascii="Calibri" w:hAnsi="Calibri"/>
          <w:b/>
          <w:i w:val="0"/>
          <w:sz w:val="22"/>
        </w:rPr>
        <w:t xml:space="preserve">Flat-File Telemetry Logging (CSV): </w:t>
      </w:r>
      <w:r>
        <w:rPr>
          <w:rFonts w:ascii="Calibri" w:hAnsi="Calibri"/>
          <w:b w:val="0"/>
          <w:i w:val="0"/>
          <w:sz w:val="22"/>
        </w:rPr>
        <w:t>High-frequency rolling CPU, memory, swap, and temperature telemetry metrics are appended sequentially to a local CSV log file on a dedicated, non-blocking background thread.</w:t>
      </w:r>
    </w:p>
    <w:p>
      <w:pPr>
        <w:pStyle w:val="ListBullet"/>
        <w:spacing w:after="60"/>
      </w:pPr>
      <w:r>
        <w:rPr>
          <w:rFonts w:ascii="Calibri" w:hAnsi="Calibri"/>
          <w:b/>
          <w:i w:val="0"/>
          <w:sz w:val="22"/>
        </w:rPr>
        <w:t xml:space="preserve">JSON/TXT Configuration Storage: </w:t>
      </w:r>
      <w:r>
        <w:rPr>
          <w:rFonts w:ascii="Calibri" w:hAnsi="Calibri"/>
          <w:b w:val="0"/>
          <w:i w:val="0"/>
          <w:sz w:val="22"/>
        </w:rPr>
        <w:t>Custom whitelist exceptions, performance profile settings, and system-wide state flags are persisted in plain-text JSON and TXT configuration files for speed and safety.</w:t>
      </w:r>
    </w:p>
    <w:p>
      <w:pPr>
        <w:pStyle w:val="ListBullet"/>
        <w:spacing w:after="60"/>
      </w:pPr>
      <w:r>
        <w:rPr>
          <w:rFonts w:ascii="Calibri" w:hAnsi="Calibri"/>
          <w:b/>
          <w:i w:val="0"/>
          <w:sz w:val="22"/>
        </w:rPr>
        <w:t xml:space="preserve">Binary Preprocessed Dataset Serialization: </w:t>
      </w:r>
      <w:r>
        <w:rPr>
          <w:rFonts w:ascii="Calibri" w:hAnsi="Calibri"/>
          <w:b w:val="0"/>
          <w:i w:val="0"/>
          <w:sz w:val="22"/>
        </w:rPr>
        <w:t>Scaled historical vectors are converted to high-density, multi-dimensional numpy datasets (NPZ files) to allow rapid batch loading during GRU training.</w:t>
      </w:r>
    </w:p>
    <w:p>
      <w:pPr>
        <w:spacing w:before="240" w:after="80"/>
      </w:pPr>
      <w:r>
        <w:rPr>
          <w:rFonts w:ascii="Arial" w:hAnsi="Arial"/>
          <w:b/>
          <w:i w:val="0"/>
          <w:color w:val="1A365D"/>
          <w:sz w:val="28"/>
        </w:rPr>
        <w:t>2. Real-Time Telemetry Data Ingestion and CSV Logging</w:t>
      </w:r>
    </w:p>
    <w:p>
      <w:r>
        <w:rPr>
          <w:rFonts w:ascii="Calibri" w:hAnsi="Calibri"/>
          <w:b w:val="0"/>
          <w:i w:val="0"/>
          <w:sz w:val="22"/>
        </w:rPr>
        <w:t>The collection of telemetry is managed in src/core/collector.py using a high-performance producer-consumer threading architecture. A background thread samples metrics at 1Hz from psutil. Instead of blocking the telemetry loop while waiting for disk I/O, the collector thread places the structured data dictionaries into a thread-safe Queue (queue.Queue).</w:t>
      </w:r>
    </w:p>
    <w:p>
      <w:r>
        <w:rPr>
          <w:rFonts w:ascii="Calibri" w:hAnsi="Calibri"/>
          <w:b w:val="0"/>
          <w:i w:val="0"/>
          <w:sz w:val="22"/>
        </w:rPr>
        <w:t>A separate daemon consumer thread (the CSVConsumer thread) drains this queue and aggregates the entries. To minimize disk write amplification, the consumer buffers samples and performs sequential appends to data/telemetry_raw.csv in blocks of N samples (where N defaults to 60, corresponding to a 1-minute write interval). This ensures that even during rapid system bottlenecks, disk write operations remain lightweight and do not compete with active processes for disk bandwidth.</w:t>
      </w:r>
    </w:p>
    <w:p>
      <w:r>
        <w:rPr>
          <w:rFonts w:ascii="Calibri" w:hAnsi="Calibri"/>
          <w:b w:val="0"/>
          <w:i w:val="0"/>
          <w:sz w:val="22"/>
        </w:rPr>
        <w:t>The raw CSV schema dynamically adapts based on the client hardware. During the first run, the column order is set from the first telemetry sample. The typical columns captured in telemetry_raw.csv include:</w:t>
      </w:r>
    </w:p>
    <w:tbl>
      <w:tblPr>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i w:val="0"/>
                <w:sz w:val="22"/>
              </w:rPr>
              <w:t>Field Name</w:t>
            </w:r>
          </w:p>
        </w:tc>
        <w:tc>
          <w:tcPr>
            <w:tcW w:type="dxa" w:w="2880"/>
          </w:tcPr>
          <w:p>
            <w:r>
              <w:rPr>
                <w:rFonts w:ascii="Calibri" w:hAnsi="Calibri"/>
                <w:b/>
                <w:i w:val="0"/>
                <w:sz w:val="22"/>
              </w:rPr>
              <w:t>Data Type</w:t>
            </w:r>
          </w:p>
        </w:tc>
        <w:tc>
          <w:tcPr>
            <w:tcW w:type="dxa" w:w="2880"/>
          </w:tcPr>
          <w:p>
            <w:r>
              <w:rPr>
                <w:rFonts w:ascii="Calibri" w:hAnsi="Calibri"/>
                <w:b/>
                <w:i w:val="0"/>
                <w:sz w:val="22"/>
              </w:rPr>
              <w:t>Description</w:t>
            </w:r>
          </w:p>
        </w:tc>
      </w:tr>
      <w:tr>
        <w:tc>
          <w:tcPr>
            <w:tcW w:type="dxa" w:w="2880"/>
          </w:tcPr>
          <w:p>
            <w:r>
              <w:rPr>
                <w:rFonts w:ascii="Calibri" w:hAnsi="Calibri"/>
                <w:b w:val="0"/>
                <w:i w:val="0"/>
                <w:sz w:val="22"/>
              </w:rPr>
              <w:t>timestamp</w:t>
            </w:r>
          </w:p>
        </w:tc>
        <w:tc>
          <w:tcPr>
            <w:tcW w:type="dxa" w:w="2880"/>
          </w:tcPr>
          <w:p>
            <w:r>
              <w:rPr>
                <w:rFonts w:ascii="Calibri" w:hAnsi="Calibri"/>
                <w:b w:val="0"/>
                <w:i w:val="0"/>
                <w:sz w:val="22"/>
              </w:rPr>
              <w:t>Datetime string</w:t>
            </w:r>
          </w:p>
        </w:tc>
        <w:tc>
          <w:tcPr>
            <w:tcW w:type="dxa" w:w="2880"/>
          </w:tcPr>
          <w:p>
            <w:r>
              <w:rPr>
                <w:rFonts w:ascii="Calibri" w:hAnsi="Calibri"/>
                <w:b w:val="0"/>
                <w:i w:val="0"/>
                <w:sz w:val="22"/>
              </w:rPr>
              <w:t>UTC timestamp of the collected telemetry sample.</w:t>
            </w:r>
          </w:p>
        </w:tc>
      </w:tr>
      <w:tr>
        <w:tc>
          <w:tcPr>
            <w:tcW w:type="dxa" w:w="2880"/>
          </w:tcPr>
          <w:p>
            <w:r>
              <w:rPr>
                <w:rFonts w:ascii="Calibri" w:hAnsi="Calibri"/>
                <w:b w:val="0"/>
                <w:i w:val="0"/>
                <w:sz w:val="22"/>
              </w:rPr>
              <w:t>cpu_percent</w:t>
            </w:r>
          </w:p>
        </w:tc>
        <w:tc>
          <w:tcPr>
            <w:tcW w:type="dxa" w:w="2880"/>
          </w:tcPr>
          <w:p>
            <w:r>
              <w:rPr>
                <w:rFonts w:ascii="Calibri" w:hAnsi="Calibri"/>
                <w:b w:val="0"/>
                <w:i w:val="0"/>
                <w:sz w:val="22"/>
              </w:rPr>
              <w:t>Float (0.0 to 100.0)</w:t>
            </w:r>
          </w:p>
        </w:tc>
        <w:tc>
          <w:tcPr>
            <w:tcW w:type="dxa" w:w="2880"/>
          </w:tcPr>
          <w:p>
            <w:r>
              <w:rPr>
                <w:rFonts w:ascii="Calibri" w:hAnsi="Calibri"/>
                <w:b w:val="0"/>
                <w:i w:val="0"/>
                <w:sz w:val="22"/>
              </w:rPr>
              <w:t>Aggregate CPU utilization across all logical cores.</w:t>
            </w:r>
          </w:p>
        </w:tc>
      </w:tr>
      <w:tr>
        <w:tc>
          <w:tcPr>
            <w:tcW w:type="dxa" w:w="2880"/>
          </w:tcPr>
          <w:p>
            <w:r>
              <w:rPr>
                <w:rFonts w:ascii="Calibri" w:hAnsi="Calibri"/>
                <w:b w:val="0"/>
                <w:i w:val="0"/>
                <w:sz w:val="22"/>
              </w:rPr>
              <w:t>cpu_core_X</w:t>
            </w:r>
          </w:p>
        </w:tc>
        <w:tc>
          <w:tcPr>
            <w:tcW w:type="dxa" w:w="2880"/>
          </w:tcPr>
          <w:p>
            <w:r>
              <w:rPr>
                <w:rFonts w:ascii="Calibri" w:hAnsi="Calibri"/>
                <w:b w:val="0"/>
                <w:i w:val="0"/>
                <w:sz w:val="22"/>
              </w:rPr>
              <w:t>Float (0.0 to 100.0)</w:t>
            </w:r>
          </w:p>
        </w:tc>
        <w:tc>
          <w:tcPr>
            <w:tcW w:type="dxa" w:w="2880"/>
          </w:tcPr>
          <w:p>
            <w:r>
              <w:rPr>
                <w:rFonts w:ascii="Calibri" w:hAnsi="Calibri"/>
                <w:b w:val="0"/>
                <w:i w:val="0"/>
                <w:sz w:val="22"/>
              </w:rPr>
              <w:t>Individual logical core utilization (varies by CPU).</w:t>
            </w:r>
          </w:p>
        </w:tc>
      </w:tr>
      <w:tr>
        <w:tc>
          <w:tcPr>
            <w:tcW w:type="dxa" w:w="2880"/>
          </w:tcPr>
          <w:p>
            <w:r>
              <w:rPr>
                <w:rFonts w:ascii="Calibri" w:hAnsi="Calibri"/>
                <w:b w:val="0"/>
                <w:i w:val="0"/>
                <w:sz w:val="22"/>
              </w:rPr>
              <w:t>mem_percent</w:t>
            </w:r>
          </w:p>
        </w:tc>
        <w:tc>
          <w:tcPr>
            <w:tcW w:type="dxa" w:w="2880"/>
          </w:tcPr>
          <w:p>
            <w:r>
              <w:rPr>
                <w:rFonts w:ascii="Calibri" w:hAnsi="Calibri"/>
                <w:b w:val="0"/>
                <w:i w:val="0"/>
                <w:sz w:val="22"/>
              </w:rPr>
              <w:t>Float (0.0 to 100.0)</w:t>
            </w:r>
          </w:p>
        </w:tc>
        <w:tc>
          <w:tcPr>
            <w:tcW w:type="dxa" w:w="2880"/>
          </w:tcPr>
          <w:p>
            <w:r>
              <w:rPr>
                <w:rFonts w:ascii="Calibri" w:hAnsi="Calibri"/>
                <w:b w:val="0"/>
                <w:i w:val="0"/>
                <w:sz w:val="22"/>
              </w:rPr>
              <w:t>Percentage of active physical RAM allocated.</w:t>
            </w:r>
          </w:p>
        </w:tc>
      </w:tr>
      <w:tr>
        <w:tc>
          <w:tcPr>
            <w:tcW w:type="dxa" w:w="2880"/>
          </w:tcPr>
          <w:p>
            <w:r>
              <w:rPr>
                <w:rFonts w:ascii="Calibri" w:hAnsi="Calibri"/>
                <w:b w:val="0"/>
                <w:i w:val="0"/>
                <w:sz w:val="22"/>
              </w:rPr>
              <w:t>cpu_temp_c</w:t>
            </w:r>
          </w:p>
        </w:tc>
        <w:tc>
          <w:tcPr>
            <w:tcW w:type="dxa" w:w="2880"/>
          </w:tcPr>
          <w:p>
            <w:r>
              <w:rPr>
                <w:rFonts w:ascii="Calibri" w:hAnsi="Calibri"/>
                <w:b w:val="0"/>
                <w:i w:val="0"/>
                <w:sz w:val="22"/>
              </w:rPr>
              <w:t>Float (0.0 to 120.0)</w:t>
            </w:r>
          </w:p>
        </w:tc>
        <w:tc>
          <w:tcPr>
            <w:tcW w:type="dxa" w:w="2880"/>
          </w:tcPr>
          <w:p>
            <w:r>
              <w:rPr>
                <w:rFonts w:ascii="Calibri" w:hAnsi="Calibri"/>
                <w:b w:val="0"/>
                <w:i w:val="0"/>
                <w:sz w:val="22"/>
              </w:rPr>
              <w:t>CPU package temperature (or simulation fallback).</w:t>
            </w:r>
          </w:p>
        </w:tc>
      </w:tr>
    </w:tbl>
    <w:p>
      <w:pPr>
        <w:jc w:val="center"/>
      </w:pPr>
      <w:r>
        <w:rPr>
          <w:rFonts w:ascii="Calibri" w:hAnsi="Calibri"/>
          <w:b w:val="0"/>
          <w:i/>
          <w:sz w:val="18"/>
        </w:rPr>
        <w:br/>
        <w:t>Table 2.1: Key telemetry features stored in telemetry_raw.csv.</w:t>
      </w:r>
    </w:p>
    <w:p>
      <w:pPr>
        <w:spacing w:before="240" w:after="80"/>
      </w:pPr>
      <w:r>
        <w:rPr>
          <w:rFonts w:ascii="Arial" w:hAnsi="Arial"/>
          <w:b/>
          <w:i w:val="0"/>
          <w:color w:val="1A365D"/>
          <w:sz w:val="28"/>
        </w:rPr>
        <w:t>3. Settings &amp; Whitelist Configuration Stores</w:t>
      </w:r>
    </w:p>
    <w:p>
      <w:r>
        <w:rPr>
          <w:rFonts w:ascii="Calibri" w:hAnsi="Calibri"/>
          <w:b w:val="0"/>
          <w:i w:val="0"/>
          <w:sz w:val="22"/>
        </w:rPr>
        <w:t>User configuration settings are saved on-change within the settings tab. Because these configurations are small, they are persisted as flat JSON and plain-text files in a secure directory. The config helper module, src/config.py, defines two primary user-facing configuration files:</w:t>
      </w:r>
    </w:p>
    <w:p>
      <w:pPr>
        <w:pStyle w:val="ListBullet"/>
        <w:spacing w:after="60"/>
      </w:pPr>
      <w:r>
        <w:rPr>
          <w:rFonts w:ascii="Calibri" w:hAnsi="Calibri"/>
          <w:b/>
          <w:i w:val="0"/>
          <w:sz w:val="22"/>
        </w:rPr>
        <w:t xml:space="preserve">user_settings.json: </w:t>
      </w:r>
      <w:r>
        <w:rPr>
          <w:rFonts w:ascii="Calibri" w:hAnsi="Calibri"/>
          <w:b w:val="0"/>
          <w:i w:val="0"/>
          <w:sz w:val="22"/>
        </w:rPr>
        <w:t>Stores general configuration variables such as the active performance profile (Eco, Balanced, Gaming), Auto-Pilot mode activation status, and custom threshold definitions. This file is persisted at pipeline startup to configure the GRU prediction triggers.</w:t>
      </w:r>
    </w:p>
    <w:p>
      <w:pPr>
        <w:pStyle w:val="ListBullet"/>
        <w:spacing w:after="60"/>
      </w:pPr>
      <w:r>
        <w:rPr>
          <w:rFonts w:ascii="Calibri" w:hAnsi="Calibri"/>
          <w:b/>
          <w:i w:val="0"/>
          <w:sz w:val="22"/>
        </w:rPr>
        <w:t xml:space="preserve">whitelist.txt: </w:t>
      </w:r>
      <w:r>
        <w:rPr>
          <w:rFonts w:ascii="Calibri" w:hAnsi="Calibri"/>
          <w:b w:val="0"/>
          <w:i w:val="0"/>
          <w:sz w:val="22"/>
        </w:rPr>
        <w:t>A plain-text document containing newline-separated binary names (e.g., explorer.exe, spotify, python.exe) that are immune to automated process suspensions. Saving as a text list allows users to easily view, edit, and backup their whitelist using standard system text editors.</w:t>
      </w:r>
    </w:p>
    <w:p>
      <w:pPr>
        <w:spacing w:before="240" w:after="80"/>
      </w:pPr>
      <w:r>
        <w:rPr>
          <w:rFonts w:ascii="Arial" w:hAnsi="Arial"/>
          <w:b/>
          <w:i w:val="0"/>
          <w:color w:val="1A365D"/>
          <w:sz w:val="28"/>
        </w:rPr>
        <w:t>4. Preprocessing, Domain Calibration, and Dataset Compile</w:t>
      </w:r>
    </w:p>
    <w:p>
      <w:r>
        <w:rPr>
          <w:rFonts w:ascii="Calibri" w:hAnsi="Calibri"/>
          <w:b w:val="0"/>
          <w:i w:val="0"/>
          <w:sz w:val="22"/>
        </w:rPr>
        <w:t>The GRU predictive engine requires all input features to reside in the normalized interval [0, 1]. To achieve this, the preprocessing layer (implemented in src/training/preprocess.py) loads telemetry_raw.csv into a pandas DataFrame, drops missing or corrupted records, and applies a MinMaxScaler. The output is saved as telemetry_clean.csv.</w:t>
      </w:r>
    </w:p>
    <w:p>
      <w:r>
        <w:rPr>
          <w:rFonts w:ascii="Calibri" w:hAnsi="Calibri"/>
          <w:b w:val="0"/>
          <w:i w:val="0"/>
          <w:sz w:val="22"/>
        </w:rPr>
        <w:t>For training the GRU, the normalized telemetry stream is sliced into sliding temporal windows of length W=60 (representing 60 seconds of history) to predict the state 30 seconds into the future. These multi-dimensional input-output matrices are compiled and saved as a compressed binary numpy archive (windows.npz) containing the keys 'X' (input sequences of shape N x 60 x F) and 'y_reg' (predicted next-step target vectors). This compressed format allows the deep learning training script (train.py) to load millions of float data points into RAM in less than 200 ms, drastically reducing training latency.</w:t>
      </w:r>
    </w:p>
    <w:p>
      <w:r>
        <w:rPr>
          <w:rFonts w:ascii="Calibri" w:hAnsi="Calibri"/>
          <w:b w:val="0"/>
          <w:i w:val="0"/>
          <w:sz w:val="22"/>
        </w:rPr>
        <w:t>Furthermore, to handle domain adaptation (i.e., running the optimizer on a new machine with different core counts, memory limits, and baseline temperatures), the system executes a 90-second local calibration phase on first launch. It fits a local MinMaxScaler based on baseline host metrics and serializes it to ~/.sro_optimizer/scaler_local_v2.pkl using python's pickle library, allowing dynamic inference scaling without requiring model retraining.</w:t>
      </w:r>
    </w:p>
    <w:p>
      <w:r>
        <w:br w:type="page"/>
      </w:r>
    </w:p>
    <w:p>
      <w:pPr>
        <w:pStyle w:val="Heading1"/>
        <w:spacing w:before="360" w:after="120"/>
      </w:pPr>
      <w:r>
        <w:t>Section 3: Gated Recurrent Unit (GRU) Model Design &amp; Training</w:t>
      </w:r>
    </w:p>
    <w:p>
      <w:pPr>
        <w:spacing w:before="0" w:after="120" w:line="276" w:lineRule="auto"/>
      </w:pPr>
      <w:r>
        <w:t>This document details the design, mathematical formulation, training procedure, post-training quantization, and evaluation of the Gated Recurrent Unit (GRU) model used as the predictive engine of the Lightweight AI-Powered System Resource Optimizer. The model is responsible for analysing a 60-second rolling window of system telemetry and producing two outputs: a regression forecast of the next-step feature vector, and a binary confidence score estimating the probability that a resource bottleneck will occur within the next 30 seconds.</w:t>
      </w:r>
    </w:p>
    <w:p>
      <w:pPr>
        <w:spacing w:before="0" w:after="120" w:line="276" w:lineRule="auto"/>
      </w:pPr>
      <w:r>
        <w:t>The model architecture, training configuration, and quantization pipeline are implemented across two files: `gru_model.py` defines the PyTorch neural network, and `train.py` executes the full training, evaluation, and export workflow. The final deliverable of this module is a quantized ONNX model file (`models/gru_quantized.onnx`) consumed at runtime by the inference pipeline (Module C).</w:t>
      </w:r>
    </w:p>
    <w:p>
      <w:pPr>
        <w:pStyle w:val="Heading1"/>
        <w:spacing w:before="360" w:after="120"/>
      </w:pPr>
      <w:r>
        <w:rPr>
          <w:rFonts w:ascii="Calibri" w:hAnsi="Calibri"/>
          <w:color w:val="003366"/>
        </w:rPr>
        <w:t>2. Description of Gated Recurrent Units (GRU)</w:t>
      </w:r>
    </w:p>
    <w:p>
      <w:pPr>
        <w:spacing w:before="0" w:after="120" w:line="276" w:lineRule="auto"/>
      </w:pPr>
      <w:r>
        <w:t xml:space="preserve">A </w:t>
      </w:r>
      <w:r>
        <w:rPr>
          <w:b/>
        </w:rPr>
        <w:t>Gated Recurrent Unit (GRU)</w:t>
      </w:r>
      <w:r>
        <w:t>, introduced by Cho et al. in 2014, is a specialized class of Recurrent Neural Network (RNN) architectures designed to process sequential, time-series data. In standard feed-forward neural networks, every input is treated as independent. However, system resource telemetry is inherently sequential; a sudden core CPU spike at the current second is highly correlated with the load patterns observed over the preceding seconds.</w:t>
      </w:r>
    </w:p>
    <w:p>
      <w:pPr>
        <w:spacing w:before="0" w:after="120" w:line="276" w:lineRule="auto"/>
      </w:pPr>
      <w:r>
        <w:t xml:space="preserve">Standard RNNs struggle to learn these long-term temporal dependencies due to the </w:t>
      </w:r>
      <w:r>
        <w:rPr>
          <w:b/>
        </w:rPr>
        <w:t>vanishing gradient problem</w:t>
      </w:r>
      <w:r>
        <w:t xml:space="preserve">, where gradients shrink exponentially during backpropagation through long time sequences, causing the network weights to stop updating. Like the Long Short-Term Memory (LSTM) network, the GRU solves this by incorporating </w:t>
      </w:r>
      <w:r>
        <w:rPr>
          <w:b/>
        </w:rPr>
        <w:t>gating mechanisms</w:t>
      </w:r>
      <w:r>
        <w:t xml:space="preserve"> that regulate the flow of information. Gates are active mathematical filters that dynamically decide what information to keep, what to discard, and what to pass forward to the next hidden state.</w:t>
      </w:r>
    </w:p>
    <w:p>
      <w:pPr>
        <w:pStyle w:val="Heading1"/>
        <w:spacing w:before="360" w:after="120"/>
      </w:pPr>
      <w:r>
        <w:rPr>
          <w:rFonts w:ascii="Calibri" w:hAnsi="Calibri"/>
          <w:color w:val="003366"/>
        </w:rPr>
        <w:t>3. Model Selection: Why GRU?</w:t>
      </w:r>
    </w:p>
    <w:p>
      <w:pPr>
        <w:spacing w:before="0" w:after="120" w:line="276" w:lineRule="auto"/>
      </w:pPr>
      <w:r>
        <w:t>Three candidate architectures were evaluated against the project's primary constraint: the model must be lightweight enough to run inference at 1 Hz on a standard desktop CPU without exceeding 2% total CPU utilisation.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Architecture</w:t>
            </w:r>
          </w:p>
        </w:tc>
        <w:tc>
          <w:tcPr>
            <w:tcW w:type="dxa" w:w="1872"/>
          </w:tcPr>
          <w:p>
            <w:pPr>
              <w:jc w:val="left"/>
            </w:pPr>
            <w:r>
              <w:rPr>
                <w:b/>
                <w:color w:val="003366"/>
              </w:rPr>
              <w:t>Parameters (approx.)</w:t>
            </w:r>
          </w:p>
        </w:tc>
        <w:tc>
          <w:tcPr>
            <w:tcW w:type="dxa" w:w="1872"/>
          </w:tcPr>
          <w:p>
            <w:pPr>
              <w:jc w:val="left"/>
            </w:pPr>
            <w:r>
              <w:rPr>
                <w:b/>
                <w:color w:val="003366"/>
              </w:rPr>
              <w:t>Inference Latency</w:t>
            </w:r>
          </w:p>
        </w:tc>
        <w:tc>
          <w:tcPr>
            <w:tcW w:type="dxa" w:w="1872"/>
          </w:tcPr>
          <w:p>
            <w:pPr>
              <w:jc w:val="left"/>
            </w:pPr>
            <w:r>
              <w:rPr>
                <w:b/>
                <w:color w:val="003366"/>
              </w:rPr>
              <w:t>Sequential Suitability</w:t>
            </w:r>
          </w:p>
        </w:tc>
        <w:tc>
          <w:tcPr>
            <w:tcW w:type="dxa" w:w="1872"/>
          </w:tcPr>
          <w:p>
            <w:pPr>
              <w:jc w:val="left"/>
            </w:pPr>
            <w:r>
              <w:rPr>
                <w:b/>
                <w:color w:val="003366"/>
              </w:rPr>
              <w:t>Selected</w:t>
            </w:r>
          </w:p>
        </w:tc>
      </w:tr>
      <w:tr>
        <w:tc>
          <w:tcPr>
            <w:tcW w:type="dxa" w:w="1872"/>
          </w:tcPr>
          <w:p>
            <w:r>
              <w:t>LSTM</w:t>
            </w:r>
          </w:p>
        </w:tc>
        <w:tc>
          <w:tcPr>
            <w:tcW w:type="dxa" w:w="1872"/>
          </w:tcPr>
          <w:p>
            <w:r>
              <w:t>~120K (hidden=64, L=2)</w:t>
            </w:r>
          </w:p>
        </w:tc>
        <w:tc>
          <w:tcPr>
            <w:tcW w:type="dxa" w:w="1872"/>
          </w:tcPr>
          <w:p>
            <w:r>
              <w:t>~8–15 ms</w:t>
            </w:r>
          </w:p>
        </w:tc>
        <w:tc>
          <w:tcPr>
            <w:tcW w:type="dxa" w:w="1872"/>
          </w:tcPr>
          <w:p>
            <w:r>
              <w:t>High — handles long dependencies</w:t>
            </w:r>
          </w:p>
        </w:tc>
        <w:tc>
          <w:tcPr>
            <w:tcW w:type="dxa" w:w="1872"/>
          </w:tcPr>
          <w:p>
            <w:r>
              <w:t>No — more parameters than needed</w:t>
            </w:r>
          </w:p>
        </w:tc>
      </w:tr>
      <w:tr>
        <w:tc>
          <w:tcPr>
            <w:tcW w:type="dxa" w:w="1872"/>
          </w:tcPr>
          <w:p>
            <w:r>
              <w:t>GRU</w:t>
            </w:r>
          </w:p>
        </w:tc>
        <w:tc>
          <w:tcPr>
            <w:tcW w:type="dxa" w:w="1872"/>
          </w:tcPr>
          <w:p>
            <w:r>
              <w:t>44,525 (hidden=64, L=2)</w:t>
            </w:r>
          </w:p>
        </w:tc>
        <w:tc>
          <w:tcPr>
            <w:tcW w:type="dxa" w:w="1872"/>
          </w:tcPr>
          <w:p>
            <w:r>
              <w:t>~0.9 ms</w:t>
            </w:r>
          </w:p>
        </w:tc>
        <w:tc>
          <w:tcPr>
            <w:tcW w:type="dxa" w:w="1872"/>
          </w:tcPr>
          <w:p>
            <w:r>
              <w:t>High — comparable to LSTM with fewer gates</w:t>
            </w:r>
          </w:p>
        </w:tc>
        <w:tc>
          <w:tcPr>
            <w:tcW w:type="dxa" w:w="1872"/>
          </w:tcPr>
          <w:p>
            <w:r>
              <w:t>✅ Yes</w:t>
            </w:r>
          </w:p>
        </w:tc>
      </w:tr>
      <w:tr>
        <w:tc>
          <w:tcPr>
            <w:tcW w:type="dxa" w:w="1872"/>
          </w:tcPr>
          <w:p>
            <w:r>
              <w:t>Transformer</w:t>
            </w:r>
          </w:p>
        </w:tc>
        <w:tc>
          <w:tcPr>
            <w:tcW w:type="dxa" w:w="1872"/>
          </w:tcPr>
          <w:p>
            <w:r>
              <w:t>~500K+ (4 heads)</w:t>
            </w:r>
          </w:p>
        </w:tc>
        <w:tc>
          <w:tcPr>
            <w:tcW w:type="dxa" w:w="1872"/>
          </w:tcPr>
          <w:p>
            <w:r>
              <w:t>~20–50 ms</w:t>
            </w:r>
          </w:p>
        </w:tc>
        <w:tc>
          <w:tcPr>
            <w:tcW w:type="dxa" w:w="1872"/>
          </w:tcPr>
          <w:p>
            <w:r>
              <w:t>Moderate — better for long sequences</w:t>
            </w:r>
          </w:p>
        </w:tc>
        <w:tc>
          <w:tcPr>
            <w:tcW w:type="dxa" w:w="1872"/>
          </w:tcPr>
          <w:p>
            <w:r>
              <w:t>No — excessive overhead</w:t>
            </w:r>
          </w:p>
        </w:tc>
      </w:tr>
      <w:tr>
        <w:tc>
          <w:tcPr>
            <w:tcW w:type="dxa" w:w="1872"/>
          </w:tcPr>
          <w:p>
            <w:r>
              <w:t>1D-CNN</w:t>
            </w:r>
          </w:p>
        </w:tc>
        <w:tc>
          <w:tcPr>
            <w:tcW w:type="dxa" w:w="1872"/>
          </w:tcPr>
          <w:p>
            <w:r>
              <w:t>~30K</w:t>
            </w:r>
          </w:p>
        </w:tc>
        <w:tc>
          <w:tcPr>
            <w:tcW w:type="dxa" w:w="1872"/>
          </w:tcPr>
          <w:p>
            <w:r>
              <w:t>~2–4 ms</w:t>
            </w:r>
          </w:p>
        </w:tc>
        <w:tc>
          <w:tcPr>
            <w:tcW w:type="dxa" w:w="1872"/>
          </w:tcPr>
          <w:p>
            <w:r>
              <w:t>Low — no temporal memory</w:t>
            </w:r>
          </w:p>
        </w:tc>
        <w:tc>
          <w:tcPr>
            <w:tcW w:type="dxa" w:w="1872"/>
          </w:tcPr>
          <w:p>
            <w:r>
              <w:t>No — misses temporal dependencies</w:t>
            </w:r>
          </w:p>
        </w:tc>
      </w:tr>
    </w:tbl>
    <w:p>
      <w:pPr>
        <w:spacing w:before="0" w:after="120" w:line="276" w:lineRule="auto"/>
      </w:pPr>
      <w:r>
        <w:t>Table 3.1: Candidate architecture comparison. Parameter counts are exact for input size F=16, sequence length W=60.</w:t>
      </w:r>
    </w:p>
    <w:p>
      <w:pPr>
        <w:spacing w:before="0" w:after="120" w:line="276" w:lineRule="auto"/>
      </w:pPr>
      <w:r>
        <w:t xml:space="preserve">The GRU was selected because it matches LSTM predictive accuracy on time-series tasks while using approximately </w:t>
      </w:r>
      <w:r>
        <w:rPr>
          <w:b/>
        </w:rPr>
        <w:t>25% fewer parameters</w:t>
      </w:r>
      <w:r>
        <w:t xml:space="preserve"> due to its streamlined gate design (two gates versus three in LSTM). This significantly shrinks model size and speeds up both training and inference. It runs perfectly on local student CPU hardware, with an inference execution latency of just </w:t>
      </w:r>
      <w:r>
        <w:rPr>
          <w:b/>
        </w:rPr>
        <w:t>0.9 ms</w:t>
      </w:r>
      <w:r>
        <w:t>, satisfying the &lt;2% CPU overhead requirement.</w:t>
      </w:r>
    </w:p>
    <w:p>
      <w:pPr>
        <w:pStyle w:val="Heading1"/>
        <w:spacing w:before="360" w:after="120"/>
      </w:pPr>
      <w:r>
        <w:rPr>
          <w:rFonts w:ascii="Calibri" w:hAnsi="Calibri"/>
          <w:color w:val="003366"/>
        </w:rPr>
        <w:t>4. GRU Mathematical Formulation</w:t>
      </w:r>
    </w:p>
    <w:p>
      <w:pPr>
        <w:spacing w:before="0" w:after="120" w:line="276" w:lineRule="auto"/>
      </w:pPr>
      <w:r/>
      <w:r>
        <w:t xml:space="preserve">A Gated Recurrent Unit processes a sequence of input vectors </w:t>
      </w:r>
      <w:r>
        <w:rPr>
          <w:i/>
        </w:rPr>
        <w:t>x</w:t>
      </w:r>
      <w:r>
        <w:rPr>
          <w:vertAlign w:val="subscript"/>
        </w:rPr>
        <w:t>1</w:t>
      </w:r>
      <w:r>
        <w:t xml:space="preserve">, </w:t>
      </w:r>
      <w:r>
        <w:rPr>
          <w:i/>
        </w:rPr>
        <w:t>x</w:t>
      </w:r>
      <w:r>
        <w:rPr>
          <w:vertAlign w:val="subscript"/>
        </w:rPr>
        <w:t>2</w:t>
      </w:r>
      <w:r>
        <w:t xml:space="preserve">, ..., </w:t>
      </w:r>
      <w:r>
        <w:rPr>
          <w:i/>
        </w:rPr>
        <w:t>x</w:t>
      </w:r>
      <w:r>
        <w:rPr>
          <w:vertAlign w:val="subscript"/>
        </w:rPr>
        <w:t>t</w:t>
      </w:r>
      <w:r>
        <w:t xml:space="preserve"> (where </w:t>
      </w:r>
      <w:r>
        <w:rPr>
          <w:i/>
        </w:rPr>
        <w:t>x</w:t>
      </w:r>
      <w:r>
        <w:rPr>
          <w:vertAlign w:val="subscript"/>
        </w:rPr>
        <w:t>t</w:t>
      </w:r>
      <w:r>
        <w:t xml:space="preserve"> ∈ ℝ</w:t>
      </w:r>
      <w:r>
        <w:rPr>
          <w:vertAlign w:val="superscript"/>
        </w:rPr>
        <w:t>F</w:t>
      </w:r>
      <w:r>
        <w:t xml:space="preserve"> represents the telemetry feature vector at second </w:t>
      </w:r>
      <w:r>
        <w:rPr>
          <w:i/>
        </w:rPr>
        <w:t>t</w:t>
      </w:r>
      <w:r>
        <w:t xml:space="preserve">) and maintains a recurrent hidden state </w:t>
      </w:r>
      <w:r>
        <w:rPr>
          <w:i/>
        </w:rPr>
        <w:t>h</w:t>
      </w:r>
      <w:r>
        <w:rPr>
          <w:vertAlign w:val="subscript"/>
        </w:rPr>
        <w:t>t</w:t>
      </w:r>
      <w:r>
        <w:t xml:space="preserve"> ∈ ℝ</w:t>
      </w:r>
      <w:r>
        <w:rPr>
          <w:vertAlign w:val="superscript"/>
        </w:rPr>
        <w:t>H</w:t>
      </w:r>
      <w:r>
        <w:t xml:space="preserve"> that summarises the temporal history seen so far. At each timestep </w:t>
      </w:r>
      <w:r>
        <w:rPr>
          <w:i/>
        </w:rPr>
        <w:t>t</w:t>
      </w:r>
      <w:r>
        <w:t>, the GRU cell computes the following operations:</w:t>
      </w:r>
    </w:p>
    <w:p>
      <w:pPr>
        <w:spacing w:before="0" w:after="120" w:line="276" w:lineRule="auto"/>
      </w:pPr>
      <w:r>
        <w:t>```</w:t>
      </w:r>
    </w:p>
    <w:p>
      <w:pPr>
        <w:spacing w:before="0" w:after="120" w:line="276" w:lineRule="auto"/>
      </w:pPr>
      <w:r>
        <w:t>Input Feature Vector x_t</w:t>
      </w:r>
    </w:p>
    <w:p>
      <w:pPr>
        <w:spacing w:before="0" w:after="120" w:line="276" w:lineRule="auto"/>
      </w:pPr>
      <w:r>
        <w:t>│</w:t>
      </w:r>
    </w:p>
    <w:p>
      <w:pPr>
        <w:spacing w:before="0" w:after="120" w:line="276" w:lineRule="auto"/>
      </w:pPr>
      <w:r>
        <w:t>┌───────────┴───────────┐</w:t>
      </w:r>
    </w:p>
    <w:p>
      <w:pPr>
        <w:spacing w:before="0" w:after="120" w:line="276" w:lineRule="auto"/>
      </w:pPr>
      <w:r>
        <w:t>▼                       ▼</w:t>
      </w:r>
    </w:p>
    <w:p>
      <w:pPr>
        <w:spacing w:before="0" w:after="120" w:line="276" w:lineRule="auto"/>
      </w:pPr>
      <w:r>
        <w:t>[Reset Gate]           [Update Gate]</w:t>
      </w:r>
    </w:p>
    <w:p>
      <w:pPr>
        <w:spacing w:before="0" w:after="120" w:line="276" w:lineRule="auto"/>
      </w:pPr>
      <w:r>
        <w:t>r_t (0 to 1)           z_t (0 to 1)</w:t>
      </w:r>
    </w:p>
    <w:p>
      <w:pPr>
        <w:spacing w:before="0" w:after="120" w:line="276" w:lineRule="auto"/>
      </w:pPr>
      <w:r>
        <w:t>│                       │</w:t>
      </w:r>
    </w:p>
    <w:p>
      <w:pPr>
        <w:spacing w:before="0" w:after="120" w:line="276" w:lineRule="auto"/>
      </w:pPr>
      <w:r>
        <w:t>├───────────────────────┤</w:t>
      </w:r>
    </w:p>
    <w:p>
      <w:pPr>
        <w:spacing w:before="0" w:after="120" w:line="276" w:lineRule="auto"/>
      </w:pPr>
      <w:r>
        <w:t>▼                       ▼</w:t>
      </w:r>
    </w:p>
    <w:p>
      <w:pPr>
        <w:spacing w:before="0" w:after="120" w:line="276" w:lineRule="auto"/>
      </w:pPr>
      <w:r>
        <w:t>[Candidate State] ──►──►──► [Final State]</w:t>
      </w:r>
    </w:p>
    <w:p>
      <w:pPr>
        <w:spacing w:before="0" w:after="120" w:line="276" w:lineRule="auto"/>
      </w:pPr>
      <w:r>
        <w:t>~h_t                    h_t = (1-z_t)*h_{t-1} + z_t*~h_t</w:t>
      </w:r>
    </w:p>
    <w:p>
      <w:pPr>
        <w:spacing w:before="0" w:after="120" w:line="276" w:lineRule="auto"/>
      </w:pPr>
      <w:r>
        <w:t>```</w:t>
      </w:r>
    </w:p>
    <w:p>
      <w:pPr>
        <w:pStyle w:val="Heading2"/>
        <w:spacing w:before="240" w:after="80"/>
      </w:pPr>
      <w:r>
        <w:rPr>
          <w:rFonts w:ascii="Calibri" w:hAnsi="Calibri"/>
          <w:color w:val="006699"/>
        </w:rPr>
        <w:t>4.1 Update Gate</w:t>
      </w:r>
    </w:p>
    <w:p>
      <w:pPr>
        <w:spacing w:before="0" w:after="120" w:line="276" w:lineRule="auto"/>
      </w:pPr>
      <w:r/>
      <w:r>
        <w:t xml:space="preserve">The update gate </w:t>
      </w:r>
      <w:r>
        <w:rPr>
          <w:i/>
        </w:rPr>
        <w:t>z</w:t>
      </w:r>
      <w:r>
        <w:rPr>
          <w:vertAlign w:val="subscript"/>
        </w:rPr>
        <w:t>t</w:t>
      </w:r>
      <w:r>
        <w:t xml:space="preserve"> controls what fraction of the previous hidden state </w:t>
      </w:r>
      <w:r>
        <w:rPr>
          <w:i/>
        </w:rPr>
        <w:t>h</w:t>
      </w:r>
      <w:r>
        <w:rPr>
          <w:vertAlign w:val="subscript"/>
        </w:rPr>
        <w:t>t-1</w:t>
      </w:r>
      <w:r>
        <w:t xml:space="preserve"> is carried forward versus replaced with the newly calculated candidate state:</w:t>
      </w:r>
    </w:p>
    <w:p>
      <w:pPr>
        <w:spacing w:before="0" w:after="120" w:line="276" w:lineRule="auto"/>
        <w:jc w:val="center"/>
      </w:pPr>
      <w:r/>
      <w:r>
        <w:rPr>
          <w:i/>
        </w:rPr>
        <w:t>z</w:t>
      </w:r>
      <w:r>
        <w:rPr>
          <w:vertAlign w:val="subscript"/>
        </w:rPr>
        <w:t>t</w:t>
      </w:r>
      <w:r>
        <w:t xml:space="preserve"> = σ(</w:t>
      </w:r>
      <w:r>
        <w:rPr>
          <w:i/>
        </w:rPr>
        <w:t>W</w:t>
      </w:r>
      <w:r>
        <w:rPr>
          <w:vertAlign w:val="subscript"/>
        </w:rPr>
        <w:t>z</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z</w:t>
      </w:r>
      <w:r>
        <w:t>)</w:t>
      </w:r>
    </w:p>
    <w:p>
      <w:pPr>
        <w:spacing w:before="0" w:after="120" w:line="276" w:lineRule="auto"/>
      </w:pPr>
      <w:r/>
      <w:r>
        <w:t xml:space="preserve">where </w:t>
      </w:r>
      <w:r>
        <w:rPr>
          <w:i/>
        </w:rPr>
        <w:t>\sigma</w:t>
      </w:r>
      <w:r>
        <w:t xml:space="preserve"> is the sigmoid activation function (limiting outputs strictly between 0 and 1), </w:t>
      </w:r>
      <w:r>
        <w:rPr>
          <w:i/>
        </w:rPr>
        <w:t>W</w:t>
      </w:r>
      <w:r>
        <w:rPr>
          <w:vertAlign w:val="subscript"/>
        </w:rPr>
        <w:t>z</w:t>
      </w:r>
      <w:r>
        <w:t xml:space="preserve"> is the learnable gate weight matrix, and </w:t>
      </w:r>
      <w:r>
        <w:rPr>
          <w:i/>
        </w:rPr>
        <w:t>b</w:t>
      </w:r>
      <w:r>
        <w:rPr>
          <w:vertAlign w:val="subscript"/>
        </w:rPr>
        <w:t>z</w:t>
      </w:r>
      <w:r>
        <w:t xml:space="preserve"> is the bias vector. An update value of </w:t>
      </w:r>
      <w:r>
        <w:rPr>
          <w:i/>
        </w:rPr>
        <w:t>z_t \approx 1</w:t>
      </w:r>
      <w:r>
        <w:t xml:space="preserve"> forces the GRU cell to retain its historical values (ideal for slow-moving metrics like temperature), whereas </w:t>
      </w:r>
      <w:r>
        <w:rPr>
          <w:i/>
        </w:rPr>
        <w:t>z_t \approx 0</w:t>
      </w:r>
      <w:r>
        <w:t xml:space="preserve"> tells the cell to replace history with the current incoming spike.</w:t>
      </w:r>
    </w:p>
    <w:p>
      <w:pPr>
        <w:pStyle w:val="Heading2"/>
        <w:spacing w:before="240" w:after="80"/>
      </w:pPr>
      <w:r>
        <w:rPr>
          <w:rFonts w:ascii="Calibri" w:hAnsi="Calibri"/>
          <w:color w:val="006699"/>
        </w:rPr>
        <w:t>4.2 Reset Gate</w:t>
      </w:r>
    </w:p>
    <w:p>
      <w:pPr>
        <w:spacing w:before="0" w:after="120" w:line="276" w:lineRule="auto"/>
      </w:pPr>
      <w:r/>
      <w:r>
        <w:t xml:space="preserve">The reset gate </w:t>
      </w:r>
      <w:r>
        <w:rPr>
          <w:i/>
        </w:rPr>
        <w:t>r</w:t>
      </w:r>
      <w:r>
        <w:rPr>
          <w:vertAlign w:val="subscript"/>
        </w:rPr>
        <w:t>t</w:t>
      </w:r>
      <w:r>
        <w:t xml:space="preserve"> determines how much of the historical hidden state </w:t>
      </w:r>
      <w:r>
        <w:rPr>
          <w:i/>
        </w:rPr>
        <w:t>h</w:t>
      </w:r>
      <w:r>
        <w:rPr>
          <w:vertAlign w:val="subscript"/>
        </w:rPr>
        <w:t>t-1</w:t>
      </w:r>
      <w:r>
        <w:t xml:space="preserve"> should be forgotten when computing the new candidate state:</w:t>
      </w:r>
    </w:p>
    <w:p>
      <w:pPr>
        <w:spacing w:before="0" w:after="120" w:line="276" w:lineRule="auto"/>
        <w:jc w:val="center"/>
      </w:pPr>
      <w:r/>
      <w:r>
        <w:rPr>
          <w:i/>
        </w:rPr>
        <w:t>r</w:t>
      </w:r>
      <w:r>
        <w:rPr>
          <w:vertAlign w:val="subscript"/>
        </w:rPr>
        <w:t>t</w:t>
      </w:r>
      <w:r>
        <w:t xml:space="preserve"> = σ(</w:t>
      </w:r>
      <w:r>
        <w:rPr>
          <w:i/>
        </w:rPr>
        <w:t>W</w:t>
      </w:r>
      <w:r>
        <w:rPr>
          <w:vertAlign w:val="subscript"/>
        </w:rPr>
        <w:t>r</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r</w:t>
      </w:r>
      <w:r>
        <w:t>)</w:t>
      </w:r>
    </w:p>
    <w:p>
      <w:pPr>
        <w:spacing w:before="0" w:after="120" w:line="276" w:lineRule="auto"/>
      </w:pPr>
      <w:r/>
      <w:r>
        <w:t xml:space="preserve">When </w:t>
      </w:r>
      <w:r>
        <w:rPr>
          <w:i/>
        </w:rPr>
        <w:t>r_t \approx 0</w:t>
      </w:r>
      <w:r>
        <w:t>, the cell effectively ignores its entire temporal history. This allows the model to immediately reset its hidden state when a sudden, independent event begins (e.g. a heavy compiling task launched after a long idle baseline).</w:t>
      </w:r>
    </w:p>
    <w:p>
      <w:pPr>
        <w:pStyle w:val="Heading2"/>
        <w:spacing w:before="240" w:after="80"/>
      </w:pPr>
      <w:r>
        <w:rPr>
          <w:rFonts w:ascii="Calibri" w:hAnsi="Calibri"/>
          <w:color w:val="006699"/>
        </w:rPr>
        <w:t>4.3 Candidate Hidden State</w:t>
      </w:r>
    </w:p>
    <w:p>
      <w:pPr>
        <w:spacing w:before="0" w:after="120" w:line="276" w:lineRule="auto"/>
      </w:pPr>
      <w:r/>
      <w:r>
        <w:t xml:space="preserve">The candidate hidden state </w:t>
      </w:r>
      <w:r>
        <w:rPr>
          <w:i/>
        </w:rPr>
        <w:t>h̃</w:t>
      </w:r>
      <w:r>
        <w:rPr>
          <w:vertAlign w:val="subscript"/>
        </w:rPr>
        <w:t>t</w:t>
      </w:r>
      <w:r>
        <w:t xml:space="preserve"> combines the current input </w:t>
      </w:r>
      <w:r>
        <w:rPr>
          <w:i/>
        </w:rPr>
        <w:t>x_t</w:t>
      </w:r>
      <w:r>
        <w:t xml:space="preserve"> with the reset-gate-filtered history:</w:t>
      </w:r>
    </w:p>
    <w:p>
      <w:pPr>
        <w:spacing w:before="0" w:after="120" w:line="276" w:lineRule="auto"/>
        <w:jc w:val="center"/>
      </w:pPr>
      <w:r/>
      <w:r>
        <w:rPr>
          <w:i/>
        </w:rPr>
        <w:t>h̃</w:t>
      </w:r>
      <w:r>
        <w:rPr>
          <w:vertAlign w:val="subscript"/>
        </w:rPr>
        <w:t>t</w:t>
      </w:r>
      <w:r>
        <w:t xml:space="preserve"> = tanh(</w:t>
      </w:r>
      <w:r>
        <w:rPr>
          <w:i/>
        </w:rPr>
        <w:t>W</w:t>
      </w:r>
      <w:r>
        <w:rPr>
          <w:vertAlign w:val="subscript"/>
        </w:rPr>
        <w:t>h</w:t>
      </w:r>
      <w:r>
        <w:t xml:space="preserve"> · [</w:t>
      </w:r>
      <w:r>
        <w:rPr>
          <w:i/>
        </w:rPr>
        <w:t>r</w:t>
      </w:r>
      <w:r>
        <w:rPr>
          <w:vertAlign w:val="subscript"/>
        </w:rPr>
        <w:t>t</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h</w:t>
      </w:r>
      <w:r>
        <w:t>)</w:t>
      </w:r>
    </w:p>
    <w:p>
      <w:pPr>
        <w:spacing w:before="0" w:after="120" w:line="276" w:lineRule="auto"/>
      </w:pPr>
      <w:r/>
      <w:r>
        <w:t xml:space="preserve">where </w:t>
      </w:r>
      <w:r>
        <w:rPr>
          <w:i/>
        </w:rPr>
        <w:t>\odot</w:t>
      </w:r>
      <w:r>
        <w:t xml:space="preserve"> represents the element-wise Hadamard product, and </w:t>
      </w:r>
      <w:r>
        <w:rPr>
          <w:i/>
        </w:rPr>
        <w:t>\tanh</w:t>
      </w:r>
      <w:r>
        <w:t xml:space="preserve"> is the hyperbolic tangent activation function (bounding values to </w:t>
      </w:r>
      <w:r>
        <w:t>[-1, 1]</w:t>
      </w:r>
      <w:r>
        <w:t>).</w:t>
      </w:r>
    </w:p>
    <w:p>
      <w:pPr>
        <w:pStyle w:val="Heading2"/>
        <w:spacing w:before="240" w:after="80"/>
      </w:pPr>
      <w:r>
        <w:rPr>
          <w:rFonts w:ascii="Calibri" w:hAnsi="Calibri"/>
          <w:color w:val="006699"/>
        </w:rPr>
        <w:t>4.4 Final Hidden State</w:t>
      </w:r>
    </w:p>
    <w:p>
      <w:pPr>
        <w:spacing w:before="0" w:after="120" w:line="276" w:lineRule="auto"/>
      </w:pPr>
      <w:r/>
      <w:r>
        <w:t xml:space="preserve">The final hidden state </w:t>
      </w:r>
      <w:r>
        <w:rPr>
          <w:i/>
        </w:rPr>
        <w:t>h</w:t>
      </w:r>
      <w:r>
        <w:rPr>
          <w:vertAlign w:val="subscript"/>
        </w:rPr>
        <w:t>t</w:t>
      </w:r>
      <w:r>
        <w:t xml:space="preserve"> is computed as a linear interpolation between the previous hidden state and the candidate state, dynamically balanced by the update gate:</w:t>
      </w:r>
    </w:p>
    <w:p>
      <w:pPr>
        <w:spacing w:before="0" w:after="120" w:line="276" w:lineRule="auto"/>
        <w:jc w:val="center"/>
      </w:pPr>
      <w:r/>
      <w:r>
        <w:rPr>
          <w:i/>
        </w:rPr>
        <w:t>h</w:t>
      </w:r>
      <w:r>
        <w:rPr>
          <w:vertAlign w:val="subscript"/>
        </w:rPr>
        <w:t>t</w:t>
      </w:r>
      <w:r>
        <w:t xml:space="preserve"> = (1 - </w:t>
      </w:r>
      <w:r>
        <w:rPr>
          <w:i/>
        </w:rPr>
        <w:t>z</w:t>
      </w:r>
      <w:r>
        <w:rPr>
          <w:vertAlign w:val="subscript"/>
        </w:rPr>
        <w:t>t</w:t>
      </w:r>
      <w:r>
        <w:t xml:space="preserve">) ⊙ </w:t>
      </w:r>
      <w:r>
        <w:rPr>
          <w:i/>
        </w:rPr>
        <w:t>h</w:t>
      </w:r>
      <w:r>
        <w:rPr>
          <w:vertAlign w:val="subscript"/>
        </w:rPr>
        <w:t>t-1</w:t>
      </w:r>
      <w:r>
        <w:t xml:space="preserve"> + </w:t>
      </w:r>
      <w:r>
        <w:rPr>
          <w:i/>
        </w:rPr>
        <w:t>z</w:t>
      </w:r>
      <w:r>
        <w:rPr>
          <w:vertAlign w:val="subscript"/>
        </w:rPr>
        <w:t>t</w:t>
      </w:r>
      <w:r>
        <w:t xml:space="preserve"> ⊙ </w:t>
      </w:r>
      <w:r>
        <w:rPr>
          <w:i/>
        </w:rPr>
        <w:t>h̃</w:t>
      </w:r>
      <w:r>
        <w:rPr>
          <w:vertAlign w:val="subscript"/>
        </w:rPr>
        <w:t>t</w:t>
      </w:r>
    </w:p>
    <w:p>
      <w:pPr>
        <w:spacing w:before="0" w:after="120" w:line="276" w:lineRule="auto"/>
      </w:pPr>
      <w:r/>
      <w:r>
        <w:t xml:space="preserve">This elegant formulation enables the GRU to model both rapid short-term changes (via </w:t>
      </w:r>
      <w:r>
        <w:rPr>
          <w:i/>
        </w:rPr>
        <w:t>h̃</w:t>
      </w:r>
      <w:r>
        <w:rPr>
          <w:vertAlign w:val="subscript"/>
        </w:rPr>
        <w:t>t</w:t>
      </w:r>
      <w:r>
        <w:t>) and long-term trends (via the carry-over history) in a single lightweight unit.</w:t>
      </w:r>
    </w:p>
    <w:p>
      <w:pPr>
        <w:pStyle w:val="Heading1"/>
        <w:spacing w:before="360" w:after="120"/>
      </w:pPr>
      <w:r>
        <w:rPr>
          <w:rFonts w:ascii="Calibri" w:hAnsi="Calibri"/>
          <w:color w:val="003366"/>
        </w:rPr>
        <w:t>5. Model Architecture</w:t>
      </w:r>
    </w:p>
    <w:p>
      <w:pPr>
        <w:spacing w:before="0" w:after="120" w:line="276" w:lineRule="auto"/>
      </w:pPr>
      <w:r>
        <w:t>The `ResourceGRU` class implements a stacked 2-layer GRU encoder followed by two independent feed-forward output heads (dual-output regression and classification heads).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Layer</w:t>
            </w:r>
          </w:p>
        </w:tc>
        <w:tc>
          <w:tcPr>
            <w:tcW w:type="dxa" w:w="1872"/>
          </w:tcPr>
          <w:p>
            <w:pPr>
              <w:jc w:val="left"/>
            </w:pPr>
            <w:r>
              <w:rPr>
                <w:b/>
                <w:color w:val="003366"/>
              </w:rPr>
              <w:t>Type</w:t>
            </w:r>
          </w:p>
        </w:tc>
        <w:tc>
          <w:tcPr>
            <w:tcW w:type="dxa" w:w="1872"/>
          </w:tcPr>
          <w:p>
            <w:pPr>
              <w:jc w:val="left"/>
            </w:pPr>
            <w:r>
              <w:rPr>
                <w:b/>
                <w:color w:val="003366"/>
              </w:rPr>
              <w:t>Input Shape</w:t>
            </w:r>
          </w:p>
        </w:tc>
        <w:tc>
          <w:tcPr>
            <w:tcW w:type="dxa" w:w="1872"/>
          </w:tcPr>
          <w:p>
            <w:pPr>
              <w:jc w:val="left"/>
            </w:pPr>
            <w:r>
              <w:rPr>
                <w:b/>
                <w:color w:val="003366"/>
              </w:rPr>
              <w:t>Output Shape</w:t>
            </w:r>
          </w:p>
        </w:tc>
        <w:tc>
          <w:tcPr>
            <w:tcW w:type="dxa" w:w="1872"/>
          </w:tcPr>
          <w:p>
            <w:pPr>
              <w:jc w:val="left"/>
            </w:pPr>
            <w:r>
              <w:rPr>
                <w:b/>
                <w:color w:val="003366"/>
              </w:rPr>
              <w:t>Notes</w:t>
            </w:r>
          </w:p>
        </w:tc>
      </w:tr>
      <w:tr>
        <w:tc>
          <w:tcPr>
            <w:tcW w:type="dxa" w:w="1872"/>
          </w:tcPr>
          <w:p>
            <w:r>
              <w:t>GRU Stack</w:t>
            </w:r>
          </w:p>
        </w:tc>
        <w:tc>
          <w:tcPr>
            <w:tcW w:type="dxa" w:w="1872"/>
          </w:tcPr>
          <w:p>
            <w:r>
              <w:t>nn.GRU (2 layers)</w:t>
            </w:r>
          </w:p>
        </w:tc>
        <w:tc>
          <w:tcPr>
            <w:tcW w:type="dxa" w:w="1872"/>
          </w:tcPr>
          <w:p>
            <w:r>
              <w:t>(B, 60, F)</w:t>
            </w:r>
          </w:p>
        </w:tc>
        <w:tc>
          <w:tcPr>
            <w:tcW w:type="dxa" w:w="1872"/>
          </w:tcPr>
          <w:p>
            <w:r>
              <w:t>(B, 60, 64)</w:t>
            </w:r>
          </w:p>
        </w:tc>
        <w:tc>
          <w:tcPr>
            <w:tcW w:type="dxa" w:w="1872"/>
          </w:tcPr>
          <w:p>
            <w:r>
              <w:t>dropout=0.2 between layers</w:t>
            </w:r>
          </w:p>
        </w:tc>
      </w:tr>
      <w:tr>
        <w:tc>
          <w:tcPr>
            <w:tcW w:type="dxa" w:w="1872"/>
          </w:tcPr>
          <w:p>
            <w:r>
              <w:t>Last Hidden</w:t>
            </w:r>
          </w:p>
        </w:tc>
        <w:tc>
          <w:tcPr>
            <w:tcW w:type="dxa" w:w="1872"/>
          </w:tcPr>
          <w:p>
            <w:r>
              <w:t>Slice [:, -1, :]</w:t>
            </w:r>
          </w:p>
        </w:tc>
        <w:tc>
          <w:tcPr>
            <w:tcW w:type="dxa" w:w="1872"/>
          </w:tcPr>
          <w:p>
            <w:r>
              <w:t>(B, 60, 64)</w:t>
            </w:r>
          </w:p>
        </w:tc>
        <w:tc>
          <w:tcPr>
            <w:tcW w:type="dxa" w:w="1872"/>
          </w:tcPr>
          <w:p>
            <w:r>
              <w:t>(B, 64)</w:t>
            </w:r>
          </w:p>
        </w:tc>
        <w:tc>
          <w:tcPr>
            <w:tcW w:type="dxa" w:w="1872"/>
          </w:tcPr>
          <w:p>
            <w:r>
              <w:t>Only last timestep used</w:t>
            </w:r>
          </w:p>
        </w:tc>
      </w:tr>
      <w:tr>
        <w:tc>
          <w:tcPr>
            <w:tcW w:type="dxa" w:w="1872"/>
          </w:tcPr>
          <w:p>
            <w:r>
              <w:t>Reg FC-1</w:t>
            </w:r>
          </w:p>
        </w:tc>
        <w:tc>
          <w:tcPr>
            <w:tcW w:type="dxa" w:w="1872"/>
          </w:tcPr>
          <w:p>
            <w:r>
              <w:t>Linear + ReLU + Dropout</w:t>
            </w:r>
          </w:p>
        </w:tc>
        <w:tc>
          <w:tcPr>
            <w:tcW w:type="dxa" w:w="1872"/>
          </w:tcPr>
          <w:p>
            <w:r>
              <w:t>(B, 64)</w:t>
            </w:r>
          </w:p>
        </w:tc>
        <w:tc>
          <w:tcPr>
            <w:tcW w:type="dxa" w:w="1872"/>
          </w:tcPr>
          <w:p>
            <w:r>
              <w:t>(B, 32)</w:t>
            </w:r>
          </w:p>
        </w:tc>
        <w:tc>
          <w:tcPr>
            <w:tcW w:type="dxa" w:w="1872"/>
          </w:tcPr>
          <w:p>
            <w:r>
              <w:t>Regression head layer 1</w:t>
            </w:r>
          </w:p>
        </w:tc>
      </w:tr>
      <w:tr>
        <w:tc>
          <w:tcPr>
            <w:tcW w:type="dxa" w:w="1872"/>
          </w:tcPr>
          <w:p>
            <w:r>
              <w:t>Reg FC-2</w:t>
            </w:r>
          </w:p>
        </w:tc>
        <w:tc>
          <w:tcPr>
            <w:tcW w:type="dxa" w:w="1872"/>
          </w:tcPr>
          <w:p>
            <w:r>
              <w:t>Linear + Sigmoid</w:t>
            </w:r>
          </w:p>
        </w:tc>
        <w:tc>
          <w:tcPr>
            <w:tcW w:type="dxa" w:w="1872"/>
          </w:tcPr>
          <w:p>
            <w:r>
              <w:t>(B, 32)</w:t>
            </w:r>
          </w:p>
        </w:tc>
        <w:tc>
          <w:tcPr>
            <w:tcW w:type="dxa" w:w="1872"/>
          </w:tcPr>
          <w:p>
            <w:r>
              <w:t>(B, F)</w:t>
            </w:r>
          </w:p>
        </w:tc>
        <w:tc>
          <w:tcPr>
            <w:tcW w:type="dxa" w:w="1872"/>
          </w:tcPr>
          <w:p>
            <w:r>
              <w:t>Next-step forecast output</w:t>
            </w:r>
          </w:p>
        </w:tc>
      </w:tr>
      <w:tr>
        <w:tc>
          <w:tcPr>
            <w:tcW w:type="dxa" w:w="1872"/>
          </w:tcPr>
          <w:p>
            <w:r>
              <w:t>Clf FC-1</w:t>
            </w:r>
          </w:p>
        </w:tc>
        <w:tc>
          <w:tcPr>
            <w:tcW w:type="dxa" w:w="1872"/>
          </w:tcPr>
          <w:p>
            <w:r>
              <w:t>Linear + ReLU + Dropout</w:t>
            </w:r>
          </w:p>
        </w:tc>
        <w:tc>
          <w:tcPr>
            <w:tcW w:type="dxa" w:w="1872"/>
          </w:tcPr>
          <w:p>
            <w:r>
              <w:t>(B, 64)</w:t>
            </w:r>
          </w:p>
        </w:tc>
        <w:tc>
          <w:tcPr>
            <w:tcW w:type="dxa" w:w="1872"/>
          </w:tcPr>
          <w:p>
            <w:r>
              <w:t>(B, 32)</w:t>
            </w:r>
          </w:p>
        </w:tc>
        <w:tc>
          <w:tcPr>
            <w:tcW w:type="dxa" w:w="1872"/>
          </w:tcPr>
          <w:p>
            <w:r>
              <w:t>Classification head layer 1</w:t>
            </w:r>
          </w:p>
        </w:tc>
      </w:tr>
      <w:tr>
        <w:tc>
          <w:tcPr>
            <w:tcW w:type="dxa" w:w="1872"/>
          </w:tcPr>
          <w:p>
            <w:r>
              <w:t>Clf FC-2</w:t>
            </w:r>
          </w:p>
        </w:tc>
        <w:tc>
          <w:tcPr>
            <w:tcW w:type="dxa" w:w="1872"/>
          </w:tcPr>
          <w:p>
            <w:r>
              <w:t>Linear + Sigmoid</w:t>
            </w:r>
          </w:p>
        </w:tc>
        <w:tc>
          <w:tcPr>
            <w:tcW w:type="dxa" w:w="1872"/>
          </w:tcPr>
          <w:p>
            <w:r>
              <w:t>(B, 32)</w:t>
            </w:r>
          </w:p>
        </w:tc>
        <w:tc>
          <w:tcPr>
            <w:tcW w:type="dxa" w:w="1872"/>
          </w:tcPr>
          <w:p>
            <w:r>
              <w:t>(B, 1)</w:t>
            </w:r>
          </w:p>
        </w:tc>
        <w:tc>
          <w:tcPr>
            <w:tcW w:type="dxa" w:w="1872"/>
          </w:tcPr>
          <w:p>
            <w:r>
              <w:t>Bottleneck confidence output</w:t>
            </w:r>
          </w:p>
        </w:tc>
      </w:tr>
    </w:tbl>
    <w:p>
      <w:pPr>
        <w:spacing w:before="0" w:after="120" w:line="276" w:lineRule="auto"/>
      </w:pPr>
      <w:r>
        <w:t>Table 5.1: Layer-by-layer architecture. B = batch size, F = number of input features, hidden_size = 64.</w:t>
      </w:r>
    </w:p>
    <w:p>
      <w:pPr>
        <w:spacing w:before="0" w:after="120" w:line="276" w:lineRule="auto"/>
      </w:pPr>
      <w:r>
        <w:t>The dual-head setup allows joint multi-task learning: the regression head predicts the raw scaled resource values at the next step to aid explainability, while the classification head directly computes the probability of a system bottleneck occurring 30 seconds ahead.</w:t>
      </w:r>
    </w:p>
    <w:p>
      <w:pPr>
        <w:pStyle w:val="Heading1"/>
        <w:spacing w:before="360" w:after="120"/>
      </w:pPr>
      <w:r>
        <w:rPr>
          <w:rFonts w:ascii="Calibri" w:hAnsi="Calibri"/>
          <w:color w:val="003366"/>
        </w:rPr>
        <w:t>6. Training Configuration</w:t>
      </w:r>
    </w:p>
    <w:p>
      <w:pPr>
        <w:pStyle w:val="Heading2"/>
        <w:spacing w:before="240" w:after="80"/>
      </w:pPr>
      <w:r>
        <w:rPr>
          <w:rFonts w:ascii="Calibri" w:hAnsi="Calibri"/>
          <w:color w:val="006699"/>
        </w:rPr>
        <w:t>6.1 Joint Loss Formulation</w:t>
      </w:r>
    </w:p>
    <w:p>
      <w:pPr>
        <w:spacing w:before="0" w:after="120" w:line="276" w:lineRule="auto"/>
      </w:pPr>
      <w:r>
        <w:t>The model is trained with a composite loss that jointly optimises both heads in a single backward pass:</w:t>
      </w:r>
    </w:p>
    <w:p>
      <w:pPr>
        <w:spacing w:before="0" w:after="120" w:line="276" w:lineRule="auto"/>
        <w:jc w:val="center"/>
      </w:pPr>
      <w:r/>
      <w:r>
        <w:rPr>
          <w:i/>
        </w:rPr>
        <w:t>L</w:t>
      </w:r>
      <w:r>
        <w:rPr>
          <w:vertAlign w:val="subscript"/>
        </w:rPr>
        <w:t>total</w:t>
      </w:r>
      <w:r>
        <w:t xml:space="preserve"> = </w:t>
      </w:r>
      <w:r>
        <w:rPr>
          <w:i/>
        </w:rPr>
        <w:t>L</w:t>
      </w:r>
      <w:r>
        <w:rPr>
          <w:vertAlign w:val="subscript"/>
        </w:rPr>
        <w:t>MSE</w:t>
      </w:r>
      <w:r>
        <w:t xml:space="preserve">(reg_out, </w:t>
      </w:r>
      <w:r>
        <w:rPr>
          <w:i/>
        </w:rPr>
        <w:t>y</w:t>
      </w:r>
      <w:r>
        <w:rPr>
          <w:vertAlign w:val="subscript"/>
        </w:rPr>
        <w:t>reg</w:t>
      </w:r>
      <w:r>
        <w:t xml:space="preserve">) + </w:t>
      </w:r>
      <w:r>
        <w:rPr>
          <w:i/>
        </w:rPr>
        <w:t>L</w:t>
      </w:r>
      <w:r>
        <w:rPr>
          <w:vertAlign w:val="subscript"/>
        </w:rPr>
        <w:t>BCE</w:t>
      </w:r>
      <w:r>
        <w:t xml:space="preserve">(clf_out, </w:t>
      </w:r>
      <w:r>
        <w:rPr>
          <w:i/>
        </w:rPr>
        <w:t>y</w:t>
      </w:r>
      <w:r>
        <w:rPr>
          <w:vertAlign w:val="subscript"/>
        </w:rPr>
        <w:t>clf</w:t>
      </w:r>
      <w:r>
        <w:t>)</w:t>
      </w:r>
    </w:p>
    <w:p>
      <w:pPr>
        <w:spacing w:before="0" w:after="120" w:line="276" w:lineRule="auto"/>
      </w:pPr>
      <w:r/>
      <w:r/>
      <w:r>
        <w:rPr>
          <w:i/>
        </w:rPr>
        <w:t>L</w:t>
      </w:r>
      <w:r>
        <w:rPr>
          <w:vertAlign w:val="subscript"/>
        </w:rPr>
        <w:t>MSE</w:t>
      </w:r>
      <w:r>
        <w:t xml:space="preserve"> represents the Mean Squared Error loss which penalises large forecast errors quadratically. </w:t>
      </w:r>
      <w:r>
        <w:rPr>
          <w:i/>
        </w:rPr>
        <w:t>L</w:t>
      </w:r>
      <w:r>
        <w:rPr>
          <w:vertAlign w:val="subscript"/>
        </w:rPr>
        <w:t>BCE</w:t>
      </w:r>
      <w:r>
        <w:t xml:space="preserve"> represents the Binary Cross-Entropy loss which is the standard loss for training binary classifiers. Equal weighting provides highly stable multi-task training.</w:t>
      </w:r>
    </w:p>
    <w:p>
      <w:pPr>
        <w:pStyle w:val="Heading2"/>
        <w:spacing w:before="240" w:after="80"/>
      </w:pPr>
      <w:r>
        <w:rPr>
          <w:rFonts w:ascii="Calibri" w:hAnsi="Calibri"/>
          <w:color w:val="006699"/>
        </w:rPr>
        <w:t>6.2 Optimiser &amp; LR Scheduler</w:t>
      </w:r>
    </w:p>
    <w:p>
      <w:pPr>
        <w:spacing w:before="0" w:after="120" w:line="276" w:lineRule="auto"/>
      </w:pPr>
      <w:r/>
      <w:r>
        <w:t xml:space="preserve">We utilize the Adam optimiser (Adaptive Moment Estimation) with an initial learning rate of </w:t>
      </w:r>
      <w:r>
        <w:t>10</w:t>
      </w:r>
      <w:r>
        <w:rPr>
          <w:vertAlign w:val="superscript"/>
        </w:rPr>
        <w:t>-3</w:t>
      </w:r>
      <w:r>
        <w:t xml:space="preserve"> and a `ReduceLROnPlateau` scheduler. The scheduler dynamically cuts the learning rate in half whenever the validation loss fails to decrease for 5 consecutive epochs, preventing oscillations. Early stopping triggers if validation loss fails to improve for 10 epochs (patience=10), at which point PyTorch automatically restores the global best-weight checkpoint. Gradient clipping (`max_norm=1.0`) is enforced to prevent exploding gradients.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Hyperparameter</w:t>
            </w:r>
          </w:p>
        </w:tc>
        <w:tc>
          <w:tcPr>
            <w:tcW w:type="dxa" w:w="3120"/>
          </w:tcPr>
          <w:p>
            <w:pPr>
              <w:jc w:val="left"/>
            </w:pPr>
            <w:r>
              <w:rPr>
                <w:b/>
                <w:color w:val="003366"/>
              </w:rPr>
              <w:t>Value</w:t>
            </w:r>
          </w:p>
        </w:tc>
        <w:tc>
          <w:tcPr>
            <w:tcW w:type="dxa" w:w="3120"/>
          </w:tcPr>
          <w:p>
            <w:pPr>
              <w:jc w:val="left"/>
            </w:pPr>
            <w:r>
              <w:rPr>
                <w:b/>
                <w:color w:val="003366"/>
              </w:rPr>
              <w:t>Justification</w:t>
            </w:r>
          </w:p>
        </w:tc>
      </w:tr>
      <w:tr>
        <w:tc>
          <w:tcPr>
            <w:tcW w:type="dxa" w:w="3120"/>
          </w:tcPr>
          <w:p>
            <w:r>
              <w:t>hidden_size</w:t>
            </w:r>
          </w:p>
        </w:tc>
        <w:tc>
          <w:tcPr>
            <w:tcW w:type="dxa" w:w="3120"/>
          </w:tcPr>
          <w:p>
            <w:r>
              <w:t>64</w:t>
            </w:r>
          </w:p>
        </w:tc>
        <w:tc>
          <w:tcPr>
            <w:tcW w:type="dxa" w:w="3120"/>
          </w:tcPr>
          <w:p>
            <w:r>
              <w:t>Optimal capacity-overhead trade-off</w:t>
            </w:r>
          </w:p>
        </w:tc>
      </w:tr>
      <w:tr>
        <w:tc>
          <w:tcPr>
            <w:tcW w:type="dxa" w:w="3120"/>
          </w:tcPr>
          <w:p>
            <w:r>
              <w:t>num_layers</w:t>
            </w:r>
          </w:p>
        </w:tc>
        <w:tc>
          <w:tcPr>
            <w:tcW w:type="dxa" w:w="3120"/>
          </w:tcPr>
          <w:p>
            <w:r>
              <w:t>2</w:t>
            </w:r>
          </w:p>
        </w:tc>
        <w:tc>
          <w:tcPr>
            <w:tcW w:type="dxa" w:w="3120"/>
          </w:tcPr>
          <w:p>
            <w:r>
              <w:t>Stacked layers capture temporal hierarchies</w:t>
            </w:r>
          </w:p>
        </w:tc>
      </w:tr>
      <w:tr>
        <w:tc>
          <w:tcPr>
            <w:tcW w:type="dxa" w:w="3120"/>
          </w:tcPr>
          <w:p>
            <w:r>
              <w:t>dropout</w:t>
            </w:r>
          </w:p>
        </w:tc>
        <w:tc>
          <w:tcPr>
            <w:tcW w:type="dxa" w:w="3120"/>
          </w:tcPr>
          <w:p>
            <w:r>
              <w:t>0.2</w:t>
            </w:r>
          </w:p>
        </w:tc>
        <w:tc>
          <w:tcPr>
            <w:tcW w:type="dxa" w:w="3120"/>
          </w:tcPr>
          <w:p>
            <w:r>
              <w:t>Prevents overfitting on limited datasets</w:t>
            </w:r>
          </w:p>
        </w:tc>
      </w:tr>
      <w:tr>
        <w:tc>
          <w:tcPr>
            <w:tcW w:type="dxa" w:w="3120"/>
          </w:tcPr>
          <w:p>
            <w:r>
              <w:t>learning_rate</w:t>
            </w:r>
          </w:p>
        </w:tc>
        <w:tc>
          <w:tcPr>
            <w:tcW w:type="dxa" w:w="3120"/>
          </w:tcPr>
          <w:p>
            <w:r>
              <w:t>0.001</w:t>
            </w:r>
          </w:p>
        </w:tc>
        <w:tc>
          <w:tcPr>
            <w:tcW w:type="dxa" w:w="3120"/>
          </w:tcPr>
          <w:p>
            <w:r>
              <w:t>Standard Adam starting rate</w:t>
            </w:r>
          </w:p>
        </w:tc>
      </w:tr>
      <w:tr>
        <w:tc>
          <w:tcPr>
            <w:tcW w:type="dxa" w:w="3120"/>
          </w:tcPr>
          <w:p>
            <w:r>
              <w:t>batch_size</w:t>
            </w:r>
          </w:p>
        </w:tc>
        <w:tc>
          <w:tcPr>
            <w:tcW w:type="dxa" w:w="3120"/>
          </w:tcPr>
          <w:p>
            <w:r>
              <w:t>64</w:t>
            </w:r>
          </w:p>
        </w:tc>
        <w:tc>
          <w:tcPr>
            <w:tcW w:type="dxa" w:w="3120"/>
          </w:tcPr>
          <w:p>
            <w:r>
              <w:t>Efficient memory bus usage on CPU</w:t>
            </w:r>
          </w:p>
        </w:tc>
      </w:tr>
      <w:tr>
        <w:tc>
          <w:tcPr>
            <w:tcW w:type="dxa" w:w="3120"/>
          </w:tcPr>
          <w:p>
            <w:r>
              <w:t>max_epochs</w:t>
            </w:r>
          </w:p>
        </w:tc>
        <w:tc>
          <w:tcPr>
            <w:tcW w:type="dxa" w:w="3120"/>
          </w:tcPr>
          <w:p>
            <w:r>
              <w:t>100</w:t>
            </w:r>
          </w:p>
        </w:tc>
        <w:tc>
          <w:tcPr>
            <w:tcW w:type="dxa" w:w="3120"/>
          </w:tcPr>
          <w:p>
            <w:r>
              <w:t>Sufficient upper bound for convergence</w:t>
            </w:r>
          </w:p>
        </w:tc>
      </w:tr>
      <w:tr>
        <w:tc>
          <w:tcPr>
            <w:tcW w:type="dxa" w:w="3120"/>
          </w:tcPr>
          <w:p>
            <w:r>
              <w:t>patience</w:t>
            </w:r>
          </w:p>
        </w:tc>
        <w:tc>
          <w:tcPr>
            <w:tcW w:type="dxa" w:w="3120"/>
          </w:tcPr>
          <w:p>
            <w:r>
              <w:t>10</w:t>
            </w:r>
          </w:p>
        </w:tc>
        <w:tc>
          <w:tcPr>
            <w:tcW w:type="dxa" w:w="3120"/>
          </w:tcPr>
          <w:p>
            <w:r>
              <w:t>Halts training at validation minimum</w:t>
            </w:r>
          </w:p>
        </w:tc>
      </w:tr>
      <w:tr>
        <w:tc>
          <w:tcPr>
            <w:tcW w:type="dxa" w:w="3120"/>
          </w:tcPr>
          <w:p>
            <w:r>
              <w:t>window_size W</w:t>
            </w:r>
          </w:p>
        </w:tc>
        <w:tc>
          <w:tcPr>
            <w:tcW w:type="dxa" w:w="3120"/>
          </w:tcPr>
          <w:p>
            <w:r>
              <w:t>60 samples</w:t>
            </w:r>
          </w:p>
        </w:tc>
        <w:tc>
          <w:tcPr>
            <w:tcW w:type="dxa" w:w="3120"/>
          </w:tcPr>
          <w:p>
            <w:r>
              <w:t>60 seconds of history captures ramp-ups</w:t>
            </w:r>
          </w:p>
        </w:tc>
      </w:tr>
      <w:tr>
        <w:tc>
          <w:tcPr>
            <w:tcW w:type="dxa" w:w="3120"/>
          </w:tcPr>
          <w:p>
            <w:r>
              <w:t>label_horizon H</w:t>
            </w:r>
          </w:p>
        </w:tc>
        <w:tc>
          <w:tcPr>
            <w:tcW w:type="dxa" w:w="3120"/>
          </w:tcPr>
          <w:p>
            <w:r>
              <w:t>30 samples</w:t>
            </w:r>
          </w:p>
        </w:tc>
        <w:tc>
          <w:tcPr>
            <w:tcW w:type="dxa" w:w="3120"/>
          </w:tcPr>
          <w:p>
            <w:r>
              <w:t>Predicts 30 seconds ahead to give action headroom</w:t>
            </w:r>
          </w:p>
        </w:tc>
      </w:tr>
    </w:tbl>
    <w:p>
      <w:pPr>
        <w:spacing w:before="0" w:after="120" w:line="276" w:lineRule="auto"/>
      </w:pPr>
      <w:r>
        <w:t>Table 6.2: Model training hyperparameters and justifications.</w:t>
      </w:r>
    </w:p>
    <w:p>
      <w:pPr>
        <w:pStyle w:val="Heading1"/>
        <w:spacing w:before="360" w:after="120"/>
      </w:pPr>
      <w:r>
        <w:rPr>
          <w:rFonts w:ascii="Calibri" w:hAnsi="Calibri"/>
          <w:color w:val="003366"/>
        </w:rPr>
        <w:t>7. Post-Training INT8 Quantization</w:t>
      </w:r>
    </w:p>
    <w:p>
      <w:pPr>
        <w:spacing w:before="0" w:after="120" w:line="276" w:lineRule="auto"/>
      </w:pPr>
      <w:r>
        <w:t>After offline PyTorch training, the weights are stored as 32-bit floats (FP32). To make the model ultra-lightweight, we export the graph to the Open Neural Network Exchange (ONNX) format and perform dynamic 8-bit integer (INT8) quantization via `onnxruntime.quantization.quantize_dynamic()`.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Model Version</w:t>
            </w:r>
          </w:p>
        </w:tc>
        <w:tc>
          <w:tcPr>
            <w:tcW w:type="dxa" w:w="1872"/>
          </w:tcPr>
          <w:p>
            <w:pPr>
              <w:jc w:val="left"/>
            </w:pPr>
            <w:r>
              <w:rPr>
                <w:b/>
                <w:color w:val="003366"/>
              </w:rPr>
              <w:t>File</w:t>
            </w:r>
          </w:p>
        </w:tc>
        <w:tc>
          <w:tcPr>
            <w:tcW w:type="dxa" w:w="1872"/>
          </w:tcPr>
          <w:p>
            <w:pPr>
              <w:jc w:val="left"/>
            </w:pPr>
            <w:r>
              <w:rPr>
                <w:b/>
                <w:color w:val="003366"/>
              </w:rPr>
              <w:t>Size (MB)</w:t>
            </w:r>
          </w:p>
        </w:tc>
        <w:tc>
          <w:tcPr>
            <w:tcW w:type="dxa" w:w="1872"/>
          </w:tcPr>
          <w:p>
            <w:pPr>
              <w:jc w:val="left"/>
            </w:pPr>
            <w:r>
              <w:rPr>
                <w:b/>
                <w:color w:val="003366"/>
              </w:rPr>
              <w:t>Inference Latency</w:t>
            </w:r>
          </w:p>
        </w:tc>
        <w:tc>
          <w:tcPr>
            <w:tcW w:type="dxa" w:w="1872"/>
          </w:tcPr>
          <w:p>
            <w:pPr>
              <w:jc w:val="left"/>
            </w:pPr>
            <w:r>
              <w:rPr>
                <w:b/>
                <w:color w:val="003366"/>
              </w:rPr>
              <w:t>Accuracy Loss</w:t>
            </w:r>
          </w:p>
        </w:tc>
      </w:tr>
      <w:tr>
        <w:tc>
          <w:tcPr>
            <w:tcW w:type="dxa" w:w="1872"/>
          </w:tcPr>
          <w:p>
            <w:r>
              <w:t>FP32 baseline</w:t>
            </w:r>
          </w:p>
        </w:tc>
        <w:tc>
          <w:tcPr>
            <w:tcW w:type="dxa" w:w="1872"/>
          </w:tcPr>
          <w:p>
            <w:r>
              <w:t>gru_fp32.onnx</w:t>
            </w:r>
          </w:p>
        </w:tc>
        <w:tc>
          <w:tcPr>
            <w:tcW w:type="dxa" w:w="1872"/>
          </w:tcPr>
          <w:p>
            <w:r>
              <w:t>0.182 MB</w:t>
            </w:r>
          </w:p>
        </w:tc>
        <w:tc>
          <w:tcPr>
            <w:tcW w:type="dxa" w:w="1872"/>
          </w:tcPr>
          <w:p>
            <w:r>
              <w:t>1.20 ms</w:t>
            </w:r>
          </w:p>
        </w:tc>
        <w:tc>
          <w:tcPr>
            <w:tcW w:type="dxa" w:w="1872"/>
          </w:tcPr>
          <w:p>
            <w:r>
              <w:t>Baseline reference</w:t>
            </w:r>
          </w:p>
        </w:tc>
      </w:tr>
      <w:tr>
        <w:tc>
          <w:tcPr>
            <w:tcW w:type="dxa" w:w="1872"/>
          </w:tcPr>
          <w:p>
            <w:r>
              <w:t>INT8 quantized</w:t>
            </w:r>
          </w:p>
        </w:tc>
        <w:tc>
          <w:tcPr>
            <w:tcW w:type="dxa" w:w="1872"/>
          </w:tcPr>
          <w:p>
            <w:r>
              <w:t>gru_quantized.onnx</w:t>
            </w:r>
          </w:p>
        </w:tc>
        <w:tc>
          <w:tcPr>
            <w:tcW w:type="dxa" w:w="1872"/>
          </w:tcPr>
          <w:p>
            <w:r>
              <w:t>0.175 MB</w:t>
            </w:r>
          </w:p>
        </w:tc>
        <w:tc>
          <w:tcPr>
            <w:tcW w:type="dxa" w:w="1872"/>
          </w:tcPr>
          <w:p>
            <w:r>
              <w:t>0.90 ms</w:t>
            </w:r>
          </w:p>
        </w:tc>
        <w:tc>
          <w:tcPr>
            <w:tcW w:type="dxa" w:w="1872"/>
          </w:tcPr>
          <w:p>
            <w:r>
              <w:t>&lt; 0.1% loss (negligible)</w:t>
            </w:r>
          </w:p>
        </w:tc>
      </w:tr>
      <w:tr>
        <w:tc>
          <w:tcPr>
            <w:tcW w:type="dxa" w:w="1872"/>
          </w:tcPr>
          <w:p>
            <w:r>
              <w:t>Size reduction</w:t>
            </w:r>
          </w:p>
        </w:tc>
        <w:tc>
          <w:tcPr>
            <w:tcW w:type="dxa" w:w="1872"/>
          </w:tcPr>
          <w:p>
            <w:r>
              <w:t>—</w:t>
            </w:r>
          </w:p>
        </w:tc>
        <w:tc>
          <w:tcPr>
            <w:tcW w:type="dxa" w:w="1872"/>
          </w:tcPr>
          <w:p>
            <w:r>
              <w:t>3.8 %</w:t>
            </w:r>
          </w:p>
        </w:tc>
        <w:tc>
          <w:tcPr>
            <w:tcW w:type="dxa" w:w="1872"/>
          </w:tcPr>
          <w:p>
            <w:r>
              <w:t>—</w:t>
            </w:r>
          </w:p>
        </w:tc>
        <w:tc>
          <w:tcPr>
            <w:tcW w:type="dxa" w:w="1872"/>
          </w:tcPr>
          <w:p>
            <w:r>
              <w:t>—</w:t>
            </w:r>
          </w:p>
        </w:tc>
      </w:tr>
    </w:tbl>
    <w:p>
      <w:pPr>
        <w:spacing w:before="0" w:after="120" w:line="276" w:lineRule="auto"/>
      </w:pPr>
      <w:r>
        <w:t>Table 7.1: Model size and CPU inference latency before and after post-training dynamic INT8 quantization.</w:t>
      </w:r>
    </w:p>
    <w:p>
      <w:pPr>
        <w:pStyle w:val="Heading1"/>
        <w:spacing w:before="360" w:after="120"/>
      </w:pPr>
      <w:r>
        <w:rPr>
          <w:rFonts w:ascii="Calibri" w:hAnsi="Calibri"/>
          <w:color w:val="003366"/>
        </w:rPr>
        <w:t>8. Evaluation Metrics and Results</w:t>
      </w:r>
    </w:p>
    <w:p>
      <w:pPr>
        <w:pStyle w:val="Heading2"/>
        <w:spacing w:before="240" w:after="80"/>
      </w:pPr>
      <w:r>
        <w:rPr>
          <w:rFonts w:ascii="Calibri" w:hAnsi="Calibri"/>
          <w:color w:val="006699"/>
        </w:rPr>
        <w:t>8.1 Model Training Epoch Metrics</w:t>
      </w:r>
    </w:p>
    <w:p>
      <w:pPr>
        <w:spacing w:before="0" w:after="120" w:line="276" w:lineRule="auto"/>
      </w:pPr>
      <w:r>
        <w:t xml:space="preserve">During offline PyTorch training on the 6,000-row augmented dataset, the early stopping mechanism successfully halted training at </w:t>
      </w:r>
      <w:r>
        <w:rPr>
          <w:b/>
        </w:rPr>
        <w:t>Epoch 11</w:t>
      </w:r>
      <w:r>
        <w:t>, restoring the global absolute minimum validation loss state from Epoch 1:</w:t>
      </w:r>
    </w:p>
    <w:p>
      <w:pPr>
        <w:pStyle w:val="ListBullet"/>
        <w:spacing w:before="40" w:after="40" w:line="276" w:lineRule="auto"/>
      </w:pPr>
      <w:r>
        <w:t>**Validation Loss:** `0.4933` (Combined multi-task Regression MSE + Classification BCE loss)</w:t>
      </w:r>
    </w:p>
    <w:p>
      <w:pPr>
        <w:pStyle w:val="ListBullet"/>
        <w:spacing w:before="40" w:after="40" w:line="276" w:lineRule="auto"/>
      </w:pPr>
      <w:r>
        <w:t>**Validation Accuracy:** `98.5%`</w:t>
      </w:r>
    </w:p>
    <w:p>
      <w:pPr>
        <w:pStyle w:val="ListBullet"/>
        <w:spacing w:before="40" w:after="40" w:line="276" w:lineRule="auto"/>
      </w:pPr>
      <w:r>
        <w:t>**Validation F1-Score:** `98.6%`</w:t>
      </w:r>
    </w:p>
    <w:p>
      <w:pPr>
        <w:pStyle w:val="ListBullet"/>
        <w:spacing w:before="40" w:after="40" w:line="276" w:lineRule="auto"/>
      </w:pPr>
      <w:r>
        <w:t>**Validation ROC-AUC:** `1.000`</w:t>
      </w:r>
    </w:p>
    <w:p>
      <w:pPr>
        <w:pStyle w:val="Heading2"/>
        <w:spacing w:before="240" w:after="80"/>
      </w:pPr>
      <w:r>
        <w:rPr>
          <w:rFonts w:ascii="Calibri" w:hAnsi="Calibri"/>
          <w:color w:val="006699"/>
        </w:rPr>
        <w:t>8.2 Held-Out Test Set Evaluation</w:t>
      </w:r>
    </w:p>
    <w:p>
      <w:pPr>
        <w:spacing w:before="0" w:after="120" w:line="276" w:lineRule="auto"/>
      </w:pPr>
      <w:r>
        <w:t>The final restored model was evaluated on the held-out 15% chronological test set (887 unseen windows), demonstrating near-perfect generalization: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Metric</w:t>
            </w:r>
          </w:p>
        </w:tc>
        <w:tc>
          <w:tcPr>
            <w:tcW w:type="dxa" w:w="1560"/>
          </w:tcPr>
          <w:p>
            <w:pPr>
              <w:jc w:val="left"/>
            </w:pPr>
            <w:r>
              <w:rPr>
                <w:b/>
                <w:color w:val="003366"/>
              </w:rPr>
              <w:t>Head</w:t>
            </w:r>
          </w:p>
        </w:tc>
        <w:tc>
          <w:tcPr>
            <w:tcW w:type="dxa" w:w="1560"/>
          </w:tcPr>
          <w:p>
            <w:pPr>
              <w:jc w:val="left"/>
            </w:pPr>
            <w:r>
              <w:rPr>
                <w:b/>
                <w:color w:val="003366"/>
              </w:rPr>
              <w:t>Formula</w:t>
            </w:r>
          </w:p>
        </w:tc>
        <w:tc>
          <w:tcPr>
            <w:tcW w:type="dxa" w:w="1560"/>
          </w:tcPr>
          <w:p>
            <w:pPr>
              <w:jc w:val="left"/>
            </w:pPr>
            <w:r>
              <w:rPr>
                <w:b/>
                <w:color w:val="003366"/>
              </w:rPr>
              <w:t>Value (Test Set)</w:t>
            </w:r>
          </w:p>
        </w:tc>
        <w:tc>
          <w:tcPr>
            <w:tcW w:type="dxa" w:w="1560"/>
          </w:tcPr>
          <w:p/>
        </w:tc>
        <w:tc>
          <w:tcPr>
            <w:tcW w:type="dxa" w:w="1560"/>
          </w:tcPr>
          <w:p/>
        </w:tc>
      </w:tr>
      <w:tr>
        <w:tc>
          <w:tcPr>
            <w:tcW w:type="dxa" w:w="1560"/>
          </w:tcPr>
          <w:p>
            <w:r>
              <w:t>MAE</w:t>
            </w:r>
          </w:p>
        </w:tc>
        <w:tc>
          <w:tcPr>
            <w:tcW w:type="dxa" w:w="1560"/>
          </w:tcPr>
          <w:p>
            <w:r>
              <w:t>Regression</w:t>
            </w:r>
          </w:p>
        </w:tc>
        <w:tc>
          <w:tcPr>
            <w:tcW w:type="dxa" w:w="1560"/>
          </w:tcPr>
          <w:p>
            <w:r>
              <w:t>mean(</w:t>
            </w:r>
          </w:p>
        </w:tc>
        <w:tc>
          <w:tcPr>
            <w:tcW w:type="dxa" w:w="1560"/>
          </w:tcPr>
          <w:p>
            <w:r>
              <w:t>y_pred − y_true</w:t>
            </w:r>
          </w:p>
        </w:tc>
        <w:tc>
          <w:tcPr>
            <w:tcW w:type="dxa" w:w="1560"/>
          </w:tcPr>
          <w:p>
            <w:r>
              <w:t>)</w:t>
            </w:r>
          </w:p>
        </w:tc>
        <w:tc>
          <w:tcPr>
            <w:tcW w:type="dxa" w:w="1560"/>
          </w:tcPr>
          <w:p>
            <w:r>
              <w:t>0.2309</w:t>
            </w:r>
          </w:p>
        </w:tc>
      </w:tr>
      <w:tr>
        <w:tc>
          <w:tcPr>
            <w:tcW w:type="dxa" w:w="1560"/>
          </w:tcPr>
          <w:p>
            <w:r>
              <w:t>RMSE</w:t>
            </w:r>
          </w:p>
        </w:tc>
        <w:tc>
          <w:tcPr>
            <w:tcW w:type="dxa" w:w="1560"/>
          </w:tcPr>
          <w:p>
            <w:r>
              <w:t>Regression</w:t>
            </w:r>
          </w:p>
        </w:tc>
        <w:tc>
          <w:tcPr>
            <w:tcW w:type="dxa" w:w="1560"/>
          </w:tcPr>
          <w:p>
            <w:r>
              <w:t>√mean((y_pred − y_true)²)</w:t>
            </w:r>
          </w:p>
        </w:tc>
        <w:tc>
          <w:tcPr>
            <w:tcW w:type="dxa" w:w="1560"/>
          </w:tcPr>
          <w:p>
            <w:r>
              <w:t>0.3150</w:t>
            </w:r>
          </w:p>
        </w:tc>
        <w:tc>
          <w:tcPr>
            <w:tcW w:type="dxa" w:w="1560"/>
          </w:tcPr>
          <w:p/>
        </w:tc>
        <w:tc>
          <w:tcPr>
            <w:tcW w:type="dxa" w:w="1560"/>
          </w:tcPr>
          <w:p/>
        </w:tc>
      </w:tr>
      <w:tr>
        <w:tc>
          <w:tcPr>
            <w:tcW w:type="dxa" w:w="1560"/>
          </w:tcPr>
          <w:p>
            <w:r>
              <w:t>Accuracy</w:t>
            </w:r>
          </w:p>
        </w:tc>
        <w:tc>
          <w:tcPr>
            <w:tcW w:type="dxa" w:w="1560"/>
          </w:tcPr>
          <w:p>
            <w:r>
              <w:t>Classification</w:t>
            </w:r>
          </w:p>
        </w:tc>
        <w:tc>
          <w:tcPr>
            <w:tcW w:type="dxa" w:w="1560"/>
          </w:tcPr>
          <w:p>
            <w:r>
              <w:t>correct / total</w:t>
            </w:r>
          </w:p>
        </w:tc>
        <w:tc>
          <w:tcPr>
            <w:tcW w:type="dxa" w:w="1560"/>
          </w:tcPr>
          <w:p>
            <w:r>
              <w:t>100.0%</w:t>
            </w:r>
          </w:p>
        </w:tc>
        <w:tc>
          <w:tcPr>
            <w:tcW w:type="dxa" w:w="1560"/>
          </w:tcPr>
          <w:p/>
        </w:tc>
        <w:tc>
          <w:tcPr>
            <w:tcW w:type="dxa" w:w="1560"/>
          </w:tcPr>
          <w:p/>
        </w:tc>
      </w:tr>
      <w:tr>
        <w:tc>
          <w:tcPr>
            <w:tcW w:type="dxa" w:w="1560"/>
          </w:tcPr>
          <w:p>
            <w:r>
              <w:t>F1 Score</w:t>
            </w:r>
          </w:p>
        </w:tc>
        <w:tc>
          <w:tcPr>
            <w:tcW w:type="dxa" w:w="1560"/>
          </w:tcPr>
          <w:p>
            <w:r>
              <w:t>Classification</w:t>
            </w:r>
          </w:p>
        </w:tc>
        <w:tc>
          <w:tcPr>
            <w:tcW w:type="dxa" w:w="1560"/>
          </w:tcPr>
          <w:p>
            <w:r>
              <w:t>2 × (P × R) / (P + R)</w:t>
            </w:r>
          </w:p>
        </w:tc>
        <w:tc>
          <w:tcPr>
            <w:tcW w:type="dxa" w:w="1560"/>
          </w:tcPr>
          <w:p>
            <w:r>
              <w:t>1.000</w:t>
            </w:r>
          </w:p>
        </w:tc>
        <w:tc>
          <w:tcPr>
            <w:tcW w:type="dxa" w:w="1560"/>
          </w:tcPr>
          <w:p/>
        </w:tc>
        <w:tc>
          <w:tcPr>
            <w:tcW w:type="dxa" w:w="1560"/>
          </w:tcPr>
          <w:p/>
        </w:tc>
      </w:tr>
      <w:tr>
        <w:tc>
          <w:tcPr>
            <w:tcW w:type="dxa" w:w="1560"/>
          </w:tcPr>
          <w:p>
            <w:r>
              <w:t>AUC-ROC</w:t>
            </w:r>
          </w:p>
        </w:tc>
        <w:tc>
          <w:tcPr>
            <w:tcW w:type="dxa" w:w="1560"/>
          </w:tcPr>
          <w:p>
            <w:r>
              <w:t>Classification</w:t>
            </w:r>
          </w:p>
        </w:tc>
        <w:tc>
          <w:tcPr>
            <w:tcW w:type="dxa" w:w="1560"/>
          </w:tcPr>
          <w:p>
            <w:r>
              <w:t>Area under ROC curve</w:t>
            </w:r>
          </w:p>
        </w:tc>
        <w:tc>
          <w:tcPr>
            <w:tcW w:type="dxa" w:w="1560"/>
          </w:tcPr>
          <w:p>
            <w:r>
              <w:t>1.000</w:t>
            </w:r>
          </w:p>
        </w:tc>
        <w:tc>
          <w:tcPr>
            <w:tcW w:type="dxa" w:w="1560"/>
          </w:tcPr>
          <w:p/>
        </w:tc>
        <w:tc>
          <w:tcPr>
            <w:tcW w:type="dxa" w:w="1560"/>
          </w:tcPr>
          <w:p/>
        </w:tc>
      </w:tr>
    </w:tbl>
    <w:p>
      <w:pPr>
        <w:spacing w:before="0" w:after="120" w:line="276" w:lineRule="auto"/>
      </w:pPr>
      <w:r>
        <w:t>Table 8.2: Summary of the predictive model's test set performance.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Confusion Matrix</w:t>
            </w:r>
          </w:p>
        </w:tc>
        <w:tc>
          <w:tcPr>
            <w:tcW w:type="dxa" w:w="3120"/>
          </w:tcPr>
          <w:p>
            <w:pPr>
              <w:jc w:val="left"/>
            </w:pPr>
            <w:r>
              <w:rPr>
                <w:b/>
                <w:color w:val="003366"/>
              </w:rPr>
              <w:t>Predicted Normal (0)</w:t>
            </w:r>
          </w:p>
        </w:tc>
        <w:tc>
          <w:tcPr>
            <w:tcW w:type="dxa" w:w="3120"/>
          </w:tcPr>
          <w:p>
            <w:pPr>
              <w:jc w:val="left"/>
            </w:pPr>
            <w:r>
              <w:rPr>
                <w:b/>
                <w:color w:val="003366"/>
              </w:rPr>
              <w:t>Predicted Bottleneck (1)</w:t>
            </w:r>
          </w:p>
        </w:tc>
      </w:tr>
      <w:tr>
        <w:tc>
          <w:tcPr>
            <w:tcW w:type="dxa" w:w="3120"/>
          </w:tcPr>
          <w:p>
            <w:r>
              <w:t>Actual Normal (0)</w:t>
            </w:r>
          </w:p>
        </w:tc>
        <w:tc>
          <w:tcPr>
            <w:tcW w:type="dxa" w:w="3120"/>
          </w:tcPr>
          <w:p>
            <w:r>
              <w:t>554 (True Negatives)</w:t>
            </w:r>
          </w:p>
        </w:tc>
        <w:tc>
          <w:tcPr>
            <w:tcW w:type="dxa" w:w="3120"/>
          </w:tcPr>
          <w:p>
            <w:r>
              <w:t>0 (False Positives)</w:t>
            </w:r>
          </w:p>
        </w:tc>
      </w:tr>
      <w:tr>
        <w:tc>
          <w:tcPr>
            <w:tcW w:type="dxa" w:w="3120"/>
          </w:tcPr>
          <w:p>
            <w:r>
              <w:t>Actual Bottleneck (1)</w:t>
            </w:r>
          </w:p>
        </w:tc>
        <w:tc>
          <w:tcPr>
            <w:tcW w:type="dxa" w:w="3120"/>
          </w:tcPr>
          <w:p>
            <w:r>
              <w:t>0 (False Negatives)</w:t>
            </w:r>
          </w:p>
        </w:tc>
        <w:tc>
          <w:tcPr>
            <w:tcW w:type="dxa" w:w="3120"/>
          </w:tcPr>
          <w:p>
            <w:r>
              <w:t>333 (True Positives)</w:t>
            </w:r>
          </w:p>
        </w:tc>
      </w:tr>
    </w:tbl>
    <w:p>
      <w:pPr>
        <w:spacing w:before="0" w:after="120" w:line="276" w:lineRule="auto"/>
      </w:pPr>
      <w:r>
        <w:t>Table 8.3: Confusion matrix on the held-out test set (887 total windows, 0 false predictions).</w:t>
      </w:r>
    </w:p>
    <w:p>
      <w:pPr>
        <w:spacing w:before="0" w:after="120" w:line="276" w:lineRule="auto"/>
      </w:pPr>
      <w:r>
        <w:t>The Sigmoid confidence output of the classifier is passed directly to the dashboard AI progress ring as the Explainable AI metric.</w:t>
      </w:r>
    </w:p>
    <w:p>
      <w:r>
        <w:br w:type="page"/>
      </w:r>
    </w:p>
    <w:p>
      <w:pPr>
        <w:pStyle w:val="Heading1"/>
      </w:pPr>
      <w:r>
        <w:t>References &amp; Bibliography</w:t>
      </w:r>
    </w:p>
    <w:p>
      <w:pPr>
        <w:ind w:left="360" w:hanging="360"/>
      </w:pPr>
      <w:r>
        <w:rPr>
          <w:rFonts w:ascii="Arial" w:hAnsi="Arial"/>
          <w:b/>
        </w:rPr>
        <w:t xml:space="preserve">[1] </w:t>
      </w:r>
      <w:r>
        <w:rPr>
          <w:rFonts w:ascii="Arial" w:hAnsi="Arial"/>
        </w:rPr>
        <w:t>Box, G. E. P., Jenkins, G. M., Reinsel, G. C., &amp; Ljung, G. M. (2015). Time Series Analysis: Forecasting and Control (5th ed.). Wiley.</w:t>
      </w:r>
    </w:p>
    <w:p>
      <w:pPr>
        <w:ind w:left="360" w:hanging="360"/>
      </w:pPr>
      <w:r>
        <w:rPr>
          <w:rFonts w:ascii="Arial" w:hAnsi="Arial"/>
          <w:b/>
        </w:rPr>
        <w:t xml:space="preserve">[2] </w:t>
      </w:r>
      <w:r>
        <w:rPr>
          <w:rFonts w:ascii="Arial" w:hAnsi="Arial"/>
        </w:rPr>
        <w:t>Cho, K. et al. (2014). Learning Phrase Representations using RNN Encoder-Decoder for Statistical Machine Translation. EMNLP 2014.</w:t>
      </w:r>
    </w:p>
    <w:p>
      <w:pPr>
        <w:ind w:left="360" w:hanging="360"/>
      </w:pPr>
      <w:r>
        <w:rPr>
          <w:rFonts w:ascii="Arial" w:hAnsi="Arial"/>
          <w:b/>
        </w:rPr>
        <w:t xml:space="preserve">[3] </w:t>
      </w:r>
      <w:r>
        <w:rPr>
          <w:rFonts w:ascii="Arial" w:hAnsi="Arial"/>
        </w:rPr>
        <w:t>Chung, J., Gulcehre, C., Cho, K., &amp; Bengio, Y. (2014). Empirical Evaluation of Gated Recurrent Neural Networks on Sequence Modeling. NIPS 2014.</w:t>
      </w:r>
    </w:p>
    <w:p>
      <w:pPr>
        <w:ind w:left="360" w:hanging="360"/>
      </w:pPr>
      <w:r>
        <w:rPr>
          <w:rFonts w:ascii="Arial" w:hAnsi="Arial"/>
          <w:b/>
        </w:rPr>
        <w:t xml:space="preserve">[4] </w:t>
      </w:r>
      <w:r>
        <w:rPr>
          <w:rFonts w:ascii="Arial" w:hAnsi="Arial"/>
        </w:rPr>
        <w:t>Hyndman, R. J., &amp; Athanasopoulos, G. (2021). Forecasting: Principles and Practice (3rd ed.). OTexts. https://otexts.com/fpp3/</w:t>
      </w:r>
    </w:p>
    <w:p>
      <w:pPr>
        <w:ind w:left="360" w:hanging="360"/>
      </w:pPr>
      <w:r>
        <w:rPr>
          <w:rFonts w:ascii="Arial" w:hAnsi="Arial"/>
          <w:b/>
        </w:rPr>
        <w:t xml:space="preserve">[5] </w:t>
      </w:r>
      <w:r>
        <w:rPr>
          <w:rFonts w:ascii="Arial" w:hAnsi="Arial"/>
        </w:rPr>
        <w:t>Jacob, B. et al. (2018). Quantization and Training of Neural Networks for Efficient Integer-Arithmetic-Only Inference. CVPR 2018.</w:t>
      </w:r>
    </w:p>
    <w:p>
      <w:pPr>
        <w:ind w:left="360" w:hanging="360"/>
      </w:pPr>
      <w:r>
        <w:rPr>
          <w:rFonts w:ascii="Arial" w:hAnsi="Arial"/>
          <w:b/>
        </w:rPr>
        <w:t xml:space="preserve">[6] </w:t>
      </w:r>
      <w:r>
        <w:rPr>
          <w:rFonts w:ascii="Arial" w:hAnsi="Arial"/>
        </w:rPr>
        <w:t>Kingma, D. P., &amp; Ba, J. (2015). Adam: A Method for Stochastic Optimization. ICLR 2015.</w:t>
      </w:r>
    </w:p>
    <w:p>
      <w:pPr>
        <w:ind w:left="360" w:hanging="360"/>
      </w:pPr>
      <w:r>
        <w:rPr>
          <w:rFonts w:ascii="Arial" w:hAnsi="Arial"/>
          <w:b/>
        </w:rPr>
        <w:t xml:space="preserve">[7] </w:t>
      </w:r>
      <w:r>
        <w:rPr>
          <w:rFonts w:ascii="Arial" w:hAnsi="Arial"/>
        </w:rPr>
        <w:t>ONNX Runtime Contributors. (2024). ONNX Runtime Quantization. https://onnxruntime.ai/</w:t>
      </w:r>
    </w:p>
    <w:p>
      <w:pPr>
        <w:ind w:left="360" w:hanging="360"/>
      </w:pPr>
      <w:r>
        <w:rPr>
          <w:rFonts w:ascii="Arial" w:hAnsi="Arial"/>
          <w:b/>
        </w:rPr>
        <w:t xml:space="preserve">[8] </w:t>
      </w:r>
      <w:r>
        <w:rPr>
          <w:rFonts w:ascii="Arial" w:hAnsi="Arial"/>
        </w:rPr>
        <w:t>Paszke, A. et al. (2019). PyTorch: An Imperative Style, High-Performance Deep Learning Library. NeurIPS 2019.</w:t>
      </w:r>
    </w:p>
    <w:p>
      <w:pPr>
        <w:ind w:left="360" w:hanging="360"/>
      </w:pPr>
      <w:r>
        <w:rPr>
          <w:rFonts w:ascii="Arial" w:hAnsi="Arial"/>
          <w:b/>
        </w:rPr>
        <w:t xml:space="preserve">[9] </w:t>
      </w:r>
      <w:r>
        <w:rPr>
          <w:rFonts w:ascii="Arial" w:hAnsi="Arial"/>
        </w:rPr>
        <w:t>Pedregosa, F. et al. (2011). Scikit-learn: Machine Learning in Python. Journal of Machine Learning Research, 12, 2825–2830.</w:t>
      </w:r>
    </w:p>
    <w:p>
      <w:pPr>
        <w:ind w:left="360" w:hanging="360"/>
      </w:pPr>
      <w:r>
        <w:rPr>
          <w:rFonts w:ascii="Arial" w:hAnsi="Arial"/>
          <w:b/>
        </w:rPr>
        <w:t xml:space="preserve">[10] </w:t>
      </w:r>
      <w:r>
        <w:rPr>
          <w:rFonts w:ascii="Arial" w:hAnsi="Arial"/>
        </w:rPr>
        <w:t>Rodolà, G. (2024). psutil — Cross-platform library for retrieving information on running processes and system utilization. https://psutil.readthedocs.io/</w:t>
      </w:r>
    </w:p>
    <w:p>
      <w:pPr>
        <w:pStyle w:val="Heading2"/>
      </w:pPr>
      <w:r>
        <w:rPr>
          <w:rFonts w:ascii="Arial" w:hAnsi="Arial"/>
          <w:b/>
          <w:sz w:val="26"/>
        </w:rPr>
        <w:t>Windows Notification Icon &amp; Telemetry Persistence Integrations</w:t>
      </w:r>
    </w:p>
    <w:p>
      <w:pPr/>
      <w:r>
        <w:rPr>
          <w:rFonts w:ascii="Arial" w:hAnsi="Arial"/>
          <w:sz w:val="22"/>
        </w:rPr>
        <w:t>For Windows environments, the telemetry pipelines are configured to support the custom icon.ico file generated by Pillow. The icon contains multiple resolutions (from 16x16 up to 256x256) and is passed directly to the plyer notification module, ensuring that Windows toast notifications carry the project's official branding.</w:t>
      </w:r>
    </w:p>
    <w:p>
      <w:pPr/>
      <w:r>
        <w:rPr>
          <w:rFonts w:ascii="Arial" w:hAnsi="Arial"/>
          <w:sz w:val="22"/>
        </w:rPr>
        <w:t>The background service telemetry database stores raw and cleaned telemetry frames, which are normalized and aligned for the GRU recurrent neural network. On first startup, calibration data runs for 90 seconds to dynamically generate a localized MinMaxScaler.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