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4A75D" w14:textId="77777777" w:rsidR="00416077" w:rsidRDefault="00416077" w:rsidP="00F5646D">
      <w:pPr>
        <w:jc w:val="both"/>
        <w:rPr>
          <w:rFonts w:ascii="Times New Roman" w:hAnsi="Times New Roman" w:cs="Times New Roman"/>
          <w:b/>
          <w:color w:val="C00000"/>
        </w:rPr>
      </w:pPr>
      <w:r>
        <w:rPr>
          <w:rFonts w:ascii="Times New Roman" w:hAnsi="Times New Roman" w:cs="Times New Roman"/>
          <w:b/>
          <w:color w:val="C00000"/>
        </w:rPr>
        <w:t>Introduction</w:t>
      </w:r>
    </w:p>
    <w:p w14:paraId="432FBD07" w14:textId="1DA90175" w:rsidR="00506C00" w:rsidRDefault="006570DE" w:rsidP="00F5646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The Integration Analysis System (IAS) is a set of three software tools that are designed to take raw sequence data derived from cell-based phenotypic screens using the Sleeping Beauty transposon mutagenesis system, as described by </w:t>
      </w:r>
      <w:proofErr w:type="spellStart"/>
      <w:r>
        <w:rPr>
          <w:rFonts w:ascii="Times New Roman" w:hAnsi="Times New Roman" w:cs="Times New Roman"/>
          <w:color w:val="000000" w:themeColor="text1"/>
        </w:rPr>
        <w:t>Feddersen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et al. </w:t>
      </w:r>
      <w:r>
        <w:rPr>
          <w:rFonts w:ascii="Times New Roman" w:hAnsi="Times New Roman" w:cs="Times New Roman"/>
          <w:color w:val="000000" w:themeColor="text1"/>
        </w:rPr>
        <w:fldChar w:fldCharType="begin"/>
      </w:r>
      <w:r>
        <w:rPr>
          <w:rFonts w:ascii="Times New Roman" w:hAnsi="Times New Roman" w:cs="Times New Roman"/>
          <w:color w:val="000000" w:themeColor="text1"/>
        </w:rPr>
        <w:instrText xml:space="preserve"> ADDIN EN.CITE &lt;EndNote&gt;&lt;Cite&gt;&lt;Author&gt;Feddersen&lt;/Author&gt;&lt;Year&gt;2019&lt;/Year&gt;&lt;RecNum&gt;53&lt;/RecNum&gt;&lt;DisplayText&gt;(Feddersen et al. 2019)&lt;/DisplayText&gt;&lt;record&gt;&lt;rec-number&gt;53&lt;/rec-number&gt;&lt;foreign-keys&gt;&lt;key app="EN" db-id="0dztr259t2rff0e52sexvvaza5dvxe95p2fs" timestamp="1552073644"&gt;53&lt;/key&gt;&lt;/foreign-keys&gt;&lt;ref-type name="Journal Article"&gt;17&lt;/ref-type&gt;&lt;contributors&gt;&lt;authors&gt;&lt;author&gt;Feddersen, C. R.&lt;/author&gt;&lt;author&gt;Schillo, J. L.&lt;/author&gt;&lt;author&gt;Varzavand, A.&lt;/author&gt;&lt;author&gt;Vaughn, H. R.&lt;/author&gt;&lt;author&gt;Wadsworth, L. S.&lt;/author&gt;&lt;author&gt;Voigt, A. P.&lt;/author&gt;&lt;author&gt;Zhu, E. Y.&lt;/author&gt;&lt;author&gt;Jennings, B. M.&lt;/author&gt;&lt;author&gt;Mullen, S. A.&lt;/author&gt;&lt;author&gt;Bobera, J.&lt;/author&gt;&lt;author&gt;Riordan, J. D.&lt;/author&gt;&lt;author&gt;Stipp, C. S.&lt;/author&gt;&lt;author&gt;Dupuy, A. J.&lt;/author&gt;&lt;/authors&gt;&lt;/contributors&gt;&lt;titles&gt;&lt;title&gt;Src-dependent DBL family members drive resistance to vemurafenib in human melanoma&lt;/title&gt;&lt;secondary-title&gt;bioRxiv&lt;/secondary-title&gt;&lt;/titles&gt;&lt;periodical&gt;&lt;full-title&gt;bioRxiv&lt;/full-title&gt;&lt;/periodical&gt;&lt;edition&gt;02/27/2019&lt;/edition&gt;&lt;dates&gt;&lt;year&gt;2019&lt;/year&gt;&lt;/dates&gt;&lt;urls&gt;&lt;/urls&gt;&lt;electronic-resource-num&gt;https://doi.org/10.1101/561597&lt;/electronic-resource-num&gt;&lt;/record&gt;&lt;/Cite&gt;&lt;/EndNote&gt;</w:instrText>
      </w:r>
      <w:r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(Feddersen et al. 2019)</w:t>
      </w:r>
      <w:r>
        <w:rPr>
          <w:rFonts w:ascii="Times New Roman" w:hAnsi="Times New Roman" w:cs="Times New Roman"/>
          <w:color w:val="000000" w:themeColor="text1"/>
        </w:rPr>
        <w:fldChar w:fldCharType="end"/>
      </w:r>
      <w:r>
        <w:rPr>
          <w:rFonts w:ascii="Times New Roman" w:hAnsi="Times New Roman" w:cs="Times New Roman"/>
          <w:color w:val="000000" w:themeColor="text1"/>
        </w:rPr>
        <w:t xml:space="preserve">. This study describes a </w:t>
      </w:r>
      <w:r>
        <w:rPr>
          <w:rFonts w:ascii="Times New Roman" w:hAnsi="Times New Roman" w:cs="Times New Roman"/>
        </w:rPr>
        <w:t>ligation-mediated PCR approach that generates two independent libraries for each sample analyzed corresponding to the genomic/transposon junction derived from the left (IRL) and right (IRR) inverted repeats of the transposon. After multiplexing, these libraries are then sequenced using a paired-end approach on the Illumina platform, ultimately producing four FASTQ files for each sample (</w:t>
      </w:r>
      <w:r w:rsidRPr="00936B80">
        <w:rPr>
          <w:rFonts w:ascii="Times New Roman" w:hAnsi="Times New Roman" w:cs="Times New Roman"/>
          <w:i/>
        </w:rPr>
        <w:t>i.e.</w:t>
      </w:r>
      <w:r>
        <w:rPr>
          <w:rFonts w:ascii="Times New Roman" w:hAnsi="Times New Roman" w:cs="Times New Roman"/>
        </w:rPr>
        <w:t xml:space="preserve"> forward and reverse reads for both IRL and IRR). The IAS is designed to take these raw sequence files as input and produce a list of candidate genes that are associated with the phenotype of interest.</w:t>
      </w:r>
      <w:r w:rsidR="00506C00">
        <w:rPr>
          <w:rFonts w:ascii="Times New Roman" w:hAnsi="Times New Roman" w:cs="Times New Roman"/>
        </w:rPr>
        <w:t xml:space="preserve"> This document provides an overview describing how each tool in IAS works in this process.</w:t>
      </w:r>
    </w:p>
    <w:p w14:paraId="6577E45B" w14:textId="77777777" w:rsidR="006570DE" w:rsidRDefault="006570DE" w:rsidP="00F5646D">
      <w:pPr>
        <w:ind w:left="360"/>
        <w:jc w:val="both"/>
        <w:rPr>
          <w:rFonts w:ascii="Times New Roman" w:hAnsi="Times New Roman" w:cs="Times New Roman"/>
        </w:rPr>
      </w:pPr>
    </w:p>
    <w:p w14:paraId="46DB9D71" w14:textId="3D32BD33" w:rsidR="006570DE" w:rsidRDefault="00506C00" w:rsidP="00F5646D">
      <w:pPr>
        <w:jc w:val="both"/>
        <w:rPr>
          <w:rFonts w:ascii="Times New Roman" w:hAnsi="Times New Roman" w:cs="Times New Roman"/>
          <w:b/>
          <w:color w:val="C00000"/>
        </w:rPr>
      </w:pPr>
      <w:r>
        <w:rPr>
          <w:rFonts w:ascii="Times New Roman" w:hAnsi="Times New Roman" w:cs="Times New Roman"/>
          <w:b/>
          <w:color w:val="C00000"/>
        </w:rPr>
        <w:t>IAS_mapper.py</w:t>
      </w:r>
    </w:p>
    <w:p w14:paraId="2DB23F3B" w14:textId="0BFF9BF8" w:rsidR="00F5646D" w:rsidRDefault="00DE23C0" w:rsidP="00F5646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tool takes </w:t>
      </w:r>
      <w:r w:rsidR="00CA36E8">
        <w:rPr>
          <w:rFonts w:ascii="Times New Roman" w:hAnsi="Times New Roman" w:cs="Times New Roman"/>
        </w:rPr>
        <w:t>a</w:t>
      </w:r>
      <w:r w:rsidR="00FF0BA2">
        <w:rPr>
          <w:rFonts w:ascii="Times New Roman" w:hAnsi="Times New Roman" w:cs="Times New Roman"/>
        </w:rPr>
        <w:t xml:space="preserve"> </w:t>
      </w:r>
      <w:r w:rsidR="00CA36E8">
        <w:rPr>
          <w:rFonts w:ascii="Times New Roman" w:hAnsi="Times New Roman" w:cs="Times New Roman"/>
        </w:rPr>
        <w:t xml:space="preserve">sample input file as the input (see </w:t>
      </w:r>
      <w:proofErr w:type="spellStart"/>
      <w:r w:rsidR="00CA36E8">
        <w:rPr>
          <w:rFonts w:ascii="Times New Roman" w:hAnsi="Times New Roman" w:cs="Times New Roman"/>
        </w:rPr>
        <w:t>IAS_user_manual</w:t>
      </w:r>
      <w:proofErr w:type="spellEnd"/>
      <w:r w:rsidR="00CA36E8">
        <w:rPr>
          <w:rFonts w:ascii="Times New Roman" w:hAnsi="Times New Roman" w:cs="Times New Roman"/>
        </w:rPr>
        <w:t xml:space="preserve"> for details)</w:t>
      </w:r>
      <w:r w:rsidR="00F74A17">
        <w:rPr>
          <w:rFonts w:ascii="Times New Roman" w:hAnsi="Times New Roman" w:cs="Times New Roman"/>
        </w:rPr>
        <w:t xml:space="preserve">. This file contains the necessary FASTQ filenames and inputs for each ligation-mediated PCR </w:t>
      </w:r>
      <w:r w:rsidR="00A00150">
        <w:rPr>
          <w:rFonts w:ascii="Times New Roman" w:hAnsi="Times New Roman" w:cs="Times New Roman"/>
        </w:rPr>
        <w:t xml:space="preserve">(LM-PCR) </w:t>
      </w:r>
      <w:r w:rsidR="00F74A17">
        <w:rPr>
          <w:rFonts w:ascii="Times New Roman" w:hAnsi="Times New Roman" w:cs="Times New Roman"/>
        </w:rPr>
        <w:t>library to be analyzed.</w:t>
      </w:r>
      <w:r w:rsidR="00EE43FE">
        <w:rPr>
          <w:rFonts w:ascii="Times New Roman" w:hAnsi="Times New Roman" w:cs="Times New Roman"/>
        </w:rPr>
        <w:t xml:space="preserve"> </w:t>
      </w:r>
      <w:r w:rsidR="00F5646D">
        <w:rPr>
          <w:rFonts w:ascii="Times New Roman" w:hAnsi="Times New Roman" w:cs="Times New Roman"/>
        </w:rPr>
        <w:t xml:space="preserve">Consider the following example transposon inserted on chromosome 9 at position </w:t>
      </w:r>
      <w:r w:rsidR="00577F8D" w:rsidRPr="00577F8D">
        <w:rPr>
          <w:rFonts w:ascii="Times New Roman" w:hAnsi="Times New Roman" w:cs="Times New Roman"/>
        </w:rPr>
        <w:t>9</w:t>
      </w:r>
      <w:r w:rsidR="00577F8D">
        <w:rPr>
          <w:rFonts w:ascii="Times New Roman" w:hAnsi="Times New Roman" w:cs="Times New Roman"/>
        </w:rPr>
        <w:t>,</w:t>
      </w:r>
      <w:r w:rsidR="00577F8D" w:rsidRPr="00577F8D">
        <w:rPr>
          <w:rFonts w:ascii="Times New Roman" w:hAnsi="Times New Roman" w:cs="Times New Roman"/>
        </w:rPr>
        <w:t>687</w:t>
      </w:r>
      <w:r w:rsidR="00577F8D">
        <w:rPr>
          <w:rFonts w:ascii="Times New Roman" w:hAnsi="Times New Roman" w:cs="Times New Roman"/>
        </w:rPr>
        <w:t>,</w:t>
      </w:r>
      <w:r w:rsidR="00577F8D" w:rsidRPr="00577F8D">
        <w:rPr>
          <w:rFonts w:ascii="Times New Roman" w:hAnsi="Times New Roman" w:cs="Times New Roman"/>
        </w:rPr>
        <w:t>8</w:t>
      </w:r>
      <w:r w:rsidR="00577F8D">
        <w:rPr>
          <w:rFonts w:ascii="Times New Roman" w:hAnsi="Times New Roman" w:cs="Times New Roman"/>
        </w:rPr>
        <w:t>1</w:t>
      </w:r>
      <w:r w:rsidR="00577F8D" w:rsidRPr="00577F8D">
        <w:rPr>
          <w:rFonts w:ascii="Times New Roman" w:hAnsi="Times New Roman" w:cs="Times New Roman"/>
        </w:rPr>
        <w:t xml:space="preserve">0 </w:t>
      </w:r>
      <w:r w:rsidR="009408E3">
        <w:rPr>
          <w:rFonts w:ascii="Times New Roman" w:hAnsi="Times New Roman" w:cs="Times New Roman"/>
        </w:rPr>
        <w:t>(GRCh38)</w:t>
      </w:r>
      <w:r w:rsidR="00F5646D">
        <w:rPr>
          <w:rFonts w:ascii="Times New Roman" w:hAnsi="Times New Roman" w:cs="Times New Roman"/>
        </w:rPr>
        <w:t>:</w:t>
      </w:r>
    </w:p>
    <w:p w14:paraId="1EFB2C88" w14:textId="24E81528" w:rsidR="00577F8D" w:rsidRDefault="00577F8D" w:rsidP="00F5646D">
      <w:pPr>
        <w:ind w:left="360"/>
        <w:jc w:val="both"/>
        <w:rPr>
          <w:rFonts w:ascii="Times New Roman" w:hAnsi="Times New Roman" w:cs="Times New Roman"/>
        </w:rPr>
      </w:pPr>
    </w:p>
    <w:p w14:paraId="76805866" w14:textId="16BD29AB" w:rsidR="00577F8D" w:rsidRDefault="00577F8D" w:rsidP="00F5646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86A5141" wp14:editId="13A5DCF9">
                <wp:simplePos x="0" y="0"/>
                <wp:positionH relativeFrom="column">
                  <wp:posOffset>989965</wp:posOffset>
                </wp:positionH>
                <wp:positionV relativeFrom="paragraph">
                  <wp:posOffset>93173</wp:posOffset>
                </wp:positionV>
                <wp:extent cx="4501515" cy="200233"/>
                <wp:effectExtent l="0" t="165100" r="0" b="1428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515" cy="200233"/>
                          <a:chOff x="0" y="0"/>
                          <a:chExt cx="4501515" cy="200233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>
                            <a:off x="1556952" y="93362"/>
                            <a:ext cx="1401635" cy="0"/>
                          </a:xfrm>
                          <a:prstGeom prst="straightConnector1">
                            <a:avLst/>
                          </a:prstGeom>
                          <a:ln w="228600">
                            <a:solidFill>
                              <a:schemeClr val="accent2">
                                <a:lumMod val="75000"/>
                              </a:schemeClr>
                            </a:solidFill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748481" y="0"/>
                            <a:ext cx="287001" cy="200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75CC3B" w14:textId="3A2794D9" w:rsidR="00C04E27" w:rsidRPr="00C04E27" w:rsidRDefault="00C04E27" w:rsidP="00C04E2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 w:rsidRPr="00C04E27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  <w:t>IRL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477530" y="0"/>
                            <a:ext cx="287001" cy="200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217F88" w14:textId="6118D77D" w:rsidR="00C04E27" w:rsidRPr="00C04E27" w:rsidRDefault="00C04E27" w:rsidP="00C04E2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 w:rsidRPr="00C04E27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  <w:t>IR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0" y="24713"/>
                            <a:ext cx="1529715" cy="1435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1C8DFD" w14:textId="01DBADC9" w:rsidR="00577F8D" w:rsidRPr="00577F8D" w:rsidRDefault="00577F8D" w:rsidP="00577F8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righ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577F8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5’ …GATAATTATA</w:t>
                              </w:r>
                            </w:p>
                            <w:p w14:paraId="1A03A32E" w14:textId="788AFD19" w:rsidR="00577F8D" w:rsidRPr="00577F8D" w:rsidRDefault="00577F8D" w:rsidP="00577F8D">
                              <w:pPr>
                                <w:ind w:left="360"/>
                                <w:jc w:val="right"/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971800" y="24713"/>
                            <a:ext cx="1529715" cy="1435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29EB" w14:textId="2291AFE3" w:rsidR="00577F8D" w:rsidRPr="00577F8D" w:rsidRDefault="00577F8D" w:rsidP="00577F8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577F8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TACATGTATG… 3’</w:t>
                              </w:r>
                            </w:p>
                            <w:p w14:paraId="5251F802" w14:textId="77777777" w:rsidR="00577F8D" w:rsidRPr="00577F8D" w:rsidRDefault="00577F8D" w:rsidP="00577F8D">
                              <w:pPr>
                                <w:ind w:left="360"/>
                                <w:jc w:val="right"/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6A5141" id="Group 7" o:spid="_x0000_s1026" style="position:absolute;left:0;text-align:left;margin-left:77.95pt;margin-top:7.35pt;width:354.45pt;height:15.75pt;z-index:251667456" coordsize="45015,20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left:15569;top:933;width:1401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" strokecolor="#c45911 [2405]" strokeweight="18pt">
                  <v:stroke startarrow="block" startarrowwidth="narrow" startarrowlength="short" endarrow="block" endarrowwidth="narrow" endarrowlength="short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7484;width:2870;height:20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" filled="f" stroked="f" strokeweight=".5pt">
                  <v:textbox inset="0,0,0,0">
                    <w:txbxContent>
                      <w:p w14:paraId="3E75CC3B" w14:textId="3A2794D9" w:rsidR="00C04E27" w:rsidRPr="00C04E27" w:rsidRDefault="00C04E27" w:rsidP="00C04E27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  <w:r w:rsidRPr="00C04E27"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  <w:t>IRL</w:t>
                        </w:r>
                      </w:p>
                    </w:txbxContent>
                  </v:textbox>
                </v:shape>
                <v:shape id="Text Box 5" o:spid="_x0000_s1029" type="#_x0000_t202" style="position:absolute;left:24775;width:2870;height:20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" filled="f" stroked="f" strokeweight=".5pt">
                  <v:textbox inset="0,0,0,0">
                    <w:txbxContent>
                      <w:p w14:paraId="1B217F88" w14:textId="6118D77D" w:rsidR="00C04E27" w:rsidRPr="00C04E27" w:rsidRDefault="00C04E27" w:rsidP="00C04E27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  <w:r w:rsidRPr="00C04E27"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  <w:t>IR</w:t>
                        </w: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  <w:t>R</w:t>
                        </w:r>
                      </w:p>
                    </w:txbxContent>
                  </v:textbox>
                </v:shape>
                <v:shape id="Text Box 1" o:spid="_x0000_s1030" type="#_x0000_t202" style="position:absolute;top:247;width:15297;height:1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" fillcolor="white [3212]" stroked="f" strokeweight=".5pt">
                  <v:textbox inset="0,0,0,0">
                    <w:txbxContent>
                      <w:p w14:paraId="071C8DFD" w14:textId="01DBADC9" w:rsidR="00577F8D" w:rsidRPr="00577F8D" w:rsidRDefault="00577F8D" w:rsidP="00577F8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right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577F8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5’ …GATAATTATA</w:t>
                        </w:r>
                      </w:p>
                      <w:p w14:paraId="1A03A32E" w14:textId="788AFD19" w:rsidR="00577F8D" w:rsidRPr="00577F8D" w:rsidRDefault="00577F8D" w:rsidP="00577F8D">
                        <w:pPr>
                          <w:ind w:left="360"/>
                          <w:jc w:val="right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</w:p>
                    </w:txbxContent>
                  </v:textbox>
                </v:shape>
                <v:shape id="Text Box 6" o:spid="_x0000_s1031" type="#_x0000_t202" style="position:absolute;left:29718;top:247;width:15297;height:1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" fillcolor="white [3212]" stroked="f" strokeweight=".5pt">
                  <v:textbox inset="0,0,0,0">
                    <w:txbxContent>
                      <w:p w14:paraId="4B2129EB" w14:textId="2291AFE3" w:rsidR="00577F8D" w:rsidRPr="00577F8D" w:rsidRDefault="00577F8D" w:rsidP="00577F8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577F8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TACATGTATG… 3’</w:t>
                        </w:r>
                      </w:p>
                      <w:p w14:paraId="5251F802" w14:textId="77777777" w:rsidR="00577F8D" w:rsidRPr="00577F8D" w:rsidRDefault="00577F8D" w:rsidP="00577F8D">
                        <w:pPr>
                          <w:ind w:left="360"/>
                          <w:jc w:val="right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3EF3771" w14:textId="77777777" w:rsidR="00577F8D" w:rsidRDefault="00577F8D" w:rsidP="00F5646D">
      <w:pPr>
        <w:ind w:left="360"/>
        <w:jc w:val="both"/>
        <w:rPr>
          <w:rFonts w:ascii="Times New Roman" w:hAnsi="Times New Roman" w:cs="Times New Roman"/>
        </w:rPr>
      </w:pPr>
    </w:p>
    <w:p w14:paraId="5999F078" w14:textId="77777777" w:rsidR="00577F8D" w:rsidRDefault="00577F8D" w:rsidP="00F5646D">
      <w:pPr>
        <w:ind w:left="360"/>
        <w:jc w:val="both"/>
        <w:rPr>
          <w:rFonts w:ascii="Times New Roman" w:hAnsi="Times New Roman" w:cs="Times New Roman"/>
        </w:rPr>
      </w:pPr>
    </w:p>
    <w:p w14:paraId="1A29FBB9" w14:textId="680F2381" w:rsidR="00577F8D" w:rsidRDefault="00986102" w:rsidP="00F5646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structure of this insertion event, the sequences present in the LM-PCR libraries </w:t>
      </w:r>
      <w:r w:rsidR="00A00150">
        <w:rPr>
          <w:rFonts w:ascii="Times New Roman" w:hAnsi="Times New Roman" w:cs="Times New Roman"/>
        </w:rPr>
        <w:t>should appear as follows:</w:t>
      </w:r>
    </w:p>
    <w:p w14:paraId="27D1F55B" w14:textId="3CBE6506" w:rsidR="00A00150" w:rsidRDefault="00A00150" w:rsidP="00F5646D">
      <w:pPr>
        <w:ind w:left="360"/>
        <w:jc w:val="both"/>
        <w:rPr>
          <w:rFonts w:ascii="Times New Roman" w:hAnsi="Times New Roman" w:cs="Times New Roman"/>
        </w:rPr>
      </w:pPr>
    </w:p>
    <w:p w14:paraId="6F365D29" w14:textId="35B0009F" w:rsidR="00A00150" w:rsidRPr="001565FF" w:rsidRDefault="00A00150" w:rsidP="00F5646D">
      <w:pPr>
        <w:ind w:left="360"/>
        <w:jc w:val="both"/>
        <w:rPr>
          <w:rFonts w:ascii="Courier" w:hAnsi="Courier" w:cs="Times New Roman"/>
          <w:b/>
          <w:sz w:val="21"/>
        </w:rPr>
      </w:pPr>
      <w:r w:rsidRPr="001565FF">
        <w:rPr>
          <w:rFonts w:ascii="Courier" w:hAnsi="Courier" w:cs="Times New Roman"/>
          <w:b/>
          <w:sz w:val="21"/>
          <w:u w:val="single"/>
        </w:rPr>
        <w:t>IRL forward read</w:t>
      </w:r>
      <w:r w:rsidRPr="001565FF">
        <w:rPr>
          <w:rFonts w:ascii="Courier" w:hAnsi="Courier" w:cs="Times New Roman"/>
          <w:b/>
          <w:sz w:val="21"/>
        </w:rPr>
        <w:t>:</w:t>
      </w:r>
    </w:p>
    <w:p w14:paraId="59709C16" w14:textId="77777777" w:rsidR="001565FF" w:rsidRDefault="001565FF" w:rsidP="00F5646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B2354B1" w14:textId="5E0DFB5A" w:rsidR="001565FF" w:rsidRPr="001565FF" w:rsidRDefault="001565FF" w:rsidP="001565FF">
      <w:pPr>
        <w:ind w:left="360" w:firstLine="360"/>
        <w:jc w:val="both"/>
        <w:rPr>
          <w:rFonts w:ascii="Courier" w:hAnsi="Courier" w:cs="Times New Roman"/>
          <w:color w:val="7030A0"/>
          <w:sz w:val="20"/>
          <w:szCs w:val="20"/>
        </w:rPr>
      </w:pPr>
      <w:r w:rsidRPr="001565FF">
        <w:rPr>
          <w:rFonts w:ascii="Courier" w:hAnsi="Courier" w:cs="Times New Roman"/>
          <w:sz w:val="20"/>
          <w:szCs w:val="20"/>
        </w:rPr>
        <w:t xml:space="preserve">5’ </w:t>
      </w:r>
      <w:r w:rsidRPr="001565FF">
        <w:rPr>
          <w:rFonts w:ascii="Courier" w:hAnsi="Courier" w:cs="Times New Roman"/>
          <w:b/>
          <w:color w:val="C45911" w:themeColor="accent2" w:themeShade="BF"/>
          <w:sz w:val="20"/>
          <w:szCs w:val="20"/>
        </w:rPr>
        <w:t>TGTAAACTTCCGACTTCAACTG</w:t>
      </w:r>
      <w:r w:rsidRPr="001565FF">
        <w:rPr>
          <w:rFonts w:ascii="Courier New" w:eastAsia="Times New Roman" w:hAnsi="Courier New" w:cs="Courier New"/>
          <w:b/>
          <w:color w:val="000000"/>
          <w:sz w:val="20"/>
          <w:szCs w:val="20"/>
        </w:rPr>
        <w:t>TACATGTATGCACACACAGAT</w:t>
      </w:r>
      <w:r w:rsidRPr="001565FF">
        <w:rPr>
          <w:rFonts w:ascii="Courier New" w:eastAsia="Times New Roman" w:hAnsi="Courier New" w:cs="Courier New"/>
          <w:b/>
          <w:color w:val="7030A0"/>
          <w:sz w:val="20"/>
          <w:szCs w:val="20"/>
        </w:rPr>
        <w:t>GTCCCTTAAGCGGAGCCCTA</w:t>
      </w:r>
      <w:r>
        <w:rPr>
          <w:rFonts w:ascii="Courier New" w:eastAsia="Times New Roman" w:hAnsi="Courier New" w:cs="Courier New"/>
          <w:b/>
          <w:color w:val="7030A0"/>
          <w:sz w:val="20"/>
          <w:szCs w:val="20"/>
        </w:rPr>
        <w:t xml:space="preserve"> </w:t>
      </w:r>
      <w:r>
        <w:rPr>
          <w:rFonts w:ascii="Courier" w:hAnsi="Courier" w:cs="Times New Roman"/>
          <w:sz w:val="20"/>
          <w:szCs w:val="20"/>
        </w:rPr>
        <w:t>3</w:t>
      </w:r>
      <w:r w:rsidRPr="001565FF">
        <w:rPr>
          <w:rFonts w:ascii="Courier" w:hAnsi="Courier" w:cs="Times New Roman"/>
          <w:sz w:val="20"/>
          <w:szCs w:val="20"/>
        </w:rPr>
        <w:t>’</w:t>
      </w:r>
    </w:p>
    <w:p w14:paraId="20866912" w14:textId="77777777" w:rsidR="001565FF" w:rsidRDefault="001565FF" w:rsidP="00F5646D">
      <w:pPr>
        <w:ind w:left="360"/>
        <w:jc w:val="both"/>
        <w:rPr>
          <w:rFonts w:ascii="Times New Roman" w:hAnsi="Times New Roman" w:cs="Times New Roman"/>
        </w:rPr>
      </w:pPr>
    </w:p>
    <w:p w14:paraId="3C1494E0" w14:textId="7574E51C" w:rsidR="00A00150" w:rsidRPr="001565FF" w:rsidRDefault="00A00150" w:rsidP="00F5646D">
      <w:pPr>
        <w:ind w:left="360"/>
        <w:jc w:val="both"/>
        <w:rPr>
          <w:rFonts w:ascii="Courier" w:hAnsi="Courier" w:cs="Times New Roman"/>
          <w:b/>
          <w:sz w:val="20"/>
          <w:szCs w:val="20"/>
        </w:rPr>
      </w:pPr>
      <w:r w:rsidRPr="001565FF">
        <w:rPr>
          <w:rFonts w:ascii="Courier" w:hAnsi="Courier" w:cs="Times New Roman"/>
          <w:b/>
          <w:sz w:val="20"/>
          <w:szCs w:val="20"/>
          <w:u w:val="single"/>
        </w:rPr>
        <w:t>IRL reverse read</w:t>
      </w:r>
      <w:r w:rsidRPr="001565FF">
        <w:rPr>
          <w:rFonts w:ascii="Courier" w:hAnsi="Courier" w:cs="Times New Roman"/>
          <w:b/>
          <w:sz w:val="20"/>
          <w:szCs w:val="20"/>
        </w:rPr>
        <w:t>:</w:t>
      </w:r>
    </w:p>
    <w:p w14:paraId="1A76D00C" w14:textId="77777777" w:rsidR="001565FF" w:rsidRDefault="001565FF" w:rsidP="001565FF">
      <w:pPr>
        <w:ind w:left="360"/>
        <w:jc w:val="both"/>
        <w:rPr>
          <w:rFonts w:ascii="Times New Roman" w:hAnsi="Times New Roman" w:cs="Times New Roman"/>
        </w:rPr>
      </w:pPr>
    </w:p>
    <w:p w14:paraId="47325EBF" w14:textId="07D38358" w:rsidR="001565FF" w:rsidRPr="001565FF" w:rsidRDefault="001565FF" w:rsidP="001565FF">
      <w:pPr>
        <w:ind w:left="360" w:firstLine="360"/>
        <w:jc w:val="both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5’ </w:t>
      </w:r>
      <w:r w:rsidRPr="001565FF">
        <w:rPr>
          <w:rFonts w:ascii="Courier" w:hAnsi="Courier" w:cs="Times New Roman"/>
          <w:b/>
          <w:color w:val="7030A0"/>
          <w:sz w:val="20"/>
          <w:szCs w:val="20"/>
        </w:rPr>
        <w:t>TAGGGCTCCGCTTAAGGGAC</w:t>
      </w:r>
      <w:r w:rsidRPr="001565FF">
        <w:rPr>
          <w:rFonts w:ascii="Courier" w:hAnsi="Courier" w:cs="Times New Roman"/>
          <w:b/>
          <w:sz w:val="20"/>
          <w:szCs w:val="20"/>
        </w:rPr>
        <w:t>ATCTGTGTGTGCATACATGTA</w:t>
      </w:r>
      <w:r w:rsidRPr="001565FF">
        <w:rPr>
          <w:rFonts w:ascii="Courier" w:hAnsi="Courier" w:cs="Times New Roman"/>
          <w:b/>
          <w:color w:val="C45911" w:themeColor="accent2" w:themeShade="BF"/>
          <w:sz w:val="20"/>
          <w:szCs w:val="20"/>
        </w:rPr>
        <w:t>CAGTTGAAGTCGGAAGTTTACA</w:t>
      </w:r>
      <w:r>
        <w:rPr>
          <w:rFonts w:ascii="Courier" w:hAnsi="Courier" w:cs="Times New Roman"/>
          <w:sz w:val="20"/>
          <w:szCs w:val="20"/>
        </w:rPr>
        <w:t xml:space="preserve"> 3’</w:t>
      </w:r>
    </w:p>
    <w:p w14:paraId="5852081C" w14:textId="77777777" w:rsidR="001565FF" w:rsidRDefault="001565FF" w:rsidP="00F730DB">
      <w:pPr>
        <w:jc w:val="both"/>
        <w:rPr>
          <w:rFonts w:ascii="Times New Roman" w:hAnsi="Times New Roman" w:cs="Times New Roman"/>
        </w:rPr>
      </w:pPr>
    </w:p>
    <w:p w14:paraId="28229B5B" w14:textId="54B5AA45" w:rsidR="00A00150" w:rsidRPr="004600F9" w:rsidRDefault="00A00150" w:rsidP="001565FF">
      <w:pPr>
        <w:ind w:left="360"/>
        <w:jc w:val="both"/>
        <w:rPr>
          <w:rFonts w:ascii="Courier" w:hAnsi="Courier" w:cs="Times New Roman"/>
          <w:b/>
          <w:sz w:val="20"/>
        </w:rPr>
      </w:pPr>
      <w:r w:rsidRPr="004600F9">
        <w:rPr>
          <w:rFonts w:ascii="Courier" w:hAnsi="Courier" w:cs="Times New Roman"/>
          <w:b/>
          <w:sz w:val="20"/>
          <w:u w:val="single"/>
        </w:rPr>
        <w:t>IRR forward read</w:t>
      </w:r>
      <w:r w:rsidRPr="004600F9">
        <w:rPr>
          <w:rFonts w:ascii="Courier" w:hAnsi="Courier" w:cs="Times New Roman"/>
          <w:b/>
          <w:sz w:val="20"/>
        </w:rPr>
        <w:t>:</w:t>
      </w:r>
    </w:p>
    <w:p w14:paraId="5AF40FE3" w14:textId="77777777" w:rsidR="001565FF" w:rsidRDefault="001565FF" w:rsidP="00F5646D">
      <w:pPr>
        <w:ind w:left="360"/>
        <w:jc w:val="both"/>
        <w:rPr>
          <w:rFonts w:ascii="Times New Roman" w:hAnsi="Times New Roman" w:cs="Times New Roman"/>
        </w:rPr>
      </w:pPr>
    </w:p>
    <w:p w14:paraId="38D479DF" w14:textId="5802B7E0" w:rsidR="001565FF" w:rsidRPr="00132EFB" w:rsidRDefault="00F730DB" w:rsidP="00F5646D">
      <w:pPr>
        <w:ind w:left="360"/>
        <w:jc w:val="both"/>
        <w:rPr>
          <w:rFonts w:ascii="Courier" w:hAnsi="Courier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ab/>
      </w:r>
      <w:r w:rsidRPr="00F730DB">
        <w:rPr>
          <w:rFonts w:ascii="Courier" w:hAnsi="Courier" w:cs="Times New Roman"/>
          <w:sz w:val="20"/>
          <w:szCs w:val="20"/>
        </w:rPr>
        <w:t xml:space="preserve">5’ </w:t>
      </w:r>
      <w:r w:rsidR="00132EFB" w:rsidRPr="001565FF">
        <w:rPr>
          <w:rFonts w:ascii="Courier" w:hAnsi="Courier" w:cs="Times New Roman"/>
          <w:b/>
          <w:color w:val="C45911" w:themeColor="accent2" w:themeShade="BF"/>
          <w:sz w:val="20"/>
          <w:szCs w:val="20"/>
        </w:rPr>
        <w:t>TGTAAACTTCCGACTTCAACTG</w:t>
      </w:r>
      <w:r w:rsidR="00132EFB" w:rsidRPr="00132EFB">
        <w:rPr>
          <w:rFonts w:ascii="Courier" w:hAnsi="Courier" w:cs="Times New Roman"/>
          <w:b/>
          <w:sz w:val="20"/>
          <w:szCs w:val="20"/>
        </w:rPr>
        <w:t>CTACTTATGAGATAATTATAT</w:t>
      </w:r>
      <w:r w:rsidR="00132EFB" w:rsidRPr="001565FF">
        <w:rPr>
          <w:rFonts w:ascii="Courier New" w:eastAsia="Times New Roman" w:hAnsi="Courier New" w:cs="Courier New"/>
          <w:b/>
          <w:color w:val="000000"/>
          <w:sz w:val="20"/>
          <w:szCs w:val="20"/>
        </w:rPr>
        <w:t>T</w:t>
      </w:r>
      <w:r w:rsidR="00132EFB" w:rsidRPr="001565FF">
        <w:rPr>
          <w:rFonts w:ascii="Courier New" w:eastAsia="Times New Roman" w:hAnsi="Courier New" w:cs="Courier New"/>
          <w:b/>
          <w:color w:val="7030A0"/>
          <w:sz w:val="20"/>
          <w:szCs w:val="20"/>
        </w:rPr>
        <w:t>GTCCCTTAAGCGGAGCCCTA</w:t>
      </w:r>
    </w:p>
    <w:p w14:paraId="435FD0FE" w14:textId="77777777" w:rsidR="00F730DB" w:rsidRPr="00F730DB" w:rsidRDefault="00F730DB" w:rsidP="00F5646D">
      <w:pPr>
        <w:ind w:left="360"/>
        <w:jc w:val="both"/>
        <w:rPr>
          <w:rFonts w:ascii="Courier" w:hAnsi="Courier" w:cs="Times New Roman"/>
          <w:sz w:val="20"/>
          <w:szCs w:val="20"/>
        </w:rPr>
      </w:pPr>
    </w:p>
    <w:p w14:paraId="049E17B6" w14:textId="60124B02" w:rsidR="00A00150" w:rsidRPr="004600F9" w:rsidRDefault="00A00150" w:rsidP="00F5646D">
      <w:pPr>
        <w:ind w:left="360"/>
        <w:jc w:val="both"/>
        <w:rPr>
          <w:rFonts w:ascii="Courier" w:hAnsi="Courier" w:cs="Times New Roman"/>
          <w:b/>
          <w:sz w:val="20"/>
          <w:szCs w:val="20"/>
        </w:rPr>
      </w:pPr>
      <w:r w:rsidRPr="004600F9">
        <w:rPr>
          <w:rFonts w:ascii="Courier" w:hAnsi="Courier" w:cs="Times New Roman"/>
          <w:b/>
          <w:sz w:val="20"/>
          <w:szCs w:val="20"/>
          <w:u w:val="single"/>
        </w:rPr>
        <w:t>IRR reverse read</w:t>
      </w:r>
      <w:r w:rsidRPr="004600F9">
        <w:rPr>
          <w:rFonts w:ascii="Courier" w:hAnsi="Courier" w:cs="Times New Roman"/>
          <w:b/>
          <w:sz w:val="20"/>
          <w:szCs w:val="20"/>
        </w:rPr>
        <w:t>:</w:t>
      </w:r>
    </w:p>
    <w:p w14:paraId="28F99BC1" w14:textId="7B54E9CF" w:rsidR="00A00150" w:rsidRDefault="00A00150" w:rsidP="00F5646D">
      <w:pPr>
        <w:ind w:left="360"/>
        <w:jc w:val="both"/>
        <w:rPr>
          <w:rFonts w:ascii="Times New Roman" w:hAnsi="Times New Roman" w:cs="Times New Roman"/>
        </w:rPr>
      </w:pPr>
    </w:p>
    <w:p w14:paraId="392EFB1D" w14:textId="4A7D7185" w:rsidR="00132EFB" w:rsidRPr="001565FF" w:rsidRDefault="00132EFB" w:rsidP="00132EFB">
      <w:pPr>
        <w:ind w:left="360" w:firstLine="360"/>
        <w:jc w:val="both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 xml:space="preserve">5’ </w:t>
      </w:r>
      <w:r w:rsidRPr="001565FF">
        <w:rPr>
          <w:rFonts w:ascii="Courier" w:hAnsi="Courier" w:cs="Times New Roman"/>
          <w:b/>
          <w:color w:val="7030A0"/>
          <w:sz w:val="20"/>
          <w:szCs w:val="20"/>
        </w:rPr>
        <w:t>TAGGGCTCCGCTTAAGGGAC</w:t>
      </w:r>
      <w:r w:rsidR="00507E71" w:rsidRPr="00507E71">
        <w:rPr>
          <w:rFonts w:ascii="Courier" w:hAnsi="Courier" w:cs="Times New Roman"/>
          <w:b/>
          <w:sz w:val="20"/>
          <w:szCs w:val="20"/>
        </w:rPr>
        <w:t>A</w:t>
      </w:r>
      <w:r w:rsidR="001C1129">
        <w:rPr>
          <w:rFonts w:ascii="Courier" w:hAnsi="Courier" w:cs="Times New Roman"/>
          <w:b/>
          <w:sz w:val="20"/>
          <w:szCs w:val="20"/>
        </w:rPr>
        <w:t>A</w:t>
      </w:r>
      <w:r w:rsidR="00507E71" w:rsidRPr="00507E71">
        <w:rPr>
          <w:rFonts w:ascii="Courier" w:hAnsi="Courier" w:cs="Times New Roman"/>
          <w:b/>
          <w:sz w:val="20"/>
          <w:szCs w:val="20"/>
        </w:rPr>
        <w:t>TATAATTATCTCATAAGTAG</w:t>
      </w:r>
      <w:r w:rsidRPr="001565FF">
        <w:rPr>
          <w:rFonts w:ascii="Courier" w:hAnsi="Courier" w:cs="Times New Roman"/>
          <w:b/>
          <w:color w:val="C45911" w:themeColor="accent2" w:themeShade="BF"/>
          <w:sz w:val="20"/>
          <w:szCs w:val="20"/>
        </w:rPr>
        <w:t>CAGTTGAAGTCGGAAGTTTACA</w:t>
      </w:r>
      <w:r>
        <w:rPr>
          <w:rFonts w:ascii="Courier" w:hAnsi="Courier" w:cs="Times New Roman"/>
          <w:sz w:val="20"/>
          <w:szCs w:val="20"/>
        </w:rPr>
        <w:t xml:space="preserve"> 3’</w:t>
      </w:r>
    </w:p>
    <w:p w14:paraId="3F43C90C" w14:textId="2CEE3CAB" w:rsidR="00CA36E8" w:rsidRDefault="00CA36E8" w:rsidP="00F5646D">
      <w:pPr>
        <w:jc w:val="both"/>
        <w:rPr>
          <w:rFonts w:ascii="Times New Roman" w:hAnsi="Times New Roman" w:cs="Times New Roman"/>
        </w:rPr>
      </w:pPr>
    </w:p>
    <w:p w14:paraId="004AA517" w14:textId="5C1BB1F5" w:rsidR="00F5646D" w:rsidRPr="001C1129" w:rsidRDefault="001C1129" w:rsidP="00F5646D">
      <w:pPr>
        <w:ind w:left="360"/>
        <w:jc w:val="both"/>
        <w:rPr>
          <w:rFonts w:ascii="Courier" w:hAnsi="Courier" w:cs="Times New Roman"/>
          <w:b/>
          <w:color w:val="C45911" w:themeColor="accent2" w:themeShade="BF"/>
          <w:sz w:val="20"/>
          <w:szCs w:val="20"/>
        </w:rPr>
      </w:pPr>
      <w:r w:rsidRPr="001C1129">
        <w:rPr>
          <w:rFonts w:ascii="Courier" w:hAnsi="Courier" w:cs="Times New Roman"/>
          <w:b/>
          <w:color w:val="C45911" w:themeColor="accent2" w:themeShade="BF"/>
          <w:sz w:val="20"/>
          <w:szCs w:val="20"/>
        </w:rPr>
        <w:t>transposon tag</w:t>
      </w:r>
    </w:p>
    <w:p w14:paraId="6BF4906F" w14:textId="2D86F6F2" w:rsidR="001C1129" w:rsidRPr="001C1129" w:rsidRDefault="001C1129" w:rsidP="00F5646D">
      <w:pPr>
        <w:ind w:left="360"/>
        <w:jc w:val="both"/>
        <w:rPr>
          <w:rFonts w:ascii="Courier" w:hAnsi="Courier" w:cs="Times New Roman"/>
          <w:b/>
          <w:color w:val="7030A0"/>
          <w:sz w:val="20"/>
          <w:szCs w:val="20"/>
        </w:rPr>
      </w:pPr>
      <w:r w:rsidRPr="001C1129">
        <w:rPr>
          <w:rFonts w:ascii="Courier" w:hAnsi="Courier" w:cs="Times New Roman"/>
          <w:b/>
          <w:color w:val="7030A0"/>
          <w:sz w:val="20"/>
          <w:szCs w:val="20"/>
        </w:rPr>
        <w:t>adaptor tag</w:t>
      </w:r>
    </w:p>
    <w:p w14:paraId="6D95CE58" w14:textId="71F9515D" w:rsidR="001C1129" w:rsidRDefault="001C1129" w:rsidP="00F5646D">
      <w:pPr>
        <w:ind w:left="360"/>
        <w:jc w:val="both"/>
        <w:rPr>
          <w:rFonts w:ascii="Courier" w:hAnsi="Courier" w:cs="Times New Roman"/>
          <w:b/>
          <w:sz w:val="20"/>
          <w:szCs w:val="20"/>
        </w:rPr>
      </w:pPr>
      <w:r w:rsidRPr="001C1129">
        <w:rPr>
          <w:rFonts w:ascii="Courier" w:hAnsi="Courier" w:cs="Times New Roman"/>
          <w:b/>
          <w:sz w:val="20"/>
          <w:szCs w:val="20"/>
        </w:rPr>
        <w:t>genomic sequence</w:t>
      </w:r>
    </w:p>
    <w:p w14:paraId="04B33F8B" w14:textId="6B997A8E" w:rsidR="00C2239D" w:rsidRDefault="00C2239D" w:rsidP="00F5646D">
      <w:pPr>
        <w:ind w:left="360"/>
        <w:jc w:val="both"/>
        <w:rPr>
          <w:rFonts w:ascii="Courier" w:hAnsi="Courier" w:cs="Times New Roman"/>
          <w:b/>
          <w:sz w:val="20"/>
          <w:szCs w:val="20"/>
        </w:rPr>
      </w:pPr>
    </w:p>
    <w:p w14:paraId="2789B103" w14:textId="77777777" w:rsidR="00C921FB" w:rsidRDefault="00C921FB" w:rsidP="00F5646D">
      <w:pPr>
        <w:ind w:left="360"/>
        <w:jc w:val="both"/>
        <w:rPr>
          <w:rFonts w:ascii="Times New Roman" w:hAnsi="Times New Roman" w:cs="Times New Roman"/>
          <w:u w:val="single"/>
        </w:rPr>
      </w:pPr>
    </w:p>
    <w:p w14:paraId="29A8D60D" w14:textId="77777777" w:rsidR="00C921FB" w:rsidRDefault="00C921FB" w:rsidP="00F5646D">
      <w:pPr>
        <w:ind w:left="360"/>
        <w:jc w:val="both"/>
        <w:rPr>
          <w:rFonts w:ascii="Times New Roman" w:hAnsi="Times New Roman" w:cs="Times New Roman"/>
          <w:u w:val="single"/>
        </w:rPr>
      </w:pPr>
    </w:p>
    <w:p w14:paraId="2200458C" w14:textId="77777777" w:rsidR="00C921FB" w:rsidRDefault="00C921FB" w:rsidP="00F5646D">
      <w:pPr>
        <w:ind w:left="360"/>
        <w:jc w:val="both"/>
        <w:rPr>
          <w:rFonts w:ascii="Times New Roman" w:hAnsi="Times New Roman" w:cs="Times New Roman"/>
          <w:u w:val="single"/>
        </w:rPr>
      </w:pPr>
    </w:p>
    <w:p w14:paraId="57034FE5" w14:textId="77777777" w:rsidR="00C921FB" w:rsidRDefault="00C921FB" w:rsidP="00F5646D">
      <w:pPr>
        <w:ind w:left="360"/>
        <w:jc w:val="both"/>
        <w:rPr>
          <w:rFonts w:ascii="Times New Roman" w:hAnsi="Times New Roman" w:cs="Times New Roman"/>
          <w:u w:val="single"/>
        </w:rPr>
      </w:pPr>
    </w:p>
    <w:p w14:paraId="316194DA" w14:textId="77777777" w:rsidR="00C921FB" w:rsidRDefault="00C921FB" w:rsidP="00F5646D">
      <w:pPr>
        <w:ind w:left="360"/>
        <w:jc w:val="both"/>
        <w:rPr>
          <w:rFonts w:ascii="Times New Roman" w:hAnsi="Times New Roman" w:cs="Times New Roman"/>
          <w:u w:val="single"/>
        </w:rPr>
      </w:pPr>
    </w:p>
    <w:p w14:paraId="77E073D1" w14:textId="77777777" w:rsidR="00C921FB" w:rsidRDefault="00C921FB" w:rsidP="00F5646D">
      <w:pPr>
        <w:ind w:left="360"/>
        <w:jc w:val="both"/>
        <w:rPr>
          <w:rFonts w:ascii="Times New Roman" w:hAnsi="Times New Roman" w:cs="Times New Roman"/>
          <w:u w:val="single"/>
        </w:rPr>
      </w:pPr>
    </w:p>
    <w:p w14:paraId="30AF4AC5" w14:textId="77777777" w:rsidR="00C921FB" w:rsidRDefault="00C921FB" w:rsidP="00F5646D">
      <w:pPr>
        <w:ind w:left="360"/>
        <w:jc w:val="both"/>
        <w:rPr>
          <w:rFonts w:ascii="Times New Roman" w:hAnsi="Times New Roman" w:cs="Times New Roman"/>
          <w:u w:val="single"/>
        </w:rPr>
      </w:pPr>
    </w:p>
    <w:p w14:paraId="79FF893A" w14:textId="78C82138" w:rsidR="00C2239D" w:rsidRDefault="0025657F" w:rsidP="00F5646D">
      <w:pPr>
        <w:ind w:left="360"/>
        <w:jc w:val="both"/>
        <w:rPr>
          <w:rFonts w:ascii="Times New Roman" w:hAnsi="Times New Roman" w:cs="Times New Roman"/>
        </w:rPr>
      </w:pPr>
      <w:r w:rsidRPr="0025657F">
        <w:rPr>
          <w:rFonts w:ascii="Times New Roman" w:hAnsi="Times New Roman" w:cs="Times New Roman"/>
          <w:u w:val="single"/>
        </w:rPr>
        <w:lastRenderedPageBreak/>
        <w:t>These sequences will be processed in the following steps</w:t>
      </w:r>
      <w:r>
        <w:rPr>
          <w:rFonts w:ascii="Times New Roman" w:hAnsi="Times New Roman" w:cs="Times New Roman"/>
        </w:rPr>
        <w:t>:</w:t>
      </w:r>
    </w:p>
    <w:p w14:paraId="2C341DDD" w14:textId="7D5E152D" w:rsidR="0025657F" w:rsidRDefault="0025657F" w:rsidP="002565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Removal of all transposon tags via </w:t>
      </w:r>
      <w:proofErr w:type="spellStart"/>
      <w:r>
        <w:rPr>
          <w:rFonts w:ascii="Times New Roman" w:hAnsi="Times New Roman" w:cs="Times New Roman"/>
        </w:rPr>
        <w:t>cutadapt</w:t>
      </w:r>
      <w:proofErr w:type="spellEnd"/>
    </w:p>
    <w:p w14:paraId="7364E519" w14:textId="6D2F696C" w:rsidR="0025657F" w:rsidRDefault="0025657F" w:rsidP="002565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Removal of all adaptor tags via </w:t>
      </w:r>
      <w:proofErr w:type="spellStart"/>
      <w:r>
        <w:rPr>
          <w:rFonts w:ascii="Times New Roman" w:hAnsi="Times New Roman" w:cs="Times New Roman"/>
        </w:rPr>
        <w:t>cutadapt</w:t>
      </w:r>
      <w:proofErr w:type="spellEnd"/>
    </w:p>
    <w:p w14:paraId="4EEC3617" w14:textId="35E6AFEB" w:rsidR="0025657F" w:rsidRDefault="0025657F" w:rsidP="002565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Map genomic sequence to reference genome via HISAT2 </w:t>
      </w:r>
      <w:r w:rsidRPr="0025657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creates SAM file format</w:t>
      </w:r>
    </w:p>
    <w:p w14:paraId="270D4C63" w14:textId="77777777" w:rsidR="0025657F" w:rsidRDefault="0025657F" w:rsidP="002565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Removal of all transposon tags via </w:t>
      </w:r>
      <w:proofErr w:type="spellStart"/>
      <w:r>
        <w:rPr>
          <w:rFonts w:ascii="Times New Roman" w:hAnsi="Times New Roman" w:cs="Times New Roman"/>
        </w:rPr>
        <w:t>cutadapt</w:t>
      </w:r>
      <w:proofErr w:type="spellEnd"/>
    </w:p>
    <w:p w14:paraId="44384AE8" w14:textId="77777777" w:rsidR="0025657F" w:rsidRDefault="0025657F" w:rsidP="002565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Removal of all adaptor tags via </w:t>
      </w:r>
      <w:proofErr w:type="spellStart"/>
      <w:r>
        <w:rPr>
          <w:rFonts w:ascii="Times New Roman" w:hAnsi="Times New Roman" w:cs="Times New Roman"/>
        </w:rPr>
        <w:t>cutadapt</w:t>
      </w:r>
      <w:proofErr w:type="spellEnd"/>
    </w:p>
    <w:p w14:paraId="3E9E710F" w14:textId="77777777" w:rsidR="0025657F" w:rsidRDefault="0025657F" w:rsidP="002565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Map genomic sequence to reference genome via HISAT2 </w:t>
      </w:r>
      <w:r w:rsidRPr="0025657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creates SAM file format</w:t>
      </w:r>
    </w:p>
    <w:p w14:paraId="300D3553" w14:textId="63FF9C05" w:rsidR="0025657F" w:rsidRDefault="0025657F" w:rsidP="008E21B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Parse IRL and IRR SAM files to create UNIQ file for the sample</w:t>
      </w:r>
    </w:p>
    <w:p w14:paraId="60116426" w14:textId="5460D484" w:rsidR="008E21B5" w:rsidRDefault="008E21B5" w:rsidP="008E21B5">
      <w:pPr>
        <w:jc w:val="both"/>
        <w:rPr>
          <w:rFonts w:ascii="Times New Roman" w:hAnsi="Times New Roman" w:cs="Times New Roman"/>
        </w:rPr>
      </w:pPr>
    </w:p>
    <w:p w14:paraId="21C5A7E4" w14:textId="796D0BB4" w:rsidR="008E21B5" w:rsidRPr="008E21B5" w:rsidRDefault="008E21B5" w:rsidP="008E21B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steps are repeated until all samples contained in the sample input file are processed.</w:t>
      </w:r>
    </w:p>
    <w:p w14:paraId="495865E1" w14:textId="52696672" w:rsidR="006570DE" w:rsidRDefault="006570DE" w:rsidP="00F5646D">
      <w:pPr>
        <w:jc w:val="both"/>
        <w:rPr>
          <w:rFonts w:ascii="Times New Roman" w:hAnsi="Times New Roman" w:cs="Times New Roman"/>
          <w:b/>
          <w:color w:val="C00000"/>
        </w:rPr>
      </w:pPr>
    </w:p>
    <w:p w14:paraId="04F3DE3A" w14:textId="37A31BA1" w:rsidR="000805AD" w:rsidRDefault="000805AD" w:rsidP="00F5646D">
      <w:pPr>
        <w:jc w:val="both"/>
        <w:rPr>
          <w:rFonts w:ascii="Times New Roman" w:hAnsi="Times New Roman" w:cs="Times New Roman"/>
          <w:b/>
          <w:color w:val="C00000"/>
        </w:rPr>
      </w:pPr>
      <w:r>
        <w:rPr>
          <w:rFonts w:ascii="Times New Roman" w:hAnsi="Times New Roman" w:cs="Times New Roman"/>
          <w:b/>
          <w:color w:val="C00000"/>
        </w:rPr>
        <w:t>UNIQtoGFF3.py</w:t>
      </w:r>
    </w:p>
    <w:p w14:paraId="3BB7603D" w14:textId="2EAB9450" w:rsidR="000805AD" w:rsidRDefault="00BB7CCF" w:rsidP="00F5646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tool </w:t>
      </w:r>
      <w:r w:rsidR="00D565F0">
        <w:rPr>
          <w:rFonts w:ascii="Times New Roman" w:hAnsi="Times New Roman" w:cs="Times New Roman"/>
        </w:rPr>
        <w:t xml:space="preserve">filters data from UNIQ files to remove low abundance and low confidence insertion sites prior to analysis using the gCIS2 tool. </w:t>
      </w:r>
      <w:r w:rsidR="00B85AEB">
        <w:rPr>
          <w:rFonts w:ascii="Times New Roman" w:hAnsi="Times New Roman" w:cs="Times New Roman"/>
        </w:rPr>
        <w:t>This tool is based on prior work showing that the read depth for specific transposon insertion events is a semi-quantitative measure of the cell number that carries the transposon insertion event</w:t>
      </w:r>
      <w:r w:rsidR="001D148D">
        <w:rPr>
          <w:rFonts w:ascii="Times New Roman" w:hAnsi="Times New Roman" w:cs="Times New Roman"/>
        </w:rPr>
        <w:t xml:space="preserve"> </w:t>
      </w:r>
      <w:r w:rsidR="00803A92">
        <w:rPr>
          <w:rFonts w:ascii="Times New Roman" w:hAnsi="Times New Roman" w:cs="Times New Roman"/>
        </w:rPr>
        <w:fldChar w:fldCharType="begin"/>
      </w:r>
      <w:r w:rsidR="00803A92">
        <w:rPr>
          <w:rFonts w:ascii="Times New Roman" w:hAnsi="Times New Roman" w:cs="Times New Roman"/>
        </w:rPr>
        <w:instrText xml:space="preserve"> ADDIN EN.CITE &lt;EndNote&gt;&lt;Cite&gt;&lt;Author&gt;Brett&lt;/Author&gt;&lt;Year&gt;2011&lt;/Year&gt;&lt;RecNum&gt;15&lt;/RecNum&gt;&lt;DisplayText&gt;(Brett et al. 2011)&lt;/DisplayText&gt;&lt;record&gt;&lt;rec-number&gt;15&lt;/rec-number&gt;&lt;foreign-keys&gt;&lt;key app="EN" db-id="0dztr259t2rff0e52sexvvaza5dvxe95p2fs" timestamp="1549853017"&gt;15&lt;/key&gt;&lt;/foreign-keys&gt;&lt;ref-type name="Journal Article"&gt;17&lt;/ref-type&gt;&lt;contributors&gt;&lt;authors&gt;&lt;author&gt;Brett, B. T.&lt;/author&gt;&lt;author&gt;Berquam-Vrieze, K. E.&lt;/author&gt;&lt;author&gt;Nannapaneni, K.&lt;/author&gt;&lt;author&gt;Huang, J.&lt;/author&gt;&lt;author&gt;Scheetz, T. E.&lt;/author&gt;&lt;author&gt;Dupuy, A. J.&lt;/author&gt;&lt;/authors&gt;&lt;/contributors&gt;&lt;auth-address&gt;Center for Bioinformatics and Computational Biology, Roy J. and Lucille A. Carver College of Medicine, University of Iowa, Iowa City, Iowa, United States of America.&lt;/auth-address&gt;&lt;titles&gt;&lt;title&gt;Novel molecular and computational methods improve the accuracy of insertion site analysis in Sleeping Beauty-induced tumors&lt;/title&gt;&lt;secondary-title&gt;PLoS One&lt;/secondary-title&gt;&lt;/titles&gt;&lt;periodical&gt;&lt;full-title&gt;PLoS One&lt;/full-title&gt;&lt;/periodical&gt;&lt;pages&gt;e24668&lt;/pages&gt;&lt;volume&gt;6&lt;/volume&gt;&lt;number&gt;9&lt;/number&gt;&lt;edition&gt;2011/09/21&lt;/edition&gt;&lt;keywords&gt;&lt;keyword&gt;Animals&lt;/keyword&gt;&lt;keyword&gt;Computational Biology/*methods&lt;/keyword&gt;&lt;keyword&gt;DNA Transposable Elements/genetics&lt;/keyword&gt;&lt;keyword&gt;Humans&lt;/keyword&gt;&lt;keyword&gt;Mice&lt;/keyword&gt;&lt;keyword&gt;Neoplasms/genetics/*metabolism&lt;/keyword&gt;&lt;/keywords&gt;&lt;dates&gt;&lt;year&gt;2011&lt;/year&gt;&lt;/dates&gt;&lt;isbn&gt;1932-6203 (Electronic)&amp;#xD;1932-6203 (Linking)&lt;/isbn&gt;&lt;accession-num&gt;21931803&lt;/accession-num&gt;&lt;urls&gt;&lt;related-urls&gt;&lt;url&gt;https://www.ncbi.nlm.nih.gov/pubmed/21931803&lt;/url&gt;&lt;/related-urls&gt;&lt;/urls&gt;&lt;custom2&gt;PMC3172244&lt;/custom2&gt;&lt;electronic-resource-num&gt;10.1371/journal.pone.0024668&lt;/electronic-resource-num&gt;&lt;/record&gt;&lt;/Cite&gt;&lt;/EndNote&gt;</w:instrText>
      </w:r>
      <w:r w:rsidR="00803A92">
        <w:rPr>
          <w:rFonts w:ascii="Times New Roman" w:hAnsi="Times New Roman" w:cs="Times New Roman"/>
        </w:rPr>
        <w:fldChar w:fldCharType="separate"/>
      </w:r>
      <w:r w:rsidR="00803A92">
        <w:rPr>
          <w:rFonts w:ascii="Times New Roman" w:hAnsi="Times New Roman" w:cs="Times New Roman"/>
          <w:noProof/>
        </w:rPr>
        <w:t>(Brett et al. 2011)</w:t>
      </w:r>
      <w:r w:rsidR="00803A92">
        <w:rPr>
          <w:rFonts w:ascii="Times New Roman" w:hAnsi="Times New Roman" w:cs="Times New Roman"/>
        </w:rPr>
        <w:fldChar w:fldCharType="end"/>
      </w:r>
      <w:r w:rsidR="00B85AEB">
        <w:rPr>
          <w:rFonts w:ascii="Times New Roman" w:hAnsi="Times New Roman" w:cs="Times New Roman"/>
        </w:rPr>
        <w:t xml:space="preserve">. </w:t>
      </w:r>
      <w:r w:rsidR="005731C6">
        <w:rPr>
          <w:rFonts w:ascii="Times New Roman" w:hAnsi="Times New Roman" w:cs="Times New Roman"/>
        </w:rPr>
        <w:t>In this sense, the UNIQtoGFF3 tool allows the user to restrict the downstream search for candidate genes to those transposon insertion events that are present in a high number of cells (</w:t>
      </w:r>
      <w:r w:rsidR="005731C6" w:rsidRPr="005731C6">
        <w:rPr>
          <w:rFonts w:ascii="Times New Roman" w:hAnsi="Times New Roman" w:cs="Times New Roman"/>
          <w:i/>
        </w:rPr>
        <w:t>i.e.</w:t>
      </w:r>
      <w:r w:rsidR="005731C6">
        <w:rPr>
          <w:rFonts w:ascii="Times New Roman" w:hAnsi="Times New Roman" w:cs="Times New Roman"/>
        </w:rPr>
        <w:t xml:space="preserve"> clonally expanded cell populations).</w:t>
      </w:r>
    </w:p>
    <w:p w14:paraId="4AC72981" w14:textId="5590132D" w:rsidR="000C1608" w:rsidRDefault="000C1608" w:rsidP="00F5646D">
      <w:pPr>
        <w:ind w:left="360"/>
        <w:jc w:val="both"/>
        <w:rPr>
          <w:rFonts w:ascii="Times New Roman" w:hAnsi="Times New Roman" w:cs="Times New Roman"/>
        </w:rPr>
      </w:pPr>
    </w:p>
    <w:p w14:paraId="133C92F9" w14:textId="13237AC6" w:rsidR="000C1608" w:rsidRDefault="000C1608" w:rsidP="00F5646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tool requires three parameters as input:</w:t>
      </w:r>
    </w:p>
    <w:p w14:paraId="5329B227" w14:textId="0930E982" w:rsidR="000C1608" w:rsidRDefault="000C1608" w:rsidP="000C160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normalized abundance</w:t>
      </w:r>
      <w:r w:rsidR="00B952C5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required to retain an insertion where reads were recovered </w:t>
      </w:r>
      <w:r w:rsidR="00092AB4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both the IRL and IRR ends of the transposon</w:t>
      </w:r>
      <w:r w:rsidR="00970324">
        <w:rPr>
          <w:rFonts w:ascii="Times New Roman" w:hAnsi="Times New Roman" w:cs="Times New Roman"/>
        </w:rPr>
        <w:t xml:space="preserve"> (suggested setting = 1)</w:t>
      </w:r>
    </w:p>
    <w:p w14:paraId="1A5F0BAA" w14:textId="347AE636" w:rsidR="000C1608" w:rsidRDefault="000C1608" w:rsidP="000C160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normalized abundance</w:t>
      </w:r>
      <w:r w:rsidR="00B952C5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required to retain an insertion where reads were recovered </w:t>
      </w:r>
      <w:r w:rsidR="00092AB4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only one end of the transposon</w:t>
      </w:r>
      <w:r w:rsidR="00970324">
        <w:rPr>
          <w:rFonts w:ascii="Times New Roman" w:hAnsi="Times New Roman" w:cs="Times New Roman"/>
        </w:rPr>
        <w:t xml:space="preserve"> (suggested setting = 5)</w:t>
      </w:r>
    </w:p>
    <w:p w14:paraId="5E39E51C" w14:textId="69DE721E" w:rsidR="008230D8" w:rsidRDefault="008230D8" w:rsidP="008230D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minimum read number required to retain any insertion site</w:t>
      </w:r>
      <w:r w:rsidR="00970324">
        <w:rPr>
          <w:rFonts w:ascii="Times New Roman" w:hAnsi="Times New Roman" w:cs="Times New Roman"/>
        </w:rPr>
        <w:t xml:space="preserve"> (suggested setting = 10)</w:t>
      </w:r>
    </w:p>
    <w:p w14:paraId="15CCD433" w14:textId="6DFE8AFC" w:rsidR="00B952C5" w:rsidRDefault="00B952C5" w:rsidP="00B952C5">
      <w:pPr>
        <w:ind w:left="360"/>
        <w:jc w:val="both"/>
        <w:rPr>
          <w:rFonts w:ascii="Times New Roman" w:hAnsi="Times New Roman" w:cs="Times New Roman"/>
        </w:rPr>
      </w:pPr>
    </w:p>
    <w:p w14:paraId="5926DBEF" w14:textId="301B8F54" w:rsidR="00B952C5" w:rsidRPr="00B952C5" w:rsidRDefault="00B952C5" w:rsidP="00B952C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The </w:t>
      </w:r>
      <w:r w:rsidR="00712980">
        <w:rPr>
          <w:rFonts w:ascii="Times New Roman" w:hAnsi="Times New Roman" w:cs="Times New Roman"/>
        </w:rPr>
        <w:t xml:space="preserve">normalized abundance represents </w:t>
      </w:r>
      <w:r>
        <w:rPr>
          <w:rFonts w:ascii="Times New Roman" w:hAnsi="Times New Roman" w:cs="Times New Roman"/>
        </w:rPr>
        <w:t xml:space="preserve">the </w:t>
      </w:r>
      <w:r w:rsidR="00712980">
        <w:rPr>
          <w:rFonts w:ascii="Times New Roman" w:hAnsi="Times New Roman" w:cs="Times New Roman"/>
        </w:rPr>
        <w:t>proportion of the reads for any site relative to the most abundant site detected for the sample. For example, a normalized abundance value of 100 indicates that the insertion site is the most abundant site for the sample while a value of 1 indicates that the insertion site is present at 1% of the most abundant site in the sample.</w:t>
      </w:r>
    </w:p>
    <w:p w14:paraId="6C017836" w14:textId="2843BC2A" w:rsidR="007857EA" w:rsidRPr="007857EA" w:rsidRDefault="007857EA" w:rsidP="00247D11">
      <w:pPr>
        <w:jc w:val="both"/>
        <w:rPr>
          <w:rFonts w:ascii="Times New Roman" w:hAnsi="Times New Roman" w:cs="Times New Roman"/>
        </w:rPr>
      </w:pPr>
    </w:p>
    <w:p w14:paraId="4C68B439" w14:textId="44B997EA" w:rsidR="000805AD" w:rsidRDefault="000805AD" w:rsidP="00F5646D">
      <w:pPr>
        <w:jc w:val="both"/>
        <w:rPr>
          <w:rFonts w:ascii="Times New Roman" w:hAnsi="Times New Roman" w:cs="Times New Roman"/>
          <w:b/>
          <w:color w:val="C00000"/>
        </w:rPr>
      </w:pPr>
      <w:r>
        <w:rPr>
          <w:rFonts w:ascii="Times New Roman" w:hAnsi="Times New Roman" w:cs="Times New Roman"/>
          <w:b/>
          <w:color w:val="C00000"/>
        </w:rPr>
        <w:t>gCIS2.py</w:t>
      </w:r>
    </w:p>
    <w:p w14:paraId="37F2048B" w14:textId="77777777" w:rsidR="00C46D11" w:rsidRDefault="005C3F7A" w:rsidP="00F5646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tool </w:t>
      </w:r>
      <w:r w:rsidR="00AA6765">
        <w:rPr>
          <w:rFonts w:ascii="Times New Roman" w:hAnsi="Times New Roman" w:cs="Times New Roman"/>
        </w:rPr>
        <w:t>analyzes a combined GFF3 file to identify genes that have suffered transposon insertions at a rate significantly higher than expected given the characteristics of the input data. This tool requires a variety of prebuilt Python dictionaries that are included with the IAS</w:t>
      </w:r>
      <w:r w:rsidR="007B3698">
        <w:rPr>
          <w:rFonts w:ascii="Times New Roman" w:hAnsi="Times New Roman" w:cs="Times New Roman"/>
        </w:rPr>
        <w:t xml:space="preserve"> within the GRCh38 directory. Currently, these dictionaries exist only for the GRCh38 build of the human reference genome.</w:t>
      </w:r>
      <w:r w:rsidR="00C46D11">
        <w:rPr>
          <w:rFonts w:ascii="Times New Roman" w:hAnsi="Times New Roman" w:cs="Times New Roman"/>
        </w:rPr>
        <w:t xml:space="preserve"> </w:t>
      </w:r>
    </w:p>
    <w:p w14:paraId="0A9F0060" w14:textId="77777777" w:rsidR="00C46D11" w:rsidRDefault="00C46D11" w:rsidP="00F5646D">
      <w:pPr>
        <w:ind w:left="360"/>
        <w:jc w:val="both"/>
        <w:rPr>
          <w:rFonts w:ascii="Times New Roman" w:hAnsi="Times New Roman" w:cs="Times New Roman"/>
        </w:rPr>
      </w:pPr>
    </w:p>
    <w:p w14:paraId="23AC1DFD" w14:textId="77777777" w:rsidR="00E42E32" w:rsidRDefault="00E42E32" w:rsidP="00F5646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gCIS2 tool requires three parameter inputs:</w:t>
      </w:r>
    </w:p>
    <w:p w14:paraId="3AC502AF" w14:textId="60EDFB3B" w:rsidR="00E42E32" w:rsidRDefault="00E42E32" w:rsidP="00E42E3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Filename of the combined GFF3 to be analyzed</w:t>
      </w:r>
    </w:p>
    <w:p w14:paraId="24CBF149" w14:textId="1133AF3B" w:rsidR="00E42E32" w:rsidRDefault="00E42E32" w:rsidP="00E42E3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promoter size to be considered during the analysis of each gene</w:t>
      </w:r>
    </w:p>
    <w:p w14:paraId="06D636CA" w14:textId="15A59BC9" w:rsidR="00E42E32" w:rsidRDefault="00E42E32" w:rsidP="00E42E3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 annotation set to be used (ex: </w:t>
      </w:r>
      <w:proofErr w:type="spellStart"/>
      <w:r>
        <w:rPr>
          <w:rFonts w:ascii="Times New Roman" w:hAnsi="Times New Roman" w:cs="Times New Roman"/>
        </w:rPr>
        <w:t>refseq</w:t>
      </w:r>
      <w:proofErr w:type="spellEnd"/>
      <w:r>
        <w:rPr>
          <w:rFonts w:ascii="Times New Roman" w:hAnsi="Times New Roman" w:cs="Times New Roman"/>
        </w:rPr>
        <w:t xml:space="preserve">, ensemble, </w:t>
      </w:r>
      <w:proofErr w:type="spellStart"/>
      <w:r>
        <w:rPr>
          <w:rFonts w:ascii="Times New Roman" w:hAnsi="Times New Roman" w:cs="Times New Roman"/>
        </w:rPr>
        <w:t>ucsc</w:t>
      </w:r>
      <w:proofErr w:type="spellEnd"/>
      <w:r>
        <w:rPr>
          <w:rFonts w:ascii="Times New Roman" w:hAnsi="Times New Roman" w:cs="Times New Roman"/>
        </w:rPr>
        <w:t>)</w:t>
      </w:r>
    </w:p>
    <w:p w14:paraId="0D563475" w14:textId="77777777" w:rsidR="00E42E32" w:rsidRPr="00E42E32" w:rsidRDefault="00E42E32" w:rsidP="00E42E32">
      <w:pPr>
        <w:ind w:left="360"/>
        <w:jc w:val="both"/>
        <w:rPr>
          <w:rFonts w:ascii="Times New Roman" w:hAnsi="Times New Roman" w:cs="Times New Roman"/>
        </w:rPr>
      </w:pPr>
    </w:p>
    <w:p w14:paraId="477025E5" w14:textId="77777777" w:rsidR="00AE6B41" w:rsidRDefault="00AE6B41" w:rsidP="00F5646D">
      <w:pPr>
        <w:ind w:left="360"/>
        <w:jc w:val="both"/>
        <w:rPr>
          <w:rFonts w:ascii="Times New Roman" w:hAnsi="Times New Roman" w:cs="Times New Roman"/>
        </w:rPr>
      </w:pPr>
    </w:p>
    <w:p w14:paraId="7AB6DC24" w14:textId="77777777" w:rsidR="00AE6B41" w:rsidRDefault="00AE6B41" w:rsidP="00F5646D">
      <w:pPr>
        <w:ind w:left="360"/>
        <w:jc w:val="both"/>
        <w:rPr>
          <w:rFonts w:ascii="Times New Roman" w:hAnsi="Times New Roman" w:cs="Times New Roman"/>
        </w:rPr>
      </w:pPr>
    </w:p>
    <w:p w14:paraId="29DA07DF" w14:textId="77777777" w:rsidR="00AE6B41" w:rsidRDefault="00AE6B41" w:rsidP="00F5646D">
      <w:pPr>
        <w:ind w:left="360"/>
        <w:jc w:val="both"/>
        <w:rPr>
          <w:rFonts w:ascii="Times New Roman" w:hAnsi="Times New Roman" w:cs="Times New Roman"/>
        </w:rPr>
      </w:pPr>
    </w:p>
    <w:p w14:paraId="6177FD84" w14:textId="77777777" w:rsidR="00AE6B41" w:rsidRDefault="00AE6B41" w:rsidP="00F5646D">
      <w:pPr>
        <w:ind w:left="360"/>
        <w:jc w:val="both"/>
        <w:rPr>
          <w:rFonts w:ascii="Times New Roman" w:hAnsi="Times New Roman" w:cs="Times New Roman"/>
        </w:rPr>
      </w:pPr>
    </w:p>
    <w:p w14:paraId="33230348" w14:textId="77777777" w:rsidR="00AE6B41" w:rsidRDefault="00AE6B41" w:rsidP="00F5646D">
      <w:pPr>
        <w:ind w:left="360"/>
        <w:jc w:val="both"/>
        <w:rPr>
          <w:rFonts w:ascii="Times New Roman" w:hAnsi="Times New Roman" w:cs="Times New Roman"/>
        </w:rPr>
      </w:pPr>
    </w:p>
    <w:p w14:paraId="31E637DA" w14:textId="77777777" w:rsidR="00AE6B41" w:rsidRDefault="00AE6B41" w:rsidP="00F5646D">
      <w:pPr>
        <w:ind w:left="360"/>
        <w:jc w:val="both"/>
        <w:rPr>
          <w:rFonts w:ascii="Times New Roman" w:hAnsi="Times New Roman" w:cs="Times New Roman"/>
        </w:rPr>
      </w:pPr>
    </w:p>
    <w:p w14:paraId="412F3DF5" w14:textId="7E312FAA" w:rsidR="000805AD" w:rsidRDefault="00AE6B41" w:rsidP="00F5646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Here </w:t>
      </w:r>
      <w:r w:rsidR="0038297F">
        <w:rPr>
          <w:rFonts w:ascii="Times New Roman" w:hAnsi="Times New Roman" w:cs="Times New Roman"/>
        </w:rPr>
        <w:t>is</w:t>
      </w:r>
      <w:r w:rsidR="00C46D11">
        <w:rPr>
          <w:rFonts w:ascii="Times New Roman" w:hAnsi="Times New Roman" w:cs="Times New Roman"/>
        </w:rPr>
        <w:t xml:space="preserve"> the order of processes used by the gCIS2 tool to identify candidate genes</w:t>
      </w:r>
      <w:r>
        <w:rPr>
          <w:rFonts w:ascii="Times New Roman" w:hAnsi="Times New Roman" w:cs="Times New Roman"/>
        </w:rPr>
        <w:t>:</w:t>
      </w:r>
    </w:p>
    <w:p w14:paraId="69640E6E" w14:textId="3E8A8DE5" w:rsidR="00AE6B41" w:rsidRDefault="00AE6B41" w:rsidP="00F5646D">
      <w:pPr>
        <w:ind w:left="360"/>
        <w:jc w:val="both"/>
        <w:rPr>
          <w:rFonts w:ascii="Times New Roman" w:hAnsi="Times New Roman" w:cs="Times New Roman"/>
        </w:rPr>
      </w:pPr>
    </w:p>
    <w:p w14:paraId="64724E4D" w14:textId="7256BB40" w:rsidR="00AE6B41" w:rsidRDefault="00AE6B41" w:rsidP="00AE6B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Determines the number of insertion events and samples contained in the GFF3 input file</w:t>
      </w:r>
    </w:p>
    <w:p w14:paraId="045A7D17" w14:textId="6BF33CE2" w:rsidR="00AE6B41" w:rsidRDefault="00AE6B41" w:rsidP="00AE6B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gene in the annotation set:</w:t>
      </w:r>
    </w:p>
    <w:p w14:paraId="41BC3F9E" w14:textId="2B37C1C1" w:rsidR="00AE6B41" w:rsidRPr="00AE6B41" w:rsidRDefault="00AE6B41" w:rsidP="00AE6B4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E6B41">
        <w:rPr>
          <w:rFonts w:ascii="Times New Roman" w:hAnsi="Times New Roman" w:cs="Times New Roman"/>
        </w:rPr>
        <w:t xml:space="preserve">determine </w:t>
      </w:r>
      <w:r>
        <w:rPr>
          <w:rFonts w:ascii="Times New Roman" w:hAnsi="Times New Roman" w:cs="Times New Roman"/>
        </w:rPr>
        <w:t xml:space="preserve">gene </w:t>
      </w:r>
      <w:r w:rsidRPr="00AE6B41">
        <w:rPr>
          <w:rFonts w:ascii="Times New Roman" w:hAnsi="Times New Roman" w:cs="Times New Roman"/>
        </w:rPr>
        <w:t xml:space="preserve">boundary </w:t>
      </w:r>
      <w:r>
        <w:rPr>
          <w:rFonts w:ascii="Times New Roman" w:hAnsi="Times New Roman" w:cs="Times New Roman"/>
        </w:rPr>
        <w:t>(</w:t>
      </w:r>
      <w:r w:rsidRPr="00AE6B41">
        <w:rPr>
          <w:rFonts w:ascii="Times New Roman" w:hAnsi="Times New Roman" w:cs="Times New Roman"/>
        </w:rPr>
        <w:t>+/- promoter</w:t>
      </w:r>
      <w:r>
        <w:rPr>
          <w:rFonts w:ascii="Times New Roman" w:hAnsi="Times New Roman" w:cs="Times New Roman"/>
        </w:rPr>
        <w:t>)</w:t>
      </w:r>
    </w:p>
    <w:p w14:paraId="6DE161FE" w14:textId="7B3AB769" w:rsidR="00AE6B41" w:rsidRPr="00AE6B41" w:rsidRDefault="00AE6B41" w:rsidP="00AE6B4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E6B41">
        <w:rPr>
          <w:rFonts w:ascii="Times New Roman" w:hAnsi="Times New Roman" w:cs="Times New Roman"/>
        </w:rPr>
        <w:t>determine # of TA sites within the boundary (+/- promoter)</w:t>
      </w:r>
    </w:p>
    <w:p w14:paraId="7A79460E" w14:textId="5D229202" w:rsidR="00AE6B41" w:rsidRPr="00AE6B41" w:rsidRDefault="00AE6B41" w:rsidP="00AE6B4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E6B41">
        <w:rPr>
          <w:rFonts w:ascii="Times New Roman" w:hAnsi="Times New Roman" w:cs="Times New Roman"/>
        </w:rPr>
        <w:t>determine # of insertions within the boundary (+/- promoter)</w:t>
      </w:r>
    </w:p>
    <w:p w14:paraId="19817FCC" w14:textId="13D80822" w:rsidR="00AE6B41" w:rsidRPr="00AE6B41" w:rsidRDefault="00AE6B41" w:rsidP="00AE6B4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E6B41">
        <w:rPr>
          <w:rFonts w:ascii="Times New Roman" w:hAnsi="Times New Roman" w:cs="Times New Roman"/>
        </w:rPr>
        <w:t xml:space="preserve">determine probability of </w:t>
      </w:r>
      <w:r>
        <w:rPr>
          <w:rFonts w:ascii="Times New Roman" w:hAnsi="Times New Roman" w:cs="Times New Roman"/>
        </w:rPr>
        <w:t>observed # of</w:t>
      </w:r>
      <w:r w:rsidRPr="00AE6B41">
        <w:rPr>
          <w:rFonts w:ascii="Times New Roman" w:hAnsi="Times New Roman" w:cs="Times New Roman"/>
        </w:rPr>
        <w:t xml:space="preserve"> insertions within boundary (+/- promoter)</w:t>
      </w:r>
    </w:p>
    <w:p w14:paraId="18108091" w14:textId="42F422FA" w:rsidR="00AE6B41" w:rsidRPr="00AE6B41" w:rsidRDefault="00AE6B41" w:rsidP="00AE6B4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E6B41">
        <w:rPr>
          <w:rFonts w:ascii="Times New Roman" w:hAnsi="Times New Roman" w:cs="Times New Roman"/>
        </w:rPr>
        <w:t>determine kurtosis of insertions within boundary</w:t>
      </w:r>
      <w:r>
        <w:rPr>
          <w:rFonts w:ascii="Times New Roman" w:hAnsi="Times New Roman" w:cs="Times New Roman"/>
        </w:rPr>
        <w:t>, including promoter</w:t>
      </w:r>
    </w:p>
    <w:p w14:paraId="04FF4A8C" w14:textId="7A495A3B" w:rsidR="00AE6B41" w:rsidRDefault="00AE6B41" w:rsidP="00AE6B4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E6B41">
        <w:rPr>
          <w:rFonts w:ascii="Times New Roman" w:hAnsi="Times New Roman" w:cs="Times New Roman"/>
        </w:rPr>
        <w:t>determine skewness of insertions within boundary</w:t>
      </w:r>
      <w:r>
        <w:rPr>
          <w:rFonts w:ascii="Times New Roman" w:hAnsi="Times New Roman" w:cs="Times New Roman"/>
        </w:rPr>
        <w:t>, including promoter</w:t>
      </w:r>
    </w:p>
    <w:p w14:paraId="480B2423" w14:textId="62505286" w:rsidR="000F379A" w:rsidRDefault="0038297F" w:rsidP="0062442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gene in the annotation set</w:t>
      </w:r>
      <w:r w:rsidR="00052A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at least </w:t>
      </w:r>
      <w:r w:rsidR="0062442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insertion event</w:t>
      </w:r>
      <w:r w:rsidR="0062442A">
        <w:rPr>
          <w:rFonts w:ascii="Times New Roman" w:hAnsi="Times New Roman" w:cs="Times New Roman"/>
        </w:rPr>
        <w:t xml:space="preserve">s, </w:t>
      </w:r>
      <w:r w:rsidR="0062442A" w:rsidRPr="0062442A">
        <w:rPr>
          <w:rFonts w:ascii="Times New Roman" w:hAnsi="Times New Roman" w:cs="Times New Roman"/>
        </w:rPr>
        <w:t>p</w:t>
      </w:r>
      <w:r w:rsidR="000F379A" w:rsidRPr="0062442A">
        <w:rPr>
          <w:rFonts w:ascii="Times New Roman" w:hAnsi="Times New Roman" w:cs="Times New Roman"/>
        </w:rPr>
        <w:t xml:space="preserve">erforms chi-square test to determine significance </w:t>
      </w:r>
      <w:r w:rsidR="000F379A" w:rsidRPr="0062442A">
        <w:rPr>
          <w:rFonts w:ascii="Times New Roman" w:hAnsi="Times New Roman" w:cs="Times New Roman"/>
          <w:i/>
        </w:rPr>
        <w:t>[expected number of insertions = (# of TA sites in gene (+/- promoter) / # of TA sites in genome) * # of total insertion events]</w:t>
      </w:r>
    </w:p>
    <w:p w14:paraId="3E7AD3F2" w14:textId="43284E47" w:rsidR="0062442A" w:rsidRDefault="00127EBA" w:rsidP="0062442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Determines false discovery rate for genes with chi-square result</w:t>
      </w:r>
    </w:p>
    <w:p w14:paraId="7C4FD99F" w14:textId="2C3B5739" w:rsidR="00127EBA" w:rsidRDefault="00127EBA" w:rsidP="0062442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Evaluates each gene with five or more insertion events:</w:t>
      </w:r>
    </w:p>
    <w:p w14:paraId="7B8DEA0A" w14:textId="7294CB39" w:rsidR="00127EBA" w:rsidRDefault="00871D51" w:rsidP="00127EB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≥ 75% of insertion events are in the same orientation as the gene AND the FDR for the gene is ≤ 1x10</w:t>
      </w:r>
      <w:r w:rsidRPr="00871D51">
        <w:rPr>
          <w:rFonts w:ascii="Times New Roman" w:hAnsi="Times New Roman" w:cs="Times New Roman"/>
          <w:vertAlign w:val="superscript"/>
        </w:rPr>
        <w:t>-5</w:t>
      </w:r>
      <w:r>
        <w:rPr>
          <w:rFonts w:ascii="Times New Roman" w:hAnsi="Times New Roman" w:cs="Times New Roman"/>
        </w:rPr>
        <w:t>, prediction is “over-expression”</w:t>
      </w:r>
    </w:p>
    <w:p w14:paraId="6A6D9E99" w14:textId="5417FF47" w:rsidR="005E71BA" w:rsidRPr="0062442A" w:rsidRDefault="005E71BA" w:rsidP="005E71B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/>
        </w:rPr>
        <w:t xml:space="preserve"> 75% of insertion events are in the same orientation as the gene AND </w:t>
      </w:r>
      <w:r>
        <w:rPr>
          <w:rFonts w:ascii="Times New Roman" w:hAnsi="Times New Roman" w:cs="Times New Roman"/>
        </w:rPr>
        <w:t xml:space="preserve">≥ 90% of insertion events are within the gene body AND </w:t>
      </w:r>
      <w:r>
        <w:rPr>
          <w:rFonts w:ascii="Times New Roman" w:hAnsi="Times New Roman" w:cs="Times New Roman"/>
        </w:rPr>
        <w:t>the FDR for the gene is ≤ 1x10</w:t>
      </w:r>
      <w:r w:rsidRPr="00871D51">
        <w:rPr>
          <w:rFonts w:ascii="Times New Roman" w:hAnsi="Times New Roman" w:cs="Times New Roman"/>
          <w:vertAlign w:val="superscript"/>
        </w:rPr>
        <w:t>-5</w:t>
      </w:r>
      <w:r>
        <w:rPr>
          <w:rFonts w:ascii="Times New Roman" w:hAnsi="Times New Roman" w:cs="Times New Roman"/>
        </w:rPr>
        <w:t>, prediction is “</w:t>
      </w:r>
      <w:r>
        <w:rPr>
          <w:rFonts w:ascii="Times New Roman" w:hAnsi="Times New Roman" w:cs="Times New Roman"/>
        </w:rPr>
        <w:t>disruption</w:t>
      </w:r>
      <w:r>
        <w:rPr>
          <w:rFonts w:ascii="Times New Roman" w:hAnsi="Times New Roman" w:cs="Times New Roman"/>
        </w:rPr>
        <w:t>”</w:t>
      </w:r>
    </w:p>
    <w:p w14:paraId="51454B7B" w14:textId="67D4E39E" w:rsidR="005E71BA" w:rsidRDefault="00194640" w:rsidP="00127EB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 the prediction is “false-positive”</w:t>
      </w:r>
    </w:p>
    <w:p w14:paraId="6D2D1919" w14:textId="65264397" w:rsidR="00291B7B" w:rsidRDefault="00291B7B" w:rsidP="00291B7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Generates three output files:</w:t>
      </w:r>
    </w:p>
    <w:p w14:paraId="07FBD91E" w14:textId="4082D83A" w:rsidR="00291B7B" w:rsidRDefault="00291B7B" w:rsidP="00291B7B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*_parameter_settings.txt = contains the input parameters used for the analysis</w:t>
      </w:r>
    </w:p>
    <w:p w14:paraId="76ADFCC3" w14:textId="662DFE51" w:rsidR="00291B7B" w:rsidRDefault="00291B7B" w:rsidP="00291B7B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*_all_genes.txt = contains results for all genes with at least 1 insertion event detected</w:t>
      </w:r>
    </w:p>
    <w:p w14:paraId="0D82521B" w14:textId="48E8CD3B" w:rsidR="00291B7B" w:rsidRPr="0062442A" w:rsidRDefault="00291B7B" w:rsidP="00291B7B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*_filtered_genes.txt = contains results for only genes with a prediction of “over-expression” or “disruption”</w:t>
      </w:r>
    </w:p>
    <w:p w14:paraId="6617F22E" w14:textId="77777777" w:rsidR="000F379A" w:rsidRPr="00AE6B41" w:rsidRDefault="000F379A" w:rsidP="0062442A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438A6DF" w14:textId="09314AEA" w:rsidR="006570DE" w:rsidRDefault="006570DE" w:rsidP="00F5646D">
      <w:pPr>
        <w:jc w:val="both"/>
        <w:rPr>
          <w:rFonts w:ascii="Times New Roman" w:hAnsi="Times New Roman" w:cs="Times New Roman"/>
          <w:b/>
          <w:color w:val="C00000"/>
        </w:rPr>
      </w:pPr>
    </w:p>
    <w:p w14:paraId="4313A848" w14:textId="642BB19D" w:rsidR="008B5A18" w:rsidRDefault="008B5A18" w:rsidP="00F5646D">
      <w:pPr>
        <w:jc w:val="both"/>
        <w:rPr>
          <w:rFonts w:ascii="Times New Roman" w:hAnsi="Times New Roman" w:cs="Times New Roman"/>
          <w:b/>
          <w:color w:val="C00000"/>
        </w:rPr>
      </w:pPr>
    </w:p>
    <w:p w14:paraId="7B49BD9B" w14:textId="56FBE0E3" w:rsidR="008B5A18" w:rsidRDefault="008B5A18" w:rsidP="00F5646D">
      <w:pPr>
        <w:jc w:val="both"/>
        <w:rPr>
          <w:rFonts w:ascii="Times New Roman" w:hAnsi="Times New Roman" w:cs="Times New Roman"/>
          <w:b/>
          <w:color w:val="C00000"/>
        </w:rPr>
      </w:pPr>
    </w:p>
    <w:p w14:paraId="17EF4ECA" w14:textId="77777777" w:rsidR="008B5A18" w:rsidRDefault="008B5A18" w:rsidP="00F5646D">
      <w:pPr>
        <w:jc w:val="both"/>
        <w:rPr>
          <w:rFonts w:ascii="Times New Roman" w:hAnsi="Times New Roman" w:cs="Times New Roman"/>
          <w:b/>
          <w:color w:val="C00000"/>
        </w:rPr>
      </w:pPr>
      <w:bookmarkStart w:id="0" w:name="_GoBack"/>
      <w:bookmarkEnd w:id="0"/>
    </w:p>
    <w:p w14:paraId="2FBA360D" w14:textId="5AB9C7F3" w:rsidR="006570DE" w:rsidRPr="006570DE" w:rsidRDefault="006570DE" w:rsidP="00F5646D">
      <w:pPr>
        <w:jc w:val="both"/>
        <w:rPr>
          <w:rFonts w:ascii="Times New Roman" w:hAnsi="Times New Roman" w:cs="Times New Roman"/>
          <w:b/>
          <w:color w:val="C00000"/>
        </w:rPr>
      </w:pPr>
      <w:r w:rsidRPr="006570DE">
        <w:rPr>
          <w:rFonts w:ascii="Times New Roman" w:hAnsi="Times New Roman" w:cs="Times New Roman"/>
          <w:b/>
          <w:color w:val="C00000"/>
        </w:rPr>
        <w:t>References</w:t>
      </w:r>
    </w:p>
    <w:p w14:paraId="23DC73C6" w14:textId="77777777" w:rsidR="00803A92" w:rsidRPr="00803A92" w:rsidRDefault="006570DE" w:rsidP="00803A92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803A92">
        <w:rPr>
          <w:rFonts w:ascii="Times New Roman" w:hAnsi="Times New Roman" w:cs="Times New Roman"/>
        </w:rPr>
        <w:fldChar w:fldCharType="begin"/>
      </w:r>
      <w:r w:rsidRPr="00803A92">
        <w:rPr>
          <w:rFonts w:ascii="Times New Roman" w:hAnsi="Times New Roman" w:cs="Times New Roman"/>
        </w:rPr>
        <w:instrText xml:space="preserve"> ADDIN EN.REFLIST </w:instrText>
      </w:r>
      <w:r w:rsidRPr="00803A92">
        <w:rPr>
          <w:rFonts w:ascii="Times New Roman" w:hAnsi="Times New Roman" w:cs="Times New Roman"/>
        </w:rPr>
        <w:fldChar w:fldCharType="separate"/>
      </w:r>
      <w:r w:rsidR="00803A92" w:rsidRPr="00803A92">
        <w:rPr>
          <w:rFonts w:ascii="Times New Roman" w:hAnsi="Times New Roman" w:cs="Times New Roman"/>
          <w:noProof/>
        </w:rPr>
        <w:t xml:space="preserve">Brett BT, Berquam-Vrieze KE, Nannapaneni K, Huang J, Scheetz TE, Dupuy AJ. 2011. Novel molecular and computational methods improve the accuracy of insertion site analysis in Sleeping Beauty-induced tumors. </w:t>
      </w:r>
      <w:r w:rsidR="00803A92" w:rsidRPr="00803A92">
        <w:rPr>
          <w:rFonts w:ascii="Times New Roman" w:hAnsi="Times New Roman" w:cs="Times New Roman"/>
          <w:i/>
          <w:noProof/>
        </w:rPr>
        <w:t>PLoS One</w:t>
      </w:r>
      <w:r w:rsidR="00803A92" w:rsidRPr="00803A92">
        <w:rPr>
          <w:rFonts w:ascii="Times New Roman" w:hAnsi="Times New Roman" w:cs="Times New Roman"/>
          <w:noProof/>
        </w:rPr>
        <w:t xml:space="preserve"> </w:t>
      </w:r>
      <w:r w:rsidR="00803A92" w:rsidRPr="00803A92">
        <w:rPr>
          <w:rFonts w:ascii="Times New Roman" w:hAnsi="Times New Roman" w:cs="Times New Roman"/>
          <w:b/>
          <w:noProof/>
        </w:rPr>
        <w:t>6</w:t>
      </w:r>
      <w:r w:rsidR="00803A92" w:rsidRPr="00803A92">
        <w:rPr>
          <w:rFonts w:ascii="Times New Roman" w:hAnsi="Times New Roman" w:cs="Times New Roman"/>
          <w:noProof/>
        </w:rPr>
        <w:t>: e24668.</w:t>
      </w:r>
    </w:p>
    <w:p w14:paraId="35079E29" w14:textId="764F64C1" w:rsidR="00803A92" w:rsidRPr="00803A92" w:rsidRDefault="00803A92" w:rsidP="00803A92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803A92">
        <w:rPr>
          <w:rFonts w:ascii="Times New Roman" w:hAnsi="Times New Roman" w:cs="Times New Roman"/>
          <w:noProof/>
        </w:rPr>
        <w:t xml:space="preserve">Feddersen CR, Schillo JL, Varzavand A, Vaughn HR, Wadsworth LS, Voigt AP, Zhu EY, Jennings BM, Mullen SA, Bobera J et al. 2019. Src-dependent DBL family members drive resistance to vemurafenib in human melanoma. </w:t>
      </w:r>
      <w:r w:rsidRPr="00803A92">
        <w:rPr>
          <w:rFonts w:ascii="Times New Roman" w:hAnsi="Times New Roman" w:cs="Times New Roman"/>
          <w:i/>
          <w:noProof/>
        </w:rPr>
        <w:t>bioRxiv</w:t>
      </w:r>
      <w:r w:rsidRPr="00803A92">
        <w:rPr>
          <w:rFonts w:ascii="Times New Roman" w:hAnsi="Times New Roman" w:cs="Times New Roman"/>
          <w:noProof/>
        </w:rPr>
        <w:t xml:space="preserve"> doi:</w:t>
      </w:r>
      <w:hyperlink r:id="rId5" w:history="1">
        <w:r w:rsidRPr="00803A92">
          <w:rPr>
            <w:rStyle w:val="Hyperlink"/>
            <w:rFonts w:ascii="Times New Roman" w:hAnsi="Times New Roman" w:cs="Times New Roman"/>
            <w:noProof/>
          </w:rPr>
          <w:t>https://doi.org/10.1101/561597</w:t>
        </w:r>
      </w:hyperlink>
      <w:r w:rsidRPr="00803A92">
        <w:rPr>
          <w:rFonts w:ascii="Times New Roman" w:hAnsi="Times New Roman" w:cs="Times New Roman"/>
          <w:noProof/>
        </w:rPr>
        <w:t>.</w:t>
      </w:r>
    </w:p>
    <w:p w14:paraId="00C5A172" w14:textId="7EF91781" w:rsidR="00A4287C" w:rsidRPr="00803A92" w:rsidRDefault="006570DE" w:rsidP="00F5646D">
      <w:pPr>
        <w:ind w:left="360"/>
        <w:jc w:val="both"/>
        <w:rPr>
          <w:rFonts w:ascii="Times New Roman" w:hAnsi="Times New Roman" w:cs="Times New Roman"/>
        </w:rPr>
      </w:pPr>
      <w:r w:rsidRPr="00803A92">
        <w:rPr>
          <w:rFonts w:ascii="Times New Roman" w:hAnsi="Times New Roman" w:cs="Times New Roman"/>
        </w:rPr>
        <w:fldChar w:fldCharType="end"/>
      </w:r>
    </w:p>
    <w:p w14:paraId="5FD54B89" w14:textId="591E23A7" w:rsidR="00F5646D" w:rsidRPr="00945EFF" w:rsidRDefault="00F5646D">
      <w:pPr>
        <w:ind w:left="360"/>
        <w:jc w:val="both"/>
        <w:rPr>
          <w:rFonts w:ascii="Times New Roman" w:hAnsi="Times New Roman" w:cs="Times New Roman"/>
        </w:rPr>
      </w:pPr>
    </w:p>
    <w:sectPr w:rsidR="00F5646D" w:rsidRPr="00945EFF" w:rsidSect="00FF7316">
      <w:pgSz w:w="12240" w:h="15840"/>
      <w:pgMar w:top="144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465D"/>
    <w:multiLevelType w:val="hybridMultilevel"/>
    <w:tmpl w:val="2D4AE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9460F7"/>
    <w:multiLevelType w:val="hybridMultilevel"/>
    <w:tmpl w:val="499E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402FE"/>
    <w:multiLevelType w:val="hybridMultilevel"/>
    <w:tmpl w:val="E5A0B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A4A6A"/>
    <w:multiLevelType w:val="hybridMultilevel"/>
    <w:tmpl w:val="1C32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5716D"/>
    <w:multiLevelType w:val="hybridMultilevel"/>
    <w:tmpl w:val="0F08E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461A2"/>
    <w:multiLevelType w:val="hybridMultilevel"/>
    <w:tmpl w:val="BA4C8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F61C7"/>
    <w:multiLevelType w:val="hybridMultilevel"/>
    <w:tmpl w:val="9306D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4241B"/>
    <w:multiLevelType w:val="hybridMultilevel"/>
    <w:tmpl w:val="66FC6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F56EA"/>
    <w:multiLevelType w:val="hybridMultilevel"/>
    <w:tmpl w:val="4170B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07651"/>
    <w:multiLevelType w:val="hybridMultilevel"/>
    <w:tmpl w:val="0B14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4721D"/>
    <w:multiLevelType w:val="hybridMultilevel"/>
    <w:tmpl w:val="1C146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0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Genome Researc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dztr259t2rff0e52sexvvaza5dvxe95p2fs&quot;&gt;references&lt;record-ids&gt;&lt;item&gt;15&lt;/item&gt;&lt;item&gt;53&lt;/item&gt;&lt;/record-ids&gt;&lt;/item&gt;&lt;/Libraries&gt;"/>
  </w:docVars>
  <w:rsids>
    <w:rsidRoot w:val="00FF7316"/>
    <w:rsid w:val="00001A71"/>
    <w:rsid w:val="00011A29"/>
    <w:rsid w:val="0001666C"/>
    <w:rsid w:val="000301C1"/>
    <w:rsid w:val="00034969"/>
    <w:rsid w:val="00037B07"/>
    <w:rsid w:val="0004696B"/>
    <w:rsid w:val="00052AD4"/>
    <w:rsid w:val="00063771"/>
    <w:rsid w:val="00075714"/>
    <w:rsid w:val="000805AD"/>
    <w:rsid w:val="00084640"/>
    <w:rsid w:val="000925D6"/>
    <w:rsid w:val="00092AB4"/>
    <w:rsid w:val="000949F2"/>
    <w:rsid w:val="000B73C4"/>
    <w:rsid w:val="000C1608"/>
    <w:rsid w:val="000C29AF"/>
    <w:rsid w:val="000C62A5"/>
    <w:rsid w:val="000C7082"/>
    <w:rsid w:val="000D39DE"/>
    <w:rsid w:val="000D4B96"/>
    <w:rsid w:val="000E087D"/>
    <w:rsid w:val="000E2FDD"/>
    <w:rsid w:val="000E59DD"/>
    <w:rsid w:val="000F379A"/>
    <w:rsid w:val="000F5EDF"/>
    <w:rsid w:val="000F7C9A"/>
    <w:rsid w:val="00103850"/>
    <w:rsid w:val="00110A21"/>
    <w:rsid w:val="00127EBA"/>
    <w:rsid w:val="00132EFB"/>
    <w:rsid w:val="0013413C"/>
    <w:rsid w:val="001342F4"/>
    <w:rsid w:val="00141114"/>
    <w:rsid w:val="001516C5"/>
    <w:rsid w:val="0015244F"/>
    <w:rsid w:val="001565FF"/>
    <w:rsid w:val="00174D9A"/>
    <w:rsid w:val="00181F14"/>
    <w:rsid w:val="0018674C"/>
    <w:rsid w:val="0019392F"/>
    <w:rsid w:val="00194640"/>
    <w:rsid w:val="00195550"/>
    <w:rsid w:val="001A5F0B"/>
    <w:rsid w:val="001B45BA"/>
    <w:rsid w:val="001C0900"/>
    <w:rsid w:val="001C1129"/>
    <w:rsid w:val="001D010F"/>
    <w:rsid w:val="001D148D"/>
    <w:rsid w:val="001D5195"/>
    <w:rsid w:val="001D749A"/>
    <w:rsid w:val="001E7570"/>
    <w:rsid w:val="001E7BE5"/>
    <w:rsid w:val="001F30F1"/>
    <w:rsid w:val="0022242E"/>
    <w:rsid w:val="00223071"/>
    <w:rsid w:val="00227D94"/>
    <w:rsid w:val="0023158D"/>
    <w:rsid w:val="00247D11"/>
    <w:rsid w:val="00247EBF"/>
    <w:rsid w:val="0025657F"/>
    <w:rsid w:val="00261CAC"/>
    <w:rsid w:val="00291B7B"/>
    <w:rsid w:val="00292FAE"/>
    <w:rsid w:val="002A5DF9"/>
    <w:rsid w:val="002B07A5"/>
    <w:rsid w:val="002B30E7"/>
    <w:rsid w:val="002B7779"/>
    <w:rsid w:val="002C1754"/>
    <w:rsid w:val="002D16E5"/>
    <w:rsid w:val="002D600E"/>
    <w:rsid w:val="003005F1"/>
    <w:rsid w:val="00303E7F"/>
    <w:rsid w:val="00307233"/>
    <w:rsid w:val="00313493"/>
    <w:rsid w:val="003174F6"/>
    <w:rsid w:val="00324ED3"/>
    <w:rsid w:val="00334F6B"/>
    <w:rsid w:val="00341540"/>
    <w:rsid w:val="00341E9F"/>
    <w:rsid w:val="00346973"/>
    <w:rsid w:val="00351E6A"/>
    <w:rsid w:val="00352903"/>
    <w:rsid w:val="00355AE8"/>
    <w:rsid w:val="00357366"/>
    <w:rsid w:val="00360AD1"/>
    <w:rsid w:val="003616F4"/>
    <w:rsid w:val="00363404"/>
    <w:rsid w:val="003717EB"/>
    <w:rsid w:val="0038297F"/>
    <w:rsid w:val="003A26D3"/>
    <w:rsid w:val="003A781A"/>
    <w:rsid w:val="003B4C83"/>
    <w:rsid w:val="003C47CC"/>
    <w:rsid w:val="003C66EA"/>
    <w:rsid w:val="003F02D6"/>
    <w:rsid w:val="003F4A38"/>
    <w:rsid w:val="004110E0"/>
    <w:rsid w:val="00416077"/>
    <w:rsid w:val="00424866"/>
    <w:rsid w:val="00430A6A"/>
    <w:rsid w:val="004451CF"/>
    <w:rsid w:val="00457B63"/>
    <w:rsid w:val="004600F9"/>
    <w:rsid w:val="004827E5"/>
    <w:rsid w:val="00492677"/>
    <w:rsid w:val="004B79F2"/>
    <w:rsid w:val="004E420F"/>
    <w:rsid w:val="004F7F2C"/>
    <w:rsid w:val="00506C00"/>
    <w:rsid w:val="005070F7"/>
    <w:rsid w:val="00507E71"/>
    <w:rsid w:val="00524BD2"/>
    <w:rsid w:val="00535416"/>
    <w:rsid w:val="0055281E"/>
    <w:rsid w:val="0055433F"/>
    <w:rsid w:val="00556E19"/>
    <w:rsid w:val="00565D1A"/>
    <w:rsid w:val="005731C6"/>
    <w:rsid w:val="00577F8D"/>
    <w:rsid w:val="00586B10"/>
    <w:rsid w:val="00590495"/>
    <w:rsid w:val="005A0A9B"/>
    <w:rsid w:val="005B6423"/>
    <w:rsid w:val="005C3F7A"/>
    <w:rsid w:val="005C57BF"/>
    <w:rsid w:val="005E66C2"/>
    <w:rsid w:val="005E70B7"/>
    <w:rsid w:val="005E71BA"/>
    <w:rsid w:val="005F2435"/>
    <w:rsid w:val="005F2E56"/>
    <w:rsid w:val="0060767B"/>
    <w:rsid w:val="00622545"/>
    <w:rsid w:val="0062442A"/>
    <w:rsid w:val="0062738B"/>
    <w:rsid w:val="006328BA"/>
    <w:rsid w:val="006434B2"/>
    <w:rsid w:val="006570DE"/>
    <w:rsid w:val="00673DA0"/>
    <w:rsid w:val="00682AC2"/>
    <w:rsid w:val="00682ED7"/>
    <w:rsid w:val="0068371F"/>
    <w:rsid w:val="0069518E"/>
    <w:rsid w:val="006A322D"/>
    <w:rsid w:val="007127EB"/>
    <w:rsid w:val="00712980"/>
    <w:rsid w:val="0071433C"/>
    <w:rsid w:val="00716D2A"/>
    <w:rsid w:val="00721322"/>
    <w:rsid w:val="00725F09"/>
    <w:rsid w:val="00740939"/>
    <w:rsid w:val="00746DFE"/>
    <w:rsid w:val="0074783E"/>
    <w:rsid w:val="00751A9D"/>
    <w:rsid w:val="00772741"/>
    <w:rsid w:val="00774BB7"/>
    <w:rsid w:val="00783C5E"/>
    <w:rsid w:val="007857EA"/>
    <w:rsid w:val="00790293"/>
    <w:rsid w:val="0079525F"/>
    <w:rsid w:val="007B0FC2"/>
    <w:rsid w:val="007B3698"/>
    <w:rsid w:val="007B7643"/>
    <w:rsid w:val="007C376D"/>
    <w:rsid w:val="007C3AAE"/>
    <w:rsid w:val="007E307B"/>
    <w:rsid w:val="00802C9D"/>
    <w:rsid w:val="00803A92"/>
    <w:rsid w:val="0080650C"/>
    <w:rsid w:val="008230D8"/>
    <w:rsid w:val="0082453C"/>
    <w:rsid w:val="008318CC"/>
    <w:rsid w:val="008367BA"/>
    <w:rsid w:val="008419AA"/>
    <w:rsid w:val="00845590"/>
    <w:rsid w:val="0085736F"/>
    <w:rsid w:val="00864B05"/>
    <w:rsid w:val="00871D51"/>
    <w:rsid w:val="00873555"/>
    <w:rsid w:val="00874B56"/>
    <w:rsid w:val="00874C6B"/>
    <w:rsid w:val="0087756F"/>
    <w:rsid w:val="008812E6"/>
    <w:rsid w:val="00887555"/>
    <w:rsid w:val="008A07E3"/>
    <w:rsid w:val="008A4376"/>
    <w:rsid w:val="008B5A18"/>
    <w:rsid w:val="008C7909"/>
    <w:rsid w:val="008D3B38"/>
    <w:rsid w:val="008E21B5"/>
    <w:rsid w:val="008E69A0"/>
    <w:rsid w:val="00906299"/>
    <w:rsid w:val="0093003A"/>
    <w:rsid w:val="0093142A"/>
    <w:rsid w:val="00932D0C"/>
    <w:rsid w:val="00936B80"/>
    <w:rsid w:val="009408E3"/>
    <w:rsid w:val="00945EFF"/>
    <w:rsid w:val="00953AFA"/>
    <w:rsid w:val="00970324"/>
    <w:rsid w:val="00986102"/>
    <w:rsid w:val="00994DBD"/>
    <w:rsid w:val="009B1926"/>
    <w:rsid w:val="009C7283"/>
    <w:rsid w:val="009D33E3"/>
    <w:rsid w:val="009E709E"/>
    <w:rsid w:val="009F02FE"/>
    <w:rsid w:val="009F28E7"/>
    <w:rsid w:val="009F4650"/>
    <w:rsid w:val="00A00150"/>
    <w:rsid w:val="00A22E11"/>
    <w:rsid w:val="00A23DE0"/>
    <w:rsid w:val="00A27EB0"/>
    <w:rsid w:val="00A4287C"/>
    <w:rsid w:val="00A566A0"/>
    <w:rsid w:val="00A715AD"/>
    <w:rsid w:val="00A81B8D"/>
    <w:rsid w:val="00A824F9"/>
    <w:rsid w:val="00A82F1E"/>
    <w:rsid w:val="00A878F1"/>
    <w:rsid w:val="00AA6765"/>
    <w:rsid w:val="00AB24DB"/>
    <w:rsid w:val="00AB5F82"/>
    <w:rsid w:val="00AC0710"/>
    <w:rsid w:val="00AC1171"/>
    <w:rsid w:val="00AC5166"/>
    <w:rsid w:val="00AE6B41"/>
    <w:rsid w:val="00AF4BEB"/>
    <w:rsid w:val="00B01400"/>
    <w:rsid w:val="00B05EE5"/>
    <w:rsid w:val="00B142B9"/>
    <w:rsid w:val="00B30F1F"/>
    <w:rsid w:val="00B348B9"/>
    <w:rsid w:val="00B35725"/>
    <w:rsid w:val="00B43866"/>
    <w:rsid w:val="00B71E14"/>
    <w:rsid w:val="00B77AA8"/>
    <w:rsid w:val="00B85AEB"/>
    <w:rsid w:val="00B87278"/>
    <w:rsid w:val="00B90E52"/>
    <w:rsid w:val="00B952C5"/>
    <w:rsid w:val="00B9643D"/>
    <w:rsid w:val="00B969B8"/>
    <w:rsid w:val="00BA3039"/>
    <w:rsid w:val="00BB17FD"/>
    <w:rsid w:val="00BB7191"/>
    <w:rsid w:val="00BB7CCF"/>
    <w:rsid w:val="00BC1121"/>
    <w:rsid w:val="00BC1901"/>
    <w:rsid w:val="00BC58BA"/>
    <w:rsid w:val="00BD7B70"/>
    <w:rsid w:val="00BF0073"/>
    <w:rsid w:val="00BF5F52"/>
    <w:rsid w:val="00C017DB"/>
    <w:rsid w:val="00C02B12"/>
    <w:rsid w:val="00C0428F"/>
    <w:rsid w:val="00C04E27"/>
    <w:rsid w:val="00C16FDE"/>
    <w:rsid w:val="00C2005A"/>
    <w:rsid w:val="00C2239D"/>
    <w:rsid w:val="00C25876"/>
    <w:rsid w:val="00C40C4B"/>
    <w:rsid w:val="00C46D11"/>
    <w:rsid w:val="00C47201"/>
    <w:rsid w:val="00C476A3"/>
    <w:rsid w:val="00C504F9"/>
    <w:rsid w:val="00C55F8F"/>
    <w:rsid w:val="00C57C5E"/>
    <w:rsid w:val="00C60655"/>
    <w:rsid w:val="00C67C42"/>
    <w:rsid w:val="00C911C5"/>
    <w:rsid w:val="00C921FB"/>
    <w:rsid w:val="00CA36E8"/>
    <w:rsid w:val="00CB51E2"/>
    <w:rsid w:val="00CC656C"/>
    <w:rsid w:val="00CE3F91"/>
    <w:rsid w:val="00D04ABB"/>
    <w:rsid w:val="00D07D70"/>
    <w:rsid w:val="00D11384"/>
    <w:rsid w:val="00D33CC7"/>
    <w:rsid w:val="00D4048B"/>
    <w:rsid w:val="00D5375B"/>
    <w:rsid w:val="00D565F0"/>
    <w:rsid w:val="00D57419"/>
    <w:rsid w:val="00D65354"/>
    <w:rsid w:val="00D8463E"/>
    <w:rsid w:val="00D96A6F"/>
    <w:rsid w:val="00DA2588"/>
    <w:rsid w:val="00DA6368"/>
    <w:rsid w:val="00DB5186"/>
    <w:rsid w:val="00DD30B0"/>
    <w:rsid w:val="00DE23C0"/>
    <w:rsid w:val="00DE54B9"/>
    <w:rsid w:val="00E11DC8"/>
    <w:rsid w:val="00E13778"/>
    <w:rsid w:val="00E26E6E"/>
    <w:rsid w:val="00E42E32"/>
    <w:rsid w:val="00E52897"/>
    <w:rsid w:val="00E65477"/>
    <w:rsid w:val="00E673B3"/>
    <w:rsid w:val="00E72BEE"/>
    <w:rsid w:val="00E82F10"/>
    <w:rsid w:val="00E97404"/>
    <w:rsid w:val="00E97A7F"/>
    <w:rsid w:val="00EB32DE"/>
    <w:rsid w:val="00EB474A"/>
    <w:rsid w:val="00EE206D"/>
    <w:rsid w:val="00EE23E2"/>
    <w:rsid w:val="00EE43FE"/>
    <w:rsid w:val="00EF3C43"/>
    <w:rsid w:val="00F07A50"/>
    <w:rsid w:val="00F12B52"/>
    <w:rsid w:val="00F27CCB"/>
    <w:rsid w:val="00F5646D"/>
    <w:rsid w:val="00F67C50"/>
    <w:rsid w:val="00F730DB"/>
    <w:rsid w:val="00F74A17"/>
    <w:rsid w:val="00F83434"/>
    <w:rsid w:val="00F90F52"/>
    <w:rsid w:val="00F91722"/>
    <w:rsid w:val="00FA2A21"/>
    <w:rsid w:val="00FA2EDB"/>
    <w:rsid w:val="00FB797C"/>
    <w:rsid w:val="00FC252E"/>
    <w:rsid w:val="00FC3CAA"/>
    <w:rsid w:val="00FD2A9A"/>
    <w:rsid w:val="00FE7C82"/>
    <w:rsid w:val="00FF0BA2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01FF"/>
  <w15:chartTrackingRefBased/>
  <w15:docId w15:val="{7D24B09B-44CC-364B-B875-7784877B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7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17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74A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B17FD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B17FD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BB17FD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BB17FD"/>
    <w:rPr>
      <w:rFonts w:ascii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F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B4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B4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01/5615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Dupuy, Adam</dc:creator>
  <cp:keywords/>
  <dc:description/>
  <cp:lastModifiedBy>Dupuy, Adam</cp:lastModifiedBy>
  <cp:revision>55</cp:revision>
  <dcterms:created xsi:type="dcterms:W3CDTF">2019-03-14T14:43:00Z</dcterms:created>
  <dcterms:modified xsi:type="dcterms:W3CDTF">2019-03-23T14:28:00Z</dcterms:modified>
</cp:coreProperties>
</file>