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63"/>
          <w:sz w:val="52"/>
          <w:szCs w:val="52"/>
        </w:rPr>
        <w:t xml:space="preserve">antonyaddy.com</w:t>
      </w:r>
    </w:p>
    <w:p>
      <w:pPr>
        <w:spacing w:after="40"/>
      </w:pPr>
      <w:r>
        <w:rPr>
          <w:color w:val="555555"/>
          <w:sz w:val="40"/>
          <w:szCs w:val="40"/>
        </w:rPr>
        <w:t xml:space="preserve">Content Audit</w:t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Prepared 12 July 2026  ·  delete / improve / amend / add, prioritised</w:t>
      </w:r>
    </w:p>
    <w:p>
      <w:pPr>
        <w:pBdr>
          <w:bottom w:val="single" w:color="CCCCCC" w:sz="6"/>
        </w:pBdr>
        <w:spacing w:after="120"/>
      </w:pPr>
    </w:p>
    <w:p>
      <w:pPr>
        <w:pStyle w:val="Heading1"/>
        <w:spacing w:after="140" w:before="320"/>
      </w:pPr>
      <w:r>
        <w:rPr>
          <w:b/>
          <w:bCs/>
          <w:color w:val="1A1A63"/>
          <w:sz w:val="30"/>
          <w:szCs w:val="30"/>
        </w:rPr>
        <w:t xml:space="preserve">Overall</w:t>
      </w:r>
    </w:p>
    <w:p>
      <w:pPr>
        <w:spacing w:after="120"/>
      </w:pPr>
      <w:r>
        <w:rPr>
          <w:sz w:val="21"/>
          <w:szCs w:val="21"/>
        </w:rPr>
        <w:t xml:space="preserve">The site is well-built and mostly accurate — the legal pages are genuinely complete (real SIRET, NDA, hébergeur; no placeholders), contact details are 100% consistent, and the funding language on the Offres and Contact pages is correct. The problems cluster in three places: a legal/privacy contradiction, funding claims that contradict each other, and thin/duplicated local pages. Nothing is catastrophic, but a few items carry real legal or conversion risk.</w:t>
      </w:r>
    </w:p>
    <w:p>
      <w:pPr>
        <w:pStyle w:val="Heading1"/>
        <w:spacing w:after="140" w:before="320"/>
      </w:pPr>
      <w:r>
        <w:rPr>
          <w:b/>
          <w:bCs/>
          <w:color w:val="B00020"/>
          <w:sz w:val="30"/>
          <w:szCs w:val="30"/>
        </w:rPr>
        <w:t xml:space="preserve">P0 — Fix first (legal risk or broken conversion)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640"/>
        <w:gridCol w:w="5400"/>
        <w:gridCol w:w="1300"/>
        <w:gridCol w:w="2020"/>
      </w:tblGrid>
      <w:tr>
        <w:trPr>
          <w:tblHeader/>
        </w:trPr>
        <w:tc>
          <w:tcPr>
            <w:tcW w:type="dxa" w:w="640"/>
            <w:shd w:fill="1A1A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shd w:fill="1A1A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300"/>
            <w:shd w:fill="1A1A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20"/>
            <w:shd w:fill="1A1A6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Privacy policy is factually false. It says no data is collected without explicit consent, but Google Analytics 4 loads on every page with consent granted by default (hardcoded ID G-DNSN8DZTZV), plus a Supabase pageview tracker a code comment calls “bypasses ad blockers.”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Amend</w:t>
            </w:r>
          </w:p>
        </w:tc>
        <w:tc>
          <w:tcPr>
            <w:tcW w:type="dxa" w:w="2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PrivacyPolicy.tsx, Analytics.tsx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Cookie consent is not CNIL-compliant. GA4 needs prior opt-in; the site is opt-out and the only “banner” auto-dismisses in 3s with no accept/refuse choice. Legal exposure for a French business.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Amend / Add</w:t>
            </w:r>
          </w:p>
        </w:tc>
        <w:tc>
          <w:tcPr>
            <w:tcW w:type="dxa" w:w="2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CookieConsent.tsx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Funding contradiction. Home still markets “dispositifs OPCO ou France Travail,” “Actions de Formation Conventionnées,” “Agefiph”; About carries France-Travail framing — contradicting the honest “non éligible CPF/OPCO/France Travail” notes on Offres &amp; Contact. (The earlier funding fix only touched Offres + Contact.)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Amend</w:t>
            </w:r>
          </w:p>
        </w:tc>
        <w:tc>
          <w:tcPr>
            <w:tcW w:type="dxa" w:w="2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Home.tsx, About.tsx</w:t>
            </w:r>
          </w:p>
        </w:tc>
      </w:tr>
      <w:tr>
        <w:tc>
          <w:tcPr>
            <w:tcW w:type="dxa" w:w="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 positioning test may be broken. It sends visitors to kahoot.it with a static, placeholder-looking PIN (01234567). Kahoot PINs only work during a live session — a printed PIN won’t launch the quiz, silently killing a core lead magnet. Needs a persistent Challenge/share link.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Amend</w:t>
            </w:r>
          </w:p>
        </w:tc>
        <w:tc>
          <w:tcPr>
            <w:tcW w:type="dxa" w:w="20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i/>
                <w:iCs/>
                <w:color w:val="555555"/>
                <w:sz w:val="16"/>
                <w:szCs w:val="16"/>
              </w:rPr>
              <w:t xml:space="preserve">TestPositionnement.tsx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B25E00"/>
          <w:sz w:val="30"/>
          <w:szCs w:val="30"/>
        </w:rPr>
        <w:t xml:space="preserve">P1 — Credibility &amp; conversion (Medium)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[Amend]  </w:t>
      </w:r>
      <w:r>
        <w:rPr>
          <w:b/>
          <w:bCs/>
          <w:sz w:val="21"/>
          <w:szCs w:val="21"/>
        </w:rPr>
        <w:t xml:space="preserve">Experience number is inconsistent (20 vs 21). </w:t>
      </w:r>
      <w:r>
        <w:rPr>
          <w:sz w:val="21"/>
          <w:szCs w:val="21"/>
        </w:rPr>
        <w:t xml:space="preserve">The code computes year − 2005 = 21 in 2026 (auto-climbing), but a lot of copy hardcodes “20+ ans” — even the Home page shows both. Pick one source of truth.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[Amend]  </w:t>
      </w:r>
      <w:r>
        <w:rPr>
          <w:b/>
          <w:bCs/>
          <w:sz w:val="21"/>
          <w:szCs w:val="21"/>
        </w:rPr>
        <w:t xml:space="preserve">“500+ apprenants” is unsubstantiated </w:t>
      </w:r>
      <w:r>
        <w:rPr>
          <w:sz w:val="21"/>
          <w:szCs w:val="21"/>
        </w:rPr>
        <w:t xml:space="preserve">and clashes with “15 avis vérifiés.” Substantiate or soften, and tie “vérifiés” to LinkedIn.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[Add]  </w:t>
      </w:r>
      <w:r>
        <w:rPr>
          <w:b/>
          <w:bCs/>
          <w:sz w:val="21"/>
          <w:szCs w:val="21"/>
        </w:rPr>
        <w:t xml:space="preserve">No pricing guidance anywhere. </w:t>
      </w:r>
      <w:r>
        <w:rPr>
          <w:sz w:val="21"/>
          <w:szCs w:val="21"/>
        </w:rPr>
        <w:t xml:space="preserve">The single biggest missing decision input for a professional-training buyer. Even “sur devis / tarifs indicatifs selon volume” would reduce friction and filter leads.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[Add]  </w:t>
      </w:r>
      <w:r>
        <w:rPr>
          <w:b/>
          <w:bCs/>
          <w:sz w:val="21"/>
          <w:szCs w:val="21"/>
        </w:rPr>
        <w:t xml:space="preserve">No FAQ on price/funding </w:t>
      </w:r>
      <w:r>
        <w:rPr>
          <w:sz w:val="21"/>
          <w:szCs w:val="21"/>
        </w:rPr>
        <w:t xml:space="preserve">on the core pages — the #1 pre-enquiry question.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[Improve]  </w:t>
      </w:r>
      <w:r>
        <w:rPr>
          <w:b/>
          <w:bCs/>
          <w:sz w:val="21"/>
          <w:szCs w:val="21"/>
        </w:rPr>
        <w:t xml:space="preserve">5 city pages are thin &amp; near-duplicate. </w:t>
      </w:r>
      <w:r>
        <w:rPr>
          <w:sz w:val="21"/>
          <w:szCs w:val="21"/>
        </w:rPr>
        <w:t xml:space="preserve">The “Pour qui” block is byte-identical across all five; Fréjus/Cannes/Antibes are weakest (~3–4 city-specific sentences). Below what’s needed to rank for “cours d’anglais Nice/Cannes.”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[Amend]  </w:t>
      </w:r>
      <w:r>
        <w:rPr>
          <w:b/>
          <w:bCs/>
          <w:sz w:val="21"/>
          <w:szCs w:val="21"/>
        </w:rPr>
        <w:t xml:space="preserve">Wrong geo-region on Alpes-Maritimes city pages. </w:t>
      </w:r>
      <w:r>
        <w:rPr>
          <w:sz w:val="21"/>
          <w:szCs w:val="21"/>
        </w:rPr>
        <w:t xml:space="preserve">Nice, Cannes, Antibes, Sophia all emit geo.region=“FR-83” (Var) instead of FR-06.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[Improve]  </w:t>
      </w:r>
      <w:r>
        <w:rPr>
          <w:b/>
          <w:bCs/>
          <w:sz w:val="21"/>
          <w:szCs w:val="21"/>
        </w:rPr>
        <w:t xml:space="preserve">Offres reads non-committal </w:t>
      </w:r>
      <w:r>
        <w:rPr>
          <w:sz w:val="21"/>
          <w:szCs w:val="21"/>
        </w:rPr>
        <w:t xml:space="preserve">— “quelques exemples de formations possibles” signals nothing is packaged; no duration/cadence on any offer.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[Amend]  </w:t>
      </w:r>
      <w:r>
        <w:rPr>
          <w:b/>
          <w:bCs/>
          <w:sz w:val="21"/>
          <w:szCs w:val="21"/>
        </w:rPr>
        <w:t xml:space="preserve">Voice slip: </w:t>
      </w:r>
      <w:r>
        <w:rPr>
          <w:sz w:val="21"/>
          <w:szCs w:val="21"/>
        </w:rPr>
        <w:t xml:space="preserve">Home says “Ils nous font confiance” on a site written entirely in “je.”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[Improve]  </w:t>
      </w:r>
      <w:r>
        <w:rPr>
          <w:b/>
          <w:bCs/>
          <w:sz w:val="21"/>
          <w:szCs w:val="21"/>
        </w:rPr>
        <w:t xml:space="preserve">Home shows only 1 testimonial </w:t>
      </w:r>
      <w:r>
        <w:rPr>
          <w:sz w:val="21"/>
          <w:szCs w:val="21"/>
        </w:rPr>
        <w:t xml:space="preserve">under a “they trust us” header, with 15 available. Show 3.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[Add]  </w:t>
      </w:r>
      <w:r>
        <w:rPr>
          <w:b/>
          <w:bCs/>
          <w:sz w:val="21"/>
          <w:szCs w:val="21"/>
        </w:rPr>
        <w:t xml:space="preserve">Contact block hides the phone number </w:t>
      </w:r>
      <w:r>
        <w:rPr>
          <w:sz w:val="21"/>
          <w:szCs w:val="21"/>
        </w:rPr>
        <w:t xml:space="preserve">(only via the WhatsApp button) — add it for people who want to call.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[Amend]  </w:t>
      </w:r>
      <w:r>
        <w:rPr>
          <w:b/>
          <w:bCs/>
          <w:sz w:val="21"/>
          <w:szCs w:val="21"/>
        </w:rPr>
        <w:t xml:space="preserve">Privacy/Mentions omit real data flows </w:t>
      </w:r>
      <w:r>
        <w:rPr>
          <w:sz w:val="21"/>
          <w:szCs w:val="21"/>
        </w:rPr>
        <w:t xml:space="preserve">(phone field, questionnaire, Supabase, Resend, retention) and claim data is “jamais partagée avec des tiers” while it flows to US processors. Reframe as named sub-processors.</w:t>
      </w:r>
    </w:p>
    <w:p>
      <w:pPr>
        <w:pStyle w:val="Heading1"/>
        <w:spacing w:after="140" w:before="320"/>
      </w:pPr>
      <w:r>
        <w:rPr>
          <w:b/>
          <w:bCs/>
          <w:color w:val="8A6D00"/>
          <w:sz w:val="30"/>
          <w:szCs w:val="30"/>
        </w:rPr>
        <w:t xml:space="preserve">P2 — Polish (Low)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[Amend]  </w:t>
      </w:r>
      <w:r>
        <w:rPr>
          <w:b/>
          <w:bCs/>
          <w:sz w:val="21"/>
          <w:szCs w:val="21"/>
        </w:rPr>
        <w:t xml:space="preserve">Thank-you page is half English </w:t>
      </w:r>
      <w:r>
        <w:rPr>
          <w:sz w:val="21"/>
          <w:szCs w:val="21"/>
        </w:rPr>
        <w:t xml:space="preserve">(“Message Sent”, “Thanks for reaching out”) on a French site.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[Amend]  </w:t>
      </w:r>
      <w:r>
        <w:rPr>
          <w:b/>
          <w:bCs/>
          <w:sz w:val="21"/>
          <w:szCs w:val="21"/>
        </w:rPr>
        <w:t xml:space="preserve">CEFR ceiling inconsistent: </w:t>
      </w:r>
      <w:r>
        <w:rPr>
          <w:sz w:val="21"/>
          <w:szCs w:val="21"/>
        </w:rPr>
        <w:t xml:space="preserve">Home says “A1 au C2”, the test page “A1–C1.”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[Improve]  </w:t>
      </w:r>
      <w:r>
        <w:rPr>
          <w:b/>
          <w:bCs/>
          <w:sz w:val="21"/>
          <w:szCs w:val="21"/>
        </w:rPr>
        <w:t xml:space="preserve">Jargon with no gloss: </w:t>
      </w:r>
      <w:r>
        <w:rPr>
          <w:sz w:val="21"/>
          <w:szCs w:val="21"/>
        </w:rPr>
        <w:t xml:space="preserve">“ACOM, VPL, AD” and “FPA niveau 5” assume knowledge a first-time visitor lacks.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[Amend]  </w:t>
      </w:r>
      <w:r>
        <w:rPr>
          <w:b/>
          <w:bCs/>
          <w:sz w:val="21"/>
          <w:szCs w:val="21"/>
        </w:rPr>
        <w:t xml:space="preserve">Two “last updated” dates </w:t>
      </w:r>
      <w:r>
        <w:rPr>
          <w:sz w:val="21"/>
          <w:szCs w:val="21"/>
        </w:rPr>
        <w:t xml:space="preserve">(Home footer “Juillet 2026” vs Offres “Mars 2026”).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[Improve]  </w:t>
      </w:r>
      <w:r>
        <w:rPr>
          <w:b/>
          <w:bCs/>
          <w:sz w:val="21"/>
          <w:szCs w:val="21"/>
        </w:rPr>
        <w:t xml:space="preserve">Same two testimonials on all 9 marketing pages, </w:t>
      </w:r>
      <w:r>
        <w:rPr>
          <w:sz w:val="21"/>
          <w:szCs w:val="21"/>
        </w:rPr>
        <w:t xml:space="preserve">and the trust strip lists generic categories instead of your real named partners (ESCCOM, ITEC, IGY).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[Amend]  </w:t>
      </w:r>
      <w:r>
        <w:rPr>
          <w:b/>
          <w:bCs/>
          <w:sz w:val="21"/>
          <w:szCs w:val="21"/>
        </w:rPr>
        <w:t xml:space="preserve">Sophia “premier technopôle d’Europe” </w:t>
      </w:r>
      <w:r>
        <w:rPr>
          <w:sz w:val="21"/>
          <w:szCs w:val="21"/>
        </w:rPr>
        <w:t xml:space="preserve">— soften to a defensible phrasing; “Vallauris” is claimed by both the Cannes and Antibes pages.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[Add]  </w:t>
      </w:r>
      <w:r>
        <w:rPr>
          <w:b/>
          <w:bCs/>
          <w:sz w:val="21"/>
          <w:szCs w:val="21"/>
        </w:rPr>
        <w:t xml:space="preserve">Étudiants page lists TOEIC/Cambridge/bac </w:t>
      </w:r>
      <w:r>
        <w:rPr>
          <w:sz w:val="21"/>
          <w:szCs w:val="21"/>
        </w:rPr>
        <w:t xml:space="preserve">but not IELTS/TOEFL (relevant to its own study-abroad angle).</w:t>
      </w:r>
    </w:p>
    <w:p>
      <w:pPr>
        <w:pStyle w:val="Heading1"/>
        <w:spacing w:after="140" w:before="320"/>
      </w:pPr>
      <w:r>
        <w:rPr>
          <w:b/>
          <w:bCs/>
          <w:color w:val="1A1A63"/>
          <w:sz w:val="30"/>
          <w:szCs w:val="30"/>
        </w:rPr>
        <w:t xml:space="preserve">Blog — 65 articles (62 grammar + 3 legacy)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The strategic finding (biggest lever): </w:t>
      </w:r>
      <w:r>
        <w:rPr>
          <w:sz w:val="21"/>
          <w:szCs w:val="21"/>
        </w:rPr>
        <w:t xml:space="preserve">you sell professional/business English, but 62 of 65 posts are generic academic grammar with zero business framing — nothing on business email, meetings, presentations, telephone English, or CV/interview language. The blog reads like a commodity ESL grammar reference (which thousands of sites already outrank), not the content marketing of a business-English trainer. The 3 legacy posts are noticeably better — first-person, authoritative, with a natural soft sell.</w:t>
      </w:r>
    </w:p>
    <w:p>
      <w:pPr>
        <w:pStyle w:val="Heading2"/>
        <w:spacing w:after="100" w:before="220"/>
      </w:pPr>
      <w:r>
        <w:rPr>
          <w:b/>
          <w:bCs/>
          <w:color w:val="1A1A63"/>
          <w:sz w:val="24"/>
          <w:szCs w:val="24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[High]  </w:t>
      </w:r>
      <w:r>
        <w:rPr>
          <w:b/>
          <w:bCs/>
          <w:sz w:val="21"/>
          <w:szCs w:val="21"/>
        </w:rPr>
        <w:t xml:space="preserve">Three overlapping posts on possessives </w:t>
      </w:r>
      <w:r>
        <w:rPr>
          <w:sz w:val="21"/>
          <w:szCs w:val="21"/>
        </w:rPr>
        <w:t xml:space="preserve">(possessive-adjectives, possessive-pronouns, possessive-adjectives-pronouns) — the third is redundant thin-content splitting. Merge into one canonical guide and 301 the extras.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[Low]  </w:t>
      </w:r>
      <w:r>
        <w:rPr>
          <w:b/>
          <w:bCs/>
          <w:sz w:val="21"/>
          <w:szCs w:val="21"/>
        </w:rPr>
        <w:t xml:space="preserve">Dead references in blogInternalLinks.ts </w:t>
      </w:r>
      <w:r>
        <w:rPr>
          <w:sz w:val="21"/>
          <w:szCs w:val="21"/>
        </w:rPr>
        <w:t xml:space="preserve">to non-existent posts (each-other-one-another, both-all-none).</w:t>
      </w:r>
    </w:p>
    <w:p>
      <w:pPr>
        <w:pStyle w:val="Heading2"/>
        <w:spacing w:after="100" w:before="220"/>
      </w:pPr>
      <w:r>
        <w:rPr>
          <w:b/>
          <w:bCs/>
          <w:color w:val="1A1A63"/>
          <w:sz w:val="24"/>
          <w:szCs w:val="24"/>
        </w:rPr>
        <w:t xml:space="preserve">Amend (config/technical — no rewriting)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[High]  </w:t>
      </w:r>
      <w:r>
        <w:rPr>
          <w:b/>
          <w:bCs/>
          <w:sz w:val="21"/>
          <w:szCs w:val="21"/>
        </w:rPr>
        <w:t xml:space="preserve">Legacy-post date mismatch: </w:t>
      </w:r>
      <w:r>
        <w:rPr>
          <w:sz w:val="21"/>
          <w:szCs w:val="21"/>
        </w:rPr>
        <w:t xml:space="preserve">Blog.tsx shows 2026 dates while legacyBlogPosts.ts says 2025 — the same article shows different dates on the index vs the article page.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[High]  </w:t>
      </w:r>
      <w:r>
        <w:rPr>
          <w:b/>
          <w:bCs/>
          <w:sz w:val="21"/>
          <w:szCs w:val="21"/>
        </w:rPr>
        <w:t xml:space="preserve">Duplicate &lt;meta name=“description”&gt; </w:t>
      </w:r>
      <w:r>
        <w:rPr>
          <w:sz w:val="21"/>
          <w:szCs w:val="21"/>
        </w:rPr>
        <w:t xml:space="preserve">on every built blog page (2 tags each) — a site-wide technical SEO defect.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[Medium]  </w:t>
      </w:r>
      <w:r>
        <w:rPr>
          <w:b/>
          <w:bCs/>
          <w:sz w:val="21"/>
          <w:szCs w:val="21"/>
        </w:rPr>
        <w:t xml:space="preserve">Category-key typo </w:t>
      </w:r>
      <w:r>
        <w:rPr>
          <w:sz w:val="21"/>
          <w:szCs w:val="21"/>
        </w:rPr>
        <w:t xml:space="preserve">— data uses “Quantifieurs” but the link maps use “Quantificateurs,” so those 3 posts fall through to generic handling.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[Medium]  </w:t>
      </w:r>
      <w:r>
        <w:rPr>
          <w:b/>
          <w:bCs/>
          <w:sz w:val="21"/>
          <w:szCs w:val="21"/>
        </w:rPr>
        <w:t xml:space="preserve">“Pratiquer ce sujet” buttons all point to one off-domain URL </w:t>
      </w:r>
      <w:r>
        <w:rPr>
          <w:sz w:val="21"/>
          <w:szCs w:val="21"/>
        </w:rPr>
        <w:t xml:space="preserve">(anglaisadistance.fr) regardless of topic, while the anchor text promises topic-specific exercises — misleading, and it sends blog traffic to the sister site. Confirm intended.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[Medium]  </w:t>
      </w:r>
      <w:r>
        <w:rPr>
          <w:b/>
          <w:bCs/>
          <w:sz w:val="21"/>
          <w:szCs w:val="21"/>
        </w:rPr>
        <w:t xml:space="preserve">Refresh anglais-professionnel-2025 </w:t>
      </w:r>
      <w:r>
        <w:rPr>
          <w:sz w:val="21"/>
          <w:szCs w:val="21"/>
        </w:rPr>
        <w:t xml:space="preserve">— the “2025” is baked into title/H1/slug and now reads stale.</w:t>
      </w:r>
    </w:p>
    <w:p>
      <w:pPr>
        <w:pStyle w:val="Heading2"/>
        <w:spacing w:after="100" w:before="220"/>
      </w:pPr>
      <w:r>
        <w:rPr>
          <w:b/>
          <w:bCs/>
          <w:color w:val="1A1A63"/>
          <w:sz w:val="24"/>
          <w:szCs w:val="24"/>
        </w:rPr>
        <w:t xml:space="preserve">Add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[High]  </w:t>
      </w:r>
      <w:r>
        <w:rPr>
          <w:b/>
          <w:bCs/>
          <w:sz w:val="21"/>
          <w:szCs w:val="21"/>
        </w:rPr>
        <w:t xml:space="preserve">Business-English articles matching the product </w:t>
      </w:r>
      <w:r>
        <w:rPr>
          <w:sz w:val="21"/>
          <w:szCs w:val="21"/>
        </w:rPr>
        <w:t xml:space="preserve">(email phrasing, meetings/negotiation, presentations, interview English).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[Medium]  </w:t>
      </w:r>
      <w:r>
        <w:rPr>
          <w:b/>
          <w:bCs/>
          <w:sz w:val="21"/>
          <w:szCs w:val="21"/>
        </w:rPr>
        <w:t xml:space="preserve">Grammar gaps: </w:t>
      </w:r>
      <w:r>
        <w:rPr>
          <w:sz w:val="21"/>
          <w:szCs w:val="21"/>
        </w:rPr>
        <w:t xml:space="preserve">Present Perfect Continuous, Future Perfect, there is/are, irregular-verbs reference.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555555"/>
          <w:sz w:val="18"/>
          <w:szCs w:val="18"/>
        </w:rPr>
        <w:t xml:space="preserve">[Low]  </w:t>
      </w:r>
      <w:r>
        <w:rPr>
          <w:b/>
          <w:bCs/>
          <w:sz w:val="21"/>
          <w:szCs w:val="21"/>
        </w:rPr>
        <w:t xml:space="preserve">A real newsletter capture </w:t>
      </w:r>
      <w:r>
        <w:rPr>
          <w:sz w:val="21"/>
          <w:szCs w:val="21"/>
        </w:rPr>
        <w:t xml:space="preserve">— the index “Recevez mes conseils par email” block just links to /contact; there is no newsletter.</w:t>
      </w:r>
    </w:p>
    <w:p>
      <w:pPr>
        <w:pStyle w:val="Heading1"/>
        <w:spacing w:after="140" w:before="320"/>
      </w:pPr>
      <w:r>
        <w:rPr>
          <w:b/>
          <w:bCs/>
          <w:color w:val="1B6B2F"/>
          <w:sz w:val="30"/>
          <w:szCs w:val="30"/>
        </w:rPr>
        <w:t xml:space="preserve">Solid — no action</w:t>
      </w:r>
    </w:p>
    <w:p>
      <w:pPr>
        <w:spacing w:after="120"/>
      </w:pPr>
      <w:r>
        <w:rPr>
          <w:sz w:val="21"/>
          <w:szCs w:val="21"/>
        </w:rPr>
        <w:t xml:space="preserve">Legal Mentions légales and CGV are complete and accurate (real SIRET 483 178 893 00028, NDA 93830738883, DREETS disclaimer, Vercel hébergeur); email and phone are 100% consistent; no false Qualiopi claim; no Lovable copy in visible text; the 4 audience pages are genuinely differentiated; the funding language on Offres and Contact is correct and compliant. (One “finding” — that testimonials don’t render in the HTML — was verified false: they are prerendered.)</w:t>
      </w:r>
    </w:p>
    <w:p>
      <w:pPr>
        <w:pStyle w:val="Heading1"/>
        <w:spacing w:after="140" w:before="320"/>
      </w:pPr>
      <w:r>
        <w:rPr>
          <w:b/>
          <w:bCs/>
          <w:color w:val="1A1A63"/>
          <w:sz w:val="30"/>
          <w:szCs w:val="30"/>
        </w:rPr>
        <w:t xml:space="preserve">Where to start</w:t>
      </w:r>
    </w:p>
    <w:p>
      <w:pPr>
        <w:spacing w:after="120"/>
      </w:pPr>
      <w:r>
        <w:rPr>
          <w:sz w:val="21"/>
          <w:szCs w:val="21"/>
        </w:rPr>
        <w:t xml:space="preserve">The three with real legal or conversion risk: the privacy/GA contradiction (P0 #1–2), the Home/About funding contradiction (P0 #3), and the dead Kahoot test (P0 #4). Almost everything in this report is copy or config in the repository, so any slice can be turned into a single reviewed change.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2026-07-12T20:07:35.439Z</dcterms:created>
  <dcterms:modified xsi:type="dcterms:W3CDTF">2026-07-12T20:07:35.441Z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