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C6218" w14:textId="12BCA838" w:rsidR="004D3473" w:rsidRPr="00894E04" w:rsidRDefault="0019004F" w:rsidP="00894E04">
      <w:pPr>
        <w:spacing w:line="240" w:lineRule="auto"/>
        <w:rPr>
          <w:rFonts w:ascii="Arial" w:hAnsi="Arial" w:cs="Arial"/>
          <w:sz w:val="22"/>
          <w:szCs w:val="22"/>
        </w:rPr>
      </w:pPr>
      <w:r w:rsidRPr="00894E04">
        <w:rPr>
          <w:rFonts w:ascii="Arial" w:hAnsi="Arial" w:cs="Arial"/>
          <w:sz w:val="22"/>
          <w:szCs w:val="22"/>
        </w:rPr>
        <w:t>Addy Carroll</w:t>
      </w:r>
    </w:p>
    <w:p w14:paraId="68E632C7" w14:textId="6B4631DF" w:rsidR="0019004F" w:rsidRPr="00894E04" w:rsidRDefault="0019004F" w:rsidP="00894E04">
      <w:pPr>
        <w:spacing w:line="240" w:lineRule="auto"/>
        <w:rPr>
          <w:rFonts w:ascii="Arial" w:hAnsi="Arial" w:cs="Arial"/>
          <w:sz w:val="22"/>
          <w:szCs w:val="22"/>
        </w:rPr>
      </w:pPr>
      <w:r w:rsidRPr="00894E04">
        <w:rPr>
          <w:rFonts w:ascii="Arial" w:hAnsi="Arial" w:cs="Arial"/>
          <w:sz w:val="22"/>
          <w:szCs w:val="22"/>
        </w:rPr>
        <w:t>Predictive Modeling – Final Report</w:t>
      </w:r>
    </w:p>
    <w:p w14:paraId="3B82FD37" w14:textId="3C07C8F1" w:rsidR="0019004F" w:rsidRPr="00894E04" w:rsidRDefault="0019004F" w:rsidP="00894E04">
      <w:pPr>
        <w:spacing w:line="240" w:lineRule="auto"/>
        <w:rPr>
          <w:rFonts w:ascii="Arial" w:hAnsi="Arial" w:cs="Arial"/>
          <w:sz w:val="22"/>
          <w:szCs w:val="22"/>
        </w:rPr>
      </w:pPr>
      <w:r w:rsidRPr="00894E04">
        <w:rPr>
          <w:rFonts w:ascii="Arial" w:hAnsi="Arial" w:cs="Arial"/>
          <w:sz w:val="22"/>
          <w:szCs w:val="22"/>
        </w:rPr>
        <w:t>May 14, 2025</w:t>
      </w:r>
    </w:p>
    <w:p w14:paraId="563474F4" w14:textId="12FB8BAD" w:rsidR="0019004F" w:rsidRPr="00894E04" w:rsidRDefault="0019004F" w:rsidP="00894E04">
      <w:pPr>
        <w:spacing w:line="240" w:lineRule="auto"/>
        <w:rPr>
          <w:rFonts w:ascii="Arial" w:hAnsi="Arial" w:cs="Arial"/>
          <w:b/>
          <w:bCs/>
          <w:sz w:val="22"/>
          <w:szCs w:val="22"/>
        </w:rPr>
      </w:pPr>
      <w:r w:rsidRPr="00894E04">
        <w:rPr>
          <w:rFonts w:ascii="Arial" w:hAnsi="Arial" w:cs="Arial"/>
          <w:b/>
          <w:bCs/>
          <w:sz w:val="22"/>
          <w:szCs w:val="22"/>
        </w:rPr>
        <w:t>Using a Data-Derived Susceptibility Index to Account for Model Bias under Drought</w:t>
      </w:r>
    </w:p>
    <w:p w14:paraId="0FFF6E4C" w14:textId="55371793" w:rsidR="0019004F" w:rsidRPr="00894E04" w:rsidRDefault="0019004F" w:rsidP="00894E04">
      <w:pPr>
        <w:spacing w:line="240" w:lineRule="auto"/>
        <w:rPr>
          <w:rFonts w:ascii="Arial" w:hAnsi="Arial" w:cs="Arial"/>
          <w:b/>
          <w:bCs/>
          <w:sz w:val="22"/>
          <w:szCs w:val="22"/>
        </w:rPr>
      </w:pPr>
      <w:r w:rsidRPr="00894E04">
        <w:rPr>
          <w:rFonts w:ascii="Arial" w:hAnsi="Arial" w:cs="Arial"/>
          <w:b/>
          <w:bCs/>
          <w:sz w:val="22"/>
          <w:szCs w:val="22"/>
        </w:rPr>
        <w:t>Introduction</w:t>
      </w:r>
    </w:p>
    <w:p w14:paraId="24755CD4" w14:textId="1C35F064" w:rsidR="00454729" w:rsidRPr="00894E04" w:rsidRDefault="00964787" w:rsidP="00894E04">
      <w:pPr>
        <w:spacing w:line="240" w:lineRule="auto"/>
        <w:rPr>
          <w:rFonts w:ascii="Arial" w:hAnsi="Arial" w:cs="Arial"/>
          <w:sz w:val="22"/>
          <w:szCs w:val="22"/>
        </w:rPr>
      </w:pPr>
      <w:r w:rsidRPr="00894E04">
        <w:rPr>
          <w:rFonts w:ascii="Arial" w:hAnsi="Arial" w:cs="Arial"/>
          <w:sz w:val="22"/>
          <w:szCs w:val="22"/>
        </w:rPr>
        <w:t xml:space="preserve">Wheat production in Kansas is governed by a strong precipitation gradient increasing from east to west, with </w:t>
      </w:r>
      <w:r w:rsidR="00136930" w:rsidRPr="00894E04">
        <w:rPr>
          <w:rFonts w:ascii="Arial" w:hAnsi="Arial" w:cs="Arial"/>
          <w:sz w:val="22"/>
          <w:szCs w:val="22"/>
        </w:rPr>
        <w:t xml:space="preserve">extremely restricted rainfall </w:t>
      </w:r>
      <w:r w:rsidR="00440226" w:rsidRPr="00894E04">
        <w:rPr>
          <w:rFonts w:ascii="Arial" w:hAnsi="Arial" w:cs="Arial"/>
          <w:sz w:val="22"/>
          <w:szCs w:val="22"/>
        </w:rPr>
        <w:t xml:space="preserve">near the Colorado border, </w:t>
      </w:r>
      <w:r w:rsidR="004D6DB1" w:rsidRPr="00894E04">
        <w:rPr>
          <w:rFonts w:ascii="Arial" w:hAnsi="Arial" w:cs="Arial"/>
          <w:sz w:val="22"/>
          <w:szCs w:val="22"/>
        </w:rPr>
        <w:t>to adequate water availability in eastern Kansas (</w:t>
      </w:r>
      <w:r w:rsidR="00CB7683" w:rsidRPr="00894E04">
        <w:rPr>
          <w:rFonts w:ascii="Arial" w:hAnsi="Arial" w:cs="Arial"/>
          <w:sz w:val="22"/>
          <w:szCs w:val="22"/>
        </w:rPr>
        <w:t>Kansas Mesonet, 2025)</w:t>
      </w:r>
      <w:r w:rsidR="004D6DB1" w:rsidRPr="00894E04">
        <w:rPr>
          <w:rFonts w:ascii="Arial" w:hAnsi="Arial" w:cs="Arial"/>
          <w:sz w:val="22"/>
          <w:szCs w:val="22"/>
        </w:rPr>
        <w:t>.</w:t>
      </w:r>
      <w:r w:rsidR="00627D93" w:rsidRPr="00894E04">
        <w:rPr>
          <w:rFonts w:ascii="Arial" w:hAnsi="Arial" w:cs="Arial"/>
          <w:sz w:val="22"/>
          <w:szCs w:val="22"/>
        </w:rPr>
        <w:t xml:space="preserve"> While growers predominantly rely on dryland systems, </w:t>
      </w:r>
      <w:r w:rsidR="008316F0" w:rsidRPr="00894E04">
        <w:rPr>
          <w:rFonts w:ascii="Arial" w:hAnsi="Arial" w:cs="Arial"/>
          <w:sz w:val="22"/>
          <w:szCs w:val="22"/>
        </w:rPr>
        <w:t xml:space="preserve">production in water-limited western Kansas </w:t>
      </w:r>
      <w:r w:rsidR="0072619D" w:rsidRPr="00894E04">
        <w:rPr>
          <w:rFonts w:ascii="Arial" w:hAnsi="Arial" w:cs="Arial"/>
          <w:sz w:val="22"/>
          <w:szCs w:val="22"/>
        </w:rPr>
        <w:t>often relies on supplemental applied irrigation to fully realize genetic yield potential</w:t>
      </w:r>
      <w:r w:rsidR="00A42928" w:rsidRPr="00894E04">
        <w:rPr>
          <w:rFonts w:ascii="Arial" w:hAnsi="Arial" w:cs="Arial"/>
          <w:sz w:val="22"/>
          <w:szCs w:val="22"/>
        </w:rPr>
        <w:t xml:space="preserve"> (Ji et al., 2021)</w:t>
      </w:r>
      <w:r w:rsidR="0072619D" w:rsidRPr="00894E04">
        <w:rPr>
          <w:rFonts w:ascii="Arial" w:hAnsi="Arial" w:cs="Arial"/>
          <w:sz w:val="22"/>
          <w:szCs w:val="22"/>
        </w:rPr>
        <w:t>. Consequently, Kansas wheat breeding programs must strike a balance between selecting for drought resilience under rainfed conditions and maintaining high yield capacity when water is non-limiting.</w:t>
      </w:r>
    </w:p>
    <w:p w14:paraId="679269F2" w14:textId="2C400351" w:rsidR="00B559A3" w:rsidRPr="00894E04" w:rsidRDefault="00B559A3" w:rsidP="00894E04">
      <w:pPr>
        <w:spacing w:line="240" w:lineRule="auto"/>
        <w:rPr>
          <w:rFonts w:ascii="Arial" w:hAnsi="Arial" w:cs="Arial"/>
          <w:sz w:val="22"/>
          <w:szCs w:val="22"/>
        </w:rPr>
      </w:pPr>
      <w:r w:rsidRPr="00894E04">
        <w:rPr>
          <w:rFonts w:ascii="Arial" w:hAnsi="Arial" w:cs="Arial"/>
          <w:sz w:val="22"/>
          <w:szCs w:val="22"/>
        </w:rPr>
        <w:t xml:space="preserve">Assessing genotype performance across this spectrum of water availability poses significant challenges. Plant responses to soil moisture deficit involve complex physiological and developmental adjustments, and drought </w:t>
      </w:r>
      <w:r w:rsidR="00B42FE1" w:rsidRPr="00894E04">
        <w:rPr>
          <w:rFonts w:ascii="Arial" w:hAnsi="Arial" w:cs="Arial"/>
          <w:sz w:val="22"/>
          <w:szCs w:val="22"/>
        </w:rPr>
        <w:t>effects frequently co-occur with other abiotic stresses (e.g., heat, nutrient limitation) as well as disease pressures</w:t>
      </w:r>
      <w:r w:rsidR="00056A32" w:rsidRPr="00894E04">
        <w:rPr>
          <w:rFonts w:ascii="Arial" w:hAnsi="Arial" w:cs="Arial"/>
          <w:sz w:val="22"/>
          <w:szCs w:val="22"/>
        </w:rPr>
        <w:t>, confounding straightforward interpretation of yield data</w:t>
      </w:r>
      <w:r w:rsidR="00A61CA8" w:rsidRPr="00894E04">
        <w:rPr>
          <w:rFonts w:ascii="Arial" w:hAnsi="Arial" w:cs="Arial"/>
          <w:sz w:val="22"/>
          <w:szCs w:val="22"/>
        </w:rPr>
        <w:t xml:space="preserve"> (</w:t>
      </w:r>
      <w:r w:rsidR="00F272F0" w:rsidRPr="00894E04">
        <w:rPr>
          <w:rFonts w:ascii="Arial" w:hAnsi="Arial" w:cs="Arial"/>
          <w:sz w:val="22"/>
          <w:szCs w:val="22"/>
        </w:rPr>
        <w:t xml:space="preserve">Blum, 2015; </w:t>
      </w:r>
      <w:r w:rsidR="00620FB5" w:rsidRPr="00894E04">
        <w:rPr>
          <w:rFonts w:ascii="Arial" w:hAnsi="Arial" w:cs="Arial"/>
          <w:sz w:val="22"/>
          <w:szCs w:val="22"/>
        </w:rPr>
        <w:t xml:space="preserve">Dolferus et al., 2019; </w:t>
      </w:r>
      <w:r w:rsidR="00F272F0" w:rsidRPr="00894E04">
        <w:rPr>
          <w:rFonts w:ascii="Arial" w:hAnsi="Arial" w:cs="Arial"/>
          <w:sz w:val="22"/>
          <w:szCs w:val="22"/>
        </w:rPr>
        <w:t>Onyemaobi et al., 2021</w:t>
      </w:r>
      <w:r w:rsidR="00620FB5" w:rsidRPr="00894E04">
        <w:rPr>
          <w:rFonts w:ascii="Arial" w:hAnsi="Arial" w:cs="Arial"/>
          <w:sz w:val="22"/>
          <w:szCs w:val="22"/>
        </w:rPr>
        <w:t>; Estrada e</w:t>
      </w:r>
      <w:r w:rsidR="00F10521" w:rsidRPr="00894E04">
        <w:rPr>
          <w:rFonts w:ascii="Arial" w:hAnsi="Arial" w:cs="Arial"/>
          <w:sz w:val="22"/>
          <w:szCs w:val="22"/>
        </w:rPr>
        <w:t>t</w:t>
      </w:r>
      <w:r w:rsidR="00620FB5" w:rsidRPr="00894E04">
        <w:rPr>
          <w:rFonts w:ascii="Arial" w:hAnsi="Arial" w:cs="Arial"/>
          <w:sz w:val="22"/>
          <w:szCs w:val="22"/>
        </w:rPr>
        <w:t xml:space="preserve"> al., </w:t>
      </w:r>
      <w:r w:rsidR="00F10521" w:rsidRPr="00894E04">
        <w:rPr>
          <w:rFonts w:ascii="Arial" w:hAnsi="Arial" w:cs="Arial"/>
          <w:sz w:val="22"/>
          <w:szCs w:val="22"/>
        </w:rPr>
        <w:t>2023</w:t>
      </w:r>
      <w:r w:rsidR="00F272F0" w:rsidRPr="00894E04">
        <w:rPr>
          <w:rFonts w:ascii="Arial" w:hAnsi="Arial" w:cs="Arial"/>
          <w:sz w:val="22"/>
          <w:szCs w:val="22"/>
        </w:rPr>
        <w:t>)</w:t>
      </w:r>
      <w:r w:rsidR="00056A32" w:rsidRPr="00894E04">
        <w:rPr>
          <w:rFonts w:ascii="Arial" w:hAnsi="Arial" w:cs="Arial"/>
          <w:sz w:val="22"/>
          <w:szCs w:val="22"/>
        </w:rPr>
        <w:t>.</w:t>
      </w:r>
    </w:p>
    <w:p w14:paraId="2D44F83D" w14:textId="4FBACADE" w:rsidR="0072619D" w:rsidRPr="00894E04" w:rsidRDefault="004B15FA" w:rsidP="00894E04">
      <w:pPr>
        <w:spacing w:line="240" w:lineRule="auto"/>
        <w:rPr>
          <w:rFonts w:ascii="Arial" w:hAnsi="Arial" w:cs="Arial"/>
          <w:sz w:val="22"/>
          <w:szCs w:val="22"/>
        </w:rPr>
      </w:pPr>
      <w:r w:rsidRPr="00894E04">
        <w:rPr>
          <w:rFonts w:ascii="Arial" w:hAnsi="Arial" w:cs="Arial"/>
          <w:sz w:val="22"/>
          <w:szCs w:val="22"/>
        </w:rPr>
        <w:t xml:space="preserve">The primary objective of this project was to evaluate six distinct Kansas environments, each subject to varying degrees of drought stress, and to develop a statistical framework that removes bias introduced by water deficit. </w:t>
      </w:r>
      <w:r w:rsidR="00462F88" w:rsidRPr="00894E04">
        <w:rPr>
          <w:rFonts w:ascii="Arial" w:hAnsi="Arial" w:cs="Arial"/>
          <w:sz w:val="22"/>
          <w:szCs w:val="22"/>
        </w:rPr>
        <w:t xml:space="preserve">A modified difference-based drought susceptibility index (DSI) </w:t>
      </w:r>
      <w:r w:rsidR="00F82F61" w:rsidRPr="00894E04">
        <w:rPr>
          <w:rFonts w:ascii="Arial" w:hAnsi="Arial" w:cs="Arial"/>
          <w:sz w:val="22"/>
          <w:szCs w:val="22"/>
        </w:rPr>
        <w:t>is implemented to quantify each genotype’s relative sensitivity to drought, with the goal of generating predictions that more accurately reflect genotypic potential under well-watered conditions, rather than performance exclusively under stress</w:t>
      </w:r>
      <w:r w:rsidR="00D74D0D" w:rsidRPr="00894E04">
        <w:rPr>
          <w:rFonts w:ascii="Arial" w:hAnsi="Arial" w:cs="Arial"/>
          <w:sz w:val="22"/>
          <w:szCs w:val="22"/>
        </w:rPr>
        <w:t xml:space="preserve"> (Fischer &amp; Maurer, 1978)</w:t>
      </w:r>
      <w:r w:rsidR="00F82F61" w:rsidRPr="00894E04">
        <w:rPr>
          <w:rFonts w:ascii="Arial" w:hAnsi="Arial" w:cs="Arial"/>
          <w:sz w:val="22"/>
          <w:szCs w:val="22"/>
        </w:rPr>
        <w:t xml:space="preserve">. </w:t>
      </w:r>
      <w:r w:rsidR="00213B62" w:rsidRPr="00894E04">
        <w:rPr>
          <w:rFonts w:ascii="Arial" w:hAnsi="Arial" w:cs="Arial"/>
          <w:sz w:val="22"/>
          <w:szCs w:val="22"/>
        </w:rPr>
        <w:t xml:space="preserve">The hypothesis is that DSI-based </w:t>
      </w:r>
      <w:r w:rsidR="00541E64" w:rsidRPr="00894E04">
        <w:rPr>
          <w:rFonts w:ascii="Arial" w:hAnsi="Arial" w:cs="Arial"/>
          <w:sz w:val="22"/>
          <w:szCs w:val="22"/>
        </w:rPr>
        <w:t xml:space="preserve">bias correction would improve prediction accuracy in a non-stressed environment by disentangling drought-specific effects from inherent yield potential. </w:t>
      </w:r>
    </w:p>
    <w:p w14:paraId="21E17085" w14:textId="55080F2D" w:rsidR="0019004F" w:rsidRPr="00894E04" w:rsidRDefault="0019004F" w:rsidP="00894E04">
      <w:pPr>
        <w:spacing w:line="240" w:lineRule="auto"/>
        <w:rPr>
          <w:rFonts w:ascii="Arial" w:hAnsi="Arial" w:cs="Arial"/>
          <w:b/>
          <w:bCs/>
          <w:sz w:val="22"/>
          <w:szCs w:val="22"/>
        </w:rPr>
      </w:pPr>
      <w:r w:rsidRPr="00894E04">
        <w:rPr>
          <w:rFonts w:ascii="Arial" w:hAnsi="Arial" w:cs="Arial"/>
          <w:b/>
          <w:bCs/>
          <w:sz w:val="22"/>
          <w:szCs w:val="22"/>
        </w:rPr>
        <w:t>Methods</w:t>
      </w:r>
    </w:p>
    <w:p w14:paraId="62A2F9D7" w14:textId="714225D7" w:rsidR="0019004F" w:rsidRPr="00894E04" w:rsidRDefault="0019004F" w:rsidP="00894E04">
      <w:pPr>
        <w:spacing w:line="240" w:lineRule="auto"/>
        <w:rPr>
          <w:rFonts w:ascii="Arial" w:hAnsi="Arial" w:cs="Arial"/>
          <w:i/>
          <w:iCs/>
          <w:sz w:val="22"/>
          <w:szCs w:val="22"/>
        </w:rPr>
      </w:pPr>
      <w:r w:rsidRPr="00894E04">
        <w:rPr>
          <w:rFonts w:ascii="Arial" w:hAnsi="Arial" w:cs="Arial"/>
          <w:i/>
          <w:iCs/>
          <w:sz w:val="22"/>
          <w:szCs w:val="22"/>
        </w:rPr>
        <w:t>Overview of Research Population</w:t>
      </w:r>
    </w:p>
    <w:p w14:paraId="0C891148" w14:textId="31A674FF" w:rsidR="00861677" w:rsidRPr="00894E04" w:rsidRDefault="00A74DD9" w:rsidP="00894E04">
      <w:pPr>
        <w:spacing w:line="240" w:lineRule="auto"/>
        <w:rPr>
          <w:rFonts w:ascii="Arial" w:hAnsi="Arial" w:cs="Arial"/>
          <w:sz w:val="22"/>
          <w:szCs w:val="22"/>
        </w:rPr>
      </w:pPr>
      <w:r w:rsidRPr="00894E04">
        <w:rPr>
          <w:rFonts w:ascii="Arial" w:hAnsi="Arial" w:cs="Arial"/>
          <w:sz w:val="22"/>
          <w:szCs w:val="22"/>
        </w:rPr>
        <w:t>This project utilized a population of 237 BC</w:t>
      </w:r>
      <w:r w:rsidRPr="00894E04">
        <w:rPr>
          <w:rFonts w:ascii="Arial" w:hAnsi="Arial" w:cs="Arial"/>
          <w:sz w:val="22"/>
          <w:szCs w:val="22"/>
          <w:vertAlign w:val="subscript"/>
        </w:rPr>
        <w:t>2</w:t>
      </w:r>
      <w:r w:rsidRPr="00894E04">
        <w:rPr>
          <w:rFonts w:ascii="Arial" w:hAnsi="Arial" w:cs="Arial"/>
          <w:sz w:val="22"/>
          <w:szCs w:val="22"/>
        </w:rPr>
        <w:t>F</w:t>
      </w:r>
      <w:r w:rsidRPr="00894E04">
        <w:rPr>
          <w:rFonts w:ascii="Arial" w:hAnsi="Arial" w:cs="Arial"/>
          <w:sz w:val="22"/>
          <w:szCs w:val="22"/>
          <w:vertAlign w:val="subscript"/>
        </w:rPr>
        <w:t>4:5</w:t>
      </w:r>
      <w:r w:rsidRPr="00894E04">
        <w:rPr>
          <w:rFonts w:ascii="Arial" w:hAnsi="Arial" w:cs="Arial"/>
          <w:sz w:val="22"/>
          <w:szCs w:val="22"/>
        </w:rPr>
        <w:t xml:space="preserve"> wild introgression lines (WILs), generated by crossing an elite wheat</w:t>
      </w:r>
      <w:r w:rsidR="00F405EF" w:rsidRPr="00894E04">
        <w:rPr>
          <w:rFonts w:ascii="Arial" w:hAnsi="Arial" w:cs="Arial"/>
          <w:sz w:val="22"/>
          <w:szCs w:val="22"/>
        </w:rPr>
        <w:t xml:space="preserve"> recurrent background parent (</w:t>
      </w:r>
      <w:r w:rsidR="00F405EF" w:rsidRPr="00894E04">
        <w:rPr>
          <w:rFonts w:ascii="Arial" w:hAnsi="Arial" w:cs="Arial"/>
          <w:i/>
          <w:iCs/>
          <w:sz w:val="22"/>
          <w:szCs w:val="22"/>
        </w:rPr>
        <w:t>Triticum aestivum</w:t>
      </w:r>
      <w:r w:rsidR="00F405EF" w:rsidRPr="00894E04">
        <w:rPr>
          <w:rFonts w:ascii="Arial" w:hAnsi="Arial" w:cs="Arial"/>
          <w:sz w:val="22"/>
          <w:szCs w:val="22"/>
        </w:rPr>
        <w:t>) with wild emmer (</w:t>
      </w:r>
      <w:r w:rsidR="00F405EF" w:rsidRPr="00894E04">
        <w:rPr>
          <w:rFonts w:ascii="Arial" w:hAnsi="Arial" w:cs="Arial"/>
          <w:i/>
          <w:iCs/>
          <w:sz w:val="22"/>
          <w:szCs w:val="22"/>
        </w:rPr>
        <w:t xml:space="preserve">Triticum turgidum </w:t>
      </w:r>
      <w:r w:rsidR="00F405EF" w:rsidRPr="00894E04">
        <w:rPr>
          <w:rFonts w:ascii="Arial" w:hAnsi="Arial" w:cs="Arial"/>
          <w:sz w:val="22"/>
          <w:szCs w:val="22"/>
        </w:rPr>
        <w:t xml:space="preserve">subsp. </w:t>
      </w:r>
      <w:r w:rsidR="00F405EF" w:rsidRPr="00894E04">
        <w:rPr>
          <w:rFonts w:ascii="Arial" w:hAnsi="Arial" w:cs="Arial"/>
          <w:i/>
          <w:iCs/>
          <w:sz w:val="22"/>
          <w:szCs w:val="22"/>
        </w:rPr>
        <w:t>dicoccoides</w:t>
      </w:r>
      <w:r w:rsidR="00F405EF" w:rsidRPr="00894E04">
        <w:rPr>
          <w:rFonts w:ascii="Arial" w:hAnsi="Arial" w:cs="Arial"/>
          <w:sz w:val="22"/>
          <w:szCs w:val="22"/>
        </w:rPr>
        <w:t xml:space="preserve">) via an amphiploid bridge species </w:t>
      </w:r>
      <w:r w:rsidR="003D781B" w:rsidRPr="00894E04">
        <w:rPr>
          <w:rFonts w:ascii="Arial" w:hAnsi="Arial" w:cs="Arial"/>
          <w:sz w:val="22"/>
          <w:szCs w:val="22"/>
        </w:rPr>
        <w:t>to facilitate transfer of novel alleles and allele combinations</w:t>
      </w:r>
      <w:r w:rsidR="0085336D" w:rsidRPr="00894E04">
        <w:rPr>
          <w:rFonts w:ascii="Arial" w:hAnsi="Arial" w:cs="Arial"/>
          <w:sz w:val="22"/>
          <w:szCs w:val="22"/>
        </w:rPr>
        <w:t>. Leaf-tissue extracted DNA</w:t>
      </w:r>
      <w:r w:rsidR="004D33E2" w:rsidRPr="00894E04">
        <w:rPr>
          <w:rFonts w:ascii="Arial" w:hAnsi="Arial" w:cs="Arial"/>
          <w:sz w:val="22"/>
          <w:szCs w:val="22"/>
        </w:rPr>
        <w:t xml:space="preserve"> from each WIL was assayed on a 40k SNP array, and raw marker data </w:t>
      </w:r>
      <w:r w:rsidR="00AD285A" w:rsidRPr="00894E04">
        <w:rPr>
          <w:rFonts w:ascii="Arial" w:hAnsi="Arial" w:cs="Arial"/>
          <w:sz w:val="22"/>
          <w:szCs w:val="22"/>
        </w:rPr>
        <w:t>were</w:t>
      </w:r>
      <w:r w:rsidR="004D33E2" w:rsidRPr="00894E04">
        <w:rPr>
          <w:rFonts w:ascii="Arial" w:hAnsi="Arial" w:cs="Arial"/>
          <w:sz w:val="22"/>
          <w:szCs w:val="22"/>
        </w:rPr>
        <w:t xml:space="preserve"> quality controlled, removing markers with </w:t>
      </w:r>
      <w:r w:rsidR="0039742E" w:rsidRPr="00894E04">
        <w:rPr>
          <w:rFonts w:ascii="Arial" w:hAnsi="Arial" w:cs="Arial"/>
          <w:sz w:val="22"/>
          <w:szCs w:val="22"/>
        </w:rPr>
        <w:t xml:space="preserve">&gt;10% missing data (call rate &lt; 0.90), </w:t>
      </w:r>
      <w:r w:rsidR="0082660A" w:rsidRPr="00894E04">
        <w:rPr>
          <w:rFonts w:ascii="Arial" w:hAnsi="Arial" w:cs="Arial"/>
          <w:sz w:val="22"/>
          <w:szCs w:val="22"/>
        </w:rPr>
        <w:t>markers with heterozygosity &gt; 10%</w:t>
      </w:r>
      <w:r w:rsidR="00AD285A" w:rsidRPr="00894E04">
        <w:rPr>
          <w:rFonts w:ascii="Arial" w:hAnsi="Arial" w:cs="Arial"/>
          <w:sz w:val="22"/>
          <w:szCs w:val="22"/>
        </w:rPr>
        <w:t>, and markers with minor allele frequency (MAF) &lt; 0.05</w:t>
      </w:r>
      <w:r w:rsidR="00056081" w:rsidRPr="00894E04">
        <w:rPr>
          <w:rFonts w:ascii="Arial" w:hAnsi="Arial" w:cs="Arial"/>
          <w:sz w:val="22"/>
          <w:szCs w:val="22"/>
        </w:rPr>
        <w:t xml:space="preserve">. </w:t>
      </w:r>
    </w:p>
    <w:p w14:paraId="79123C18" w14:textId="7523B365" w:rsidR="00BB23BF" w:rsidRPr="00894E04" w:rsidRDefault="00BB23BF" w:rsidP="00894E04">
      <w:pPr>
        <w:spacing w:line="240" w:lineRule="auto"/>
        <w:rPr>
          <w:rFonts w:ascii="Arial" w:hAnsi="Arial" w:cs="Arial"/>
          <w:sz w:val="22"/>
          <w:szCs w:val="22"/>
        </w:rPr>
      </w:pPr>
      <w:r w:rsidRPr="00894E04">
        <w:rPr>
          <w:rFonts w:ascii="Arial" w:hAnsi="Arial" w:cs="Arial"/>
          <w:sz w:val="22"/>
          <w:szCs w:val="22"/>
        </w:rPr>
        <w:t xml:space="preserve">After filtering, 4,145 high quality markers remained, which were used to construct a genomic relationship matrix (GRM) </w:t>
      </w:r>
      <w:r w:rsidR="00AE5E5C" w:rsidRPr="00894E04">
        <w:rPr>
          <w:rFonts w:ascii="Arial" w:hAnsi="Arial" w:cs="Arial"/>
          <w:sz w:val="22"/>
          <w:szCs w:val="22"/>
        </w:rPr>
        <w:t xml:space="preserve">according to the method of Zhang et al. (2010), which accommodates missing data through pairwise marker sharing and yields a positive semi-definite kernel suited for mixed model analyses. </w:t>
      </w:r>
      <w:r w:rsidR="00D47124" w:rsidRPr="00894E04">
        <w:rPr>
          <w:rFonts w:ascii="Arial" w:hAnsi="Arial" w:cs="Arial"/>
          <w:sz w:val="22"/>
          <w:szCs w:val="22"/>
        </w:rPr>
        <w:t xml:space="preserve">The resulting GRM underpinned all subsequent models of genetic similarity and genomic prediction. </w:t>
      </w:r>
    </w:p>
    <w:p w14:paraId="088467DC" w14:textId="1F65B030" w:rsidR="0019004F" w:rsidRPr="00894E04" w:rsidRDefault="0019004F" w:rsidP="00894E04">
      <w:pPr>
        <w:spacing w:line="240" w:lineRule="auto"/>
        <w:rPr>
          <w:rFonts w:ascii="Arial" w:hAnsi="Arial" w:cs="Arial"/>
          <w:i/>
          <w:iCs/>
          <w:sz w:val="22"/>
          <w:szCs w:val="22"/>
        </w:rPr>
      </w:pPr>
      <w:r w:rsidRPr="00894E04">
        <w:rPr>
          <w:rFonts w:ascii="Arial" w:hAnsi="Arial" w:cs="Arial"/>
          <w:i/>
          <w:iCs/>
          <w:sz w:val="22"/>
          <w:szCs w:val="22"/>
        </w:rPr>
        <w:t>Multi-Environment Trialing</w:t>
      </w:r>
    </w:p>
    <w:p w14:paraId="66638258" w14:textId="77777777" w:rsidR="0015757E" w:rsidRPr="00894E04" w:rsidRDefault="00690EA1" w:rsidP="00894E04">
      <w:pPr>
        <w:spacing w:line="240" w:lineRule="auto"/>
        <w:rPr>
          <w:rFonts w:ascii="Arial" w:hAnsi="Arial" w:cs="Arial"/>
          <w:sz w:val="22"/>
          <w:szCs w:val="22"/>
        </w:rPr>
      </w:pPr>
      <w:r w:rsidRPr="00894E04">
        <w:rPr>
          <w:rFonts w:ascii="Arial" w:hAnsi="Arial" w:cs="Arial"/>
          <w:sz w:val="22"/>
          <w:szCs w:val="22"/>
        </w:rPr>
        <w:t xml:space="preserve">The WILs were evaluated in six environments – three locations over three growing </w:t>
      </w:r>
      <w:r w:rsidR="00AF10E1" w:rsidRPr="00894E04">
        <w:rPr>
          <w:rFonts w:ascii="Arial" w:hAnsi="Arial" w:cs="Arial"/>
          <w:sz w:val="22"/>
          <w:szCs w:val="22"/>
        </w:rPr>
        <w:t xml:space="preserve">seasons (Table 1) – to capture a representative gradient of drought stress across Kansas. Field trials were laid out as a 50% partially replicated (p-rep) design, </w:t>
      </w:r>
      <w:r w:rsidR="00162A46" w:rsidRPr="00894E04">
        <w:rPr>
          <w:rFonts w:ascii="Arial" w:hAnsi="Arial" w:cs="Arial"/>
          <w:sz w:val="22"/>
          <w:szCs w:val="22"/>
        </w:rPr>
        <w:t>with the recurrent parent and standard performance checks included in ten complete replicates per site</w:t>
      </w:r>
      <w:r w:rsidR="0015757E" w:rsidRPr="00894E04">
        <w:rPr>
          <w:rFonts w:ascii="Arial" w:hAnsi="Arial" w:cs="Arial"/>
          <w:sz w:val="22"/>
          <w:szCs w:val="22"/>
        </w:rPr>
        <w:t xml:space="preserve"> (Figure 1)</w:t>
      </w:r>
      <w:r w:rsidR="00CA4938" w:rsidRPr="00894E04">
        <w:rPr>
          <w:rFonts w:ascii="Arial" w:hAnsi="Arial" w:cs="Arial"/>
          <w:sz w:val="22"/>
          <w:szCs w:val="22"/>
        </w:rPr>
        <w:t>.</w:t>
      </w:r>
    </w:p>
    <w:p w14:paraId="78CE410B" w14:textId="0DCEEE1B" w:rsidR="001B2D47" w:rsidRDefault="0015757E" w:rsidP="00894E04">
      <w:pPr>
        <w:spacing w:line="240" w:lineRule="auto"/>
        <w:rPr>
          <w:rFonts w:ascii="Arial" w:hAnsi="Arial" w:cs="Arial"/>
          <w:sz w:val="22"/>
          <w:szCs w:val="22"/>
        </w:rPr>
      </w:pPr>
      <w:r w:rsidRPr="00894E04">
        <w:rPr>
          <w:rFonts w:ascii="Arial" w:hAnsi="Arial" w:cs="Arial"/>
          <w:sz w:val="22"/>
          <w:szCs w:val="22"/>
        </w:rPr>
        <w:t>Phenotypic data consisted of grain yield (</w:t>
      </w:r>
      <w:r w:rsidR="00484A55" w:rsidRPr="00894E04">
        <w:rPr>
          <w:rFonts w:ascii="Arial" w:hAnsi="Arial" w:cs="Arial"/>
          <w:b/>
          <w:bCs/>
          <w:sz w:val="22"/>
          <w:szCs w:val="22"/>
        </w:rPr>
        <w:t>GY</w:t>
      </w:r>
      <w:r w:rsidR="00484A55" w:rsidRPr="00894E04">
        <w:rPr>
          <w:rFonts w:ascii="Arial" w:hAnsi="Arial" w:cs="Arial"/>
          <w:sz w:val="22"/>
          <w:szCs w:val="22"/>
        </w:rPr>
        <w:t>) at harvest in addition to other key yield component traits: plant height (</w:t>
      </w:r>
      <w:r w:rsidR="00484A55" w:rsidRPr="00894E04">
        <w:rPr>
          <w:rFonts w:ascii="Arial" w:hAnsi="Arial" w:cs="Arial"/>
          <w:b/>
          <w:bCs/>
          <w:sz w:val="22"/>
          <w:szCs w:val="22"/>
        </w:rPr>
        <w:t>PH</w:t>
      </w:r>
      <w:r w:rsidR="00484A55" w:rsidRPr="00894E04">
        <w:rPr>
          <w:rFonts w:ascii="Arial" w:hAnsi="Arial" w:cs="Arial"/>
          <w:sz w:val="22"/>
          <w:szCs w:val="22"/>
        </w:rPr>
        <w:t>) at physiological maturity</w:t>
      </w:r>
      <w:r w:rsidR="004733A9" w:rsidRPr="00894E04">
        <w:rPr>
          <w:rFonts w:ascii="Arial" w:hAnsi="Arial" w:cs="Arial"/>
          <w:sz w:val="22"/>
          <w:szCs w:val="22"/>
        </w:rPr>
        <w:t>; normalized difference vegetation index</w:t>
      </w:r>
      <w:r w:rsidR="00FA55F7" w:rsidRPr="00894E04">
        <w:rPr>
          <w:rFonts w:ascii="Arial" w:hAnsi="Arial" w:cs="Arial"/>
          <w:sz w:val="22"/>
          <w:szCs w:val="22"/>
        </w:rPr>
        <w:t xml:space="preserve"> (</w:t>
      </w:r>
      <w:r w:rsidR="00FA55F7" w:rsidRPr="00894E04">
        <w:rPr>
          <w:rFonts w:ascii="Arial" w:hAnsi="Arial" w:cs="Arial"/>
          <w:b/>
          <w:bCs/>
          <w:sz w:val="22"/>
          <w:szCs w:val="22"/>
        </w:rPr>
        <w:t>NDVI</w:t>
      </w:r>
      <w:r w:rsidR="00FA55F7" w:rsidRPr="00894E04">
        <w:rPr>
          <w:rFonts w:ascii="Arial" w:hAnsi="Arial" w:cs="Arial"/>
          <w:sz w:val="22"/>
          <w:szCs w:val="22"/>
        </w:rPr>
        <w:t>)</w:t>
      </w:r>
      <w:r w:rsidR="004733A9" w:rsidRPr="00894E04">
        <w:rPr>
          <w:rFonts w:ascii="Arial" w:hAnsi="Arial" w:cs="Arial"/>
          <w:sz w:val="22"/>
          <w:szCs w:val="22"/>
        </w:rPr>
        <w:t xml:space="preserve">, derived from </w:t>
      </w:r>
      <w:r w:rsidR="004733A9" w:rsidRPr="00894E04">
        <w:rPr>
          <w:rFonts w:ascii="Arial" w:hAnsi="Arial" w:cs="Arial"/>
          <w:sz w:val="22"/>
          <w:szCs w:val="22"/>
        </w:rPr>
        <w:lastRenderedPageBreak/>
        <w:t>near-infrared and red reflectance to assess canopy vigor;</w:t>
      </w:r>
      <w:r w:rsidR="00FA55F7" w:rsidRPr="00894E04">
        <w:rPr>
          <w:rFonts w:ascii="Arial" w:hAnsi="Arial" w:cs="Arial"/>
          <w:sz w:val="22"/>
          <w:szCs w:val="22"/>
        </w:rPr>
        <w:t xml:space="preserve"> green reflectance (</w:t>
      </w:r>
      <w:r w:rsidR="00FA55F7" w:rsidRPr="00894E04">
        <w:rPr>
          <w:rFonts w:ascii="Arial" w:hAnsi="Arial" w:cs="Arial"/>
          <w:b/>
          <w:bCs/>
          <w:sz w:val="22"/>
          <w:szCs w:val="22"/>
        </w:rPr>
        <w:t>GR</w:t>
      </w:r>
      <w:r w:rsidR="00FA55F7" w:rsidRPr="00894E04">
        <w:rPr>
          <w:rFonts w:ascii="Arial" w:hAnsi="Arial" w:cs="Arial"/>
          <w:sz w:val="22"/>
          <w:szCs w:val="22"/>
        </w:rPr>
        <w:t>)</w:t>
      </w:r>
      <w:r w:rsidRPr="00894E04">
        <w:rPr>
          <w:rFonts w:ascii="Arial" w:hAnsi="Arial" w:cs="Arial"/>
          <w:sz w:val="22"/>
          <w:szCs w:val="22"/>
        </w:rPr>
        <w:t xml:space="preserve"> </w:t>
      </w:r>
      <w:r w:rsidR="00FA55F7" w:rsidRPr="00894E04">
        <w:rPr>
          <w:rFonts w:ascii="Arial" w:hAnsi="Arial" w:cs="Arial"/>
          <w:sz w:val="22"/>
          <w:szCs w:val="22"/>
        </w:rPr>
        <w:t>as a proxy for chlorophyll content; senescence date (</w:t>
      </w:r>
      <w:r w:rsidR="00FA55F7" w:rsidRPr="00894E04">
        <w:rPr>
          <w:rFonts w:ascii="Arial" w:hAnsi="Arial" w:cs="Arial"/>
          <w:b/>
          <w:bCs/>
          <w:sz w:val="22"/>
          <w:szCs w:val="22"/>
        </w:rPr>
        <w:t>SD</w:t>
      </w:r>
      <w:r w:rsidR="00FA55F7" w:rsidRPr="00894E04">
        <w:rPr>
          <w:rFonts w:ascii="Arial" w:hAnsi="Arial" w:cs="Arial"/>
          <w:sz w:val="22"/>
          <w:szCs w:val="22"/>
        </w:rPr>
        <w:t>), scored when approximately 80% of tillers had lost green peduncle tissue; thousand kernel weight (</w:t>
      </w:r>
      <w:r w:rsidR="00FA55F7" w:rsidRPr="00894E04">
        <w:rPr>
          <w:rFonts w:ascii="Arial" w:hAnsi="Arial" w:cs="Arial"/>
          <w:b/>
          <w:bCs/>
          <w:sz w:val="22"/>
          <w:szCs w:val="22"/>
        </w:rPr>
        <w:t>TKW</w:t>
      </w:r>
      <w:r w:rsidR="00FA55F7" w:rsidRPr="00894E04">
        <w:rPr>
          <w:rFonts w:ascii="Arial" w:hAnsi="Arial" w:cs="Arial"/>
          <w:sz w:val="22"/>
          <w:szCs w:val="22"/>
        </w:rPr>
        <w:t>), measured via a Marvin kernel analyzer; and test weight (</w:t>
      </w:r>
      <w:r w:rsidR="00FA55F7" w:rsidRPr="00894E04">
        <w:rPr>
          <w:rFonts w:ascii="Arial" w:hAnsi="Arial" w:cs="Arial"/>
          <w:b/>
          <w:bCs/>
          <w:sz w:val="22"/>
          <w:szCs w:val="22"/>
        </w:rPr>
        <w:t>TW</w:t>
      </w:r>
      <w:r w:rsidR="00FA55F7" w:rsidRPr="00894E04">
        <w:rPr>
          <w:rFonts w:ascii="Arial" w:hAnsi="Arial" w:cs="Arial"/>
          <w:sz w:val="22"/>
          <w:szCs w:val="22"/>
        </w:rPr>
        <w:t xml:space="preserve">), determined gravimetrically using a Perten IM9500 instrument. </w:t>
      </w:r>
    </w:p>
    <w:p w14:paraId="745CC258" w14:textId="77777777" w:rsidR="00AE70AB" w:rsidRPr="000C66BE" w:rsidRDefault="00AE70AB" w:rsidP="00AE70AB">
      <w:pPr>
        <w:rPr>
          <w:rFonts w:ascii="Arial" w:hAnsi="Arial" w:cs="Arial"/>
          <w:sz w:val="22"/>
          <w:szCs w:val="22"/>
        </w:rPr>
      </w:pPr>
      <w:r>
        <w:rPr>
          <w:rFonts w:ascii="Arial" w:hAnsi="Arial" w:cs="Arial"/>
          <w:b/>
          <w:bCs/>
          <w:sz w:val="16"/>
          <w:szCs w:val="16"/>
        </w:rPr>
        <w:t xml:space="preserve">Table 1. </w:t>
      </w:r>
      <w:r>
        <w:rPr>
          <w:rFonts w:ascii="Arial" w:hAnsi="Arial" w:cs="Arial"/>
          <w:sz w:val="16"/>
          <w:szCs w:val="16"/>
        </w:rPr>
        <w:t xml:space="preserve">Phenotypic testing environments for wild introgression lines (WILs) by county and growing season. Environments with successful data collection are indicated by an “X.” </w:t>
      </w:r>
    </w:p>
    <w:tbl>
      <w:tblPr>
        <w:tblW w:w="5595" w:type="dxa"/>
        <w:jc w:val="center"/>
        <w:tblLook w:val="04A0" w:firstRow="1" w:lastRow="0" w:firstColumn="1" w:lastColumn="0" w:noHBand="0" w:noVBand="1"/>
      </w:tblPr>
      <w:tblGrid>
        <w:gridCol w:w="1568"/>
        <w:gridCol w:w="1230"/>
        <w:gridCol w:w="1283"/>
        <w:gridCol w:w="1514"/>
      </w:tblGrid>
      <w:tr w:rsidR="00AE70AB" w:rsidRPr="004F420F" w14:paraId="31EBA833" w14:textId="77777777" w:rsidTr="00E47645">
        <w:trPr>
          <w:trHeight w:val="300"/>
          <w:jc w:val="center"/>
        </w:trPr>
        <w:tc>
          <w:tcPr>
            <w:tcW w:w="1568" w:type="dxa"/>
            <w:vMerge w:val="restart"/>
            <w:tcBorders>
              <w:top w:val="single" w:sz="4" w:space="0" w:color="auto"/>
              <w:left w:val="nil"/>
              <w:bottom w:val="single" w:sz="4" w:space="0" w:color="000000"/>
              <w:right w:val="nil"/>
            </w:tcBorders>
            <w:noWrap/>
            <w:vAlign w:val="center"/>
            <w:hideMark/>
          </w:tcPr>
          <w:p w14:paraId="2598AAEC" w14:textId="77777777" w:rsidR="00AE70AB" w:rsidRPr="004F420F" w:rsidRDefault="00AE70AB" w:rsidP="00E47645">
            <w:pPr>
              <w:spacing w:after="0" w:line="240" w:lineRule="auto"/>
              <w:jc w:val="center"/>
              <w:rPr>
                <w:rFonts w:ascii="Arial" w:eastAsia="Times New Roman" w:hAnsi="Arial" w:cs="Arial"/>
                <w:b/>
                <w:bCs/>
                <w:color w:val="000000"/>
                <w:kern w:val="0"/>
                <w:sz w:val="16"/>
                <w:szCs w:val="16"/>
                <w14:ligatures w14:val="none"/>
              </w:rPr>
            </w:pPr>
            <w:r w:rsidRPr="004F420F">
              <w:rPr>
                <w:rFonts w:ascii="Arial" w:eastAsia="Times New Roman" w:hAnsi="Arial" w:cs="Arial"/>
                <w:b/>
                <w:bCs/>
                <w:color w:val="000000"/>
                <w:kern w:val="0"/>
                <w:sz w:val="16"/>
                <w:szCs w:val="16"/>
                <w14:ligatures w14:val="none"/>
              </w:rPr>
              <w:t>Growing Season</w:t>
            </w:r>
          </w:p>
        </w:tc>
        <w:tc>
          <w:tcPr>
            <w:tcW w:w="4027" w:type="dxa"/>
            <w:gridSpan w:val="3"/>
            <w:tcBorders>
              <w:top w:val="single" w:sz="4" w:space="0" w:color="auto"/>
              <w:left w:val="nil"/>
              <w:bottom w:val="single" w:sz="4" w:space="0" w:color="auto"/>
              <w:right w:val="nil"/>
            </w:tcBorders>
            <w:noWrap/>
            <w:vAlign w:val="bottom"/>
            <w:hideMark/>
          </w:tcPr>
          <w:p w14:paraId="6CE1EA6F" w14:textId="77777777" w:rsidR="00AE70AB" w:rsidRPr="004F420F" w:rsidRDefault="00AE70AB" w:rsidP="00E47645">
            <w:pPr>
              <w:spacing w:after="0" w:line="240" w:lineRule="auto"/>
              <w:jc w:val="center"/>
              <w:rPr>
                <w:rFonts w:ascii="Arial" w:eastAsia="Times New Roman" w:hAnsi="Arial" w:cs="Arial"/>
                <w:b/>
                <w:bCs/>
                <w:color w:val="000000"/>
                <w:kern w:val="0"/>
                <w:sz w:val="16"/>
                <w:szCs w:val="16"/>
                <w14:ligatures w14:val="none"/>
              </w:rPr>
            </w:pPr>
            <w:r w:rsidRPr="004F420F">
              <w:rPr>
                <w:rFonts w:ascii="Arial" w:eastAsia="Times New Roman" w:hAnsi="Arial" w:cs="Arial"/>
                <w:b/>
                <w:bCs/>
                <w:color w:val="000000"/>
                <w:kern w:val="0"/>
                <w:sz w:val="16"/>
                <w:szCs w:val="16"/>
                <w14:ligatures w14:val="none"/>
              </w:rPr>
              <w:t>Environment</w:t>
            </w:r>
          </w:p>
        </w:tc>
      </w:tr>
      <w:tr w:rsidR="00AE70AB" w:rsidRPr="004F420F" w14:paraId="17AE1859" w14:textId="77777777" w:rsidTr="00E47645">
        <w:trPr>
          <w:trHeight w:val="300"/>
          <w:jc w:val="center"/>
        </w:trPr>
        <w:tc>
          <w:tcPr>
            <w:tcW w:w="1568" w:type="dxa"/>
            <w:vMerge/>
            <w:tcBorders>
              <w:top w:val="single" w:sz="4" w:space="0" w:color="auto"/>
              <w:left w:val="nil"/>
              <w:bottom w:val="single" w:sz="4" w:space="0" w:color="000000"/>
              <w:right w:val="nil"/>
            </w:tcBorders>
            <w:vAlign w:val="center"/>
            <w:hideMark/>
          </w:tcPr>
          <w:p w14:paraId="38A07A61" w14:textId="77777777" w:rsidR="00AE70AB" w:rsidRPr="004F420F" w:rsidRDefault="00AE70AB" w:rsidP="00E47645">
            <w:pPr>
              <w:spacing w:after="0" w:line="240" w:lineRule="auto"/>
              <w:rPr>
                <w:rFonts w:ascii="Arial" w:eastAsia="Times New Roman" w:hAnsi="Arial" w:cs="Arial"/>
                <w:b/>
                <w:bCs/>
                <w:color w:val="000000"/>
                <w:kern w:val="0"/>
                <w:sz w:val="16"/>
                <w:szCs w:val="16"/>
                <w14:ligatures w14:val="none"/>
              </w:rPr>
            </w:pPr>
          </w:p>
        </w:tc>
        <w:tc>
          <w:tcPr>
            <w:tcW w:w="1230" w:type="dxa"/>
            <w:tcBorders>
              <w:top w:val="nil"/>
              <w:left w:val="nil"/>
              <w:bottom w:val="single" w:sz="4" w:space="0" w:color="auto"/>
              <w:right w:val="nil"/>
            </w:tcBorders>
            <w:noWrap/>
            <w:vAlign w:val="bottom"/>
            <w:hideMark/>
          </w:tcPr>
          <w:p w14:paraId="7F83AA82" w14:textId="77777777" w:rsidR="00AE70AB" w:rsidRPr="004F420F" w:rsidRDefault="00AE70AB" w:rsidP="00E47645">
            <w:pPr>
              <w:spacing w:after="0" w:line="240" w:lineRule="auto"/>
              <w:jc w:val="center"/>
              <w:rPr>
                <w:rFonts w:ascii="Arial" w:eastAsia="Times New Roman" w:hAnsi="Arial" w:cs="Arial"/>
                <w:b/>
                <w:bCs/>
                <w:color w:val="000000"/>
                <w:kern w:val="0"/>
                <w:sz w:val="16"/>
                <w:szCs w:val="16"/>
                <w14:ligatures w14:val="none"/>
              </w:rPr>
            </w:pPr>
            <w:r w:rsidRPr="004F420F">
              <w:rPr>
                <w:rFonts w:ascii="Arial" w:eastAsia="Times New Roman" w:hAnsi="Arial" w:cs="Arial"/>
                <w:b/>
                <w:bCs/>
                <w:color w:val="000000"/>
                <w:kern w:val="0"/>
                <w:sz w:val="16"/>
                <w:szCs w:val="16"/>
                <w14:ligatures w14:val="none"/>
              </w:rPr>
              <w:t>Ellis County</w:t>
            </w:r>
          </w:p>
        </w:tc>
        <w:tc>
          <w:tcPr>
            <w:tcW w:w="1283" w:type="dxa"/>
            <w:tcBorders>
              <w:top w:val="nil"/>
              <w:left w:val="nil"/>
              <w:bottom w:val="single" w:sz="4" w:space="0" w:color="auto"/>
              <w:right w:val="nil"/>
            </w:tcBorders>
            <w:noWrap/>
            <w:vAlign w:val="bottom"/>
            <w:hideMark/>
          </w:tcPr>
          <w:p w14:paraId="7931442B" w14:textId="77777777" w:rsidR="00AE70AB" w:rsidRPr="004F420F" w:rsidRDefault="00AE70AB" w:rsidP="00E47645">
            <w:pPr>
              <w:spacing w:after="0" w:line="240" w:lineRule="auto"/>
              <w:jc w:val="center"/>
              <w:rPr>
                <w:rFonts w:ascii="Arial" w:eastAsia="Times New Roman" w:hAnsi="Arial" w:cs="Arial"/>
                <w:b/>
                <w:bCs/>
                <w:color w:val="000000"/>
                <w:kern w:val="0"/>
                <w:sz w:val="16"/>
                <w:szCs w:val="16"/>
                <w14:ligatures w14:val="none"/>
              </w:rPr>
            </w:pPr>
            <w:r w:rsidRPr="004F420F">
              <w:rPr>
                <w:rFonts w:ascii="Arial" w:eastAsia="Times New Roman" w:hAnsi="Arial" w:cs="Arial"/>
                <w:b/>
                <w:bCs/>
                <w:color w:val="000000"/>
                <w:kern w:val="0"/>
                <w:sz w:val="16"/>
                <w:szCs w:val="16"/>
                <w14:ligatures w14:val="none"/>
              </w:rPr>
              <w:t>Riley County</w:t>
            </w:r>
          </w:p>
        </w:tc>
        <w:tc>
          <w:tcPr>
            <w:tcW w:w="1514" w:type="dxa"/>
            <w:tcBorders>
              <w:top w:val="nil"/>
              <w:left w:val="nil"/>
              <w:bottom w:val="single" w:sz="4" w:space="0" w:color="auto"/>
              <w:right w:val="nil"/>
            </w:tcBorders>
            <w:noWrap/>
            <w:vAlign w:val="bottom"/>
            <w:hideMark/>
          </w:tcPr>
          <w:p w14:paraId="72112B11" w14:textId="77777777" w:rsidR="00AE70AB" w:rsidRPr="004F420F" w:rsidRDefault="00AE70AB" w:rsidP="00E47645">
            <w:pPr>
              <w:spacing w:after="0" w:line="240" w:lineRule="auto"/>
              <w:jc w:val="center"/>
              <w:rPr>
                <w:rFonts w:ascii="Arial" w:eastAsia="Times New Roman" w:hAnsi="Arial" w:cs="Arial"/>
                <w:b/>
                <w:bCs/>
                <w:color w:val="000000"/>
                <w:kern w:val="0"/>
                <w:sz w:val="16"/>
                <w:szCs w:val="16"/>
                <w14:ligatures w14:val="none"/>
              </w:rPr>
            </w:pPr>
            <w:r w:rsidRPr="004F420F">
              <w:rPr>
                <w:rFonts w:ascii="Arial" w:eastAsia="Times New Roman" w:hAnsi="Arial" w:cs="Arial"/>
                <w:b/>
                <w:bCs/>
                <w:color w:val="000000"/>
                <w:kern w:val="0"/>
                <w:sz w:val="16"/>
                <w:szCs w:val="16"/>
                <w14:ligatures w14:val="none"/>
              </w:rPr>
              <w:t>Thomas County</w:t>
            </w:r>
          </w:p>
        </w:tc>
      </w:tr>
      <w:tr w:rsidR="00AE70AB" w:rsidRPr="004F420F" w14:paraId="7F8DCEEF" w14:textId="77777777" w:rsidTr="00E47645">
        <w:trPr>
          <w:trHeight w:val="300"/>
          <w:jc w:val="center"/>
        </w:trPr>
        <w:tc>
          <w:tcPr>
            <w:tcW w:w="1568" w:type="dxa"/>
            <w:tcBorders>
              <w:top w:val="nil"/>
              <w:left w:val="nil"/>
              <w:bottom w:val="nil"/>
              <w:right w:val="nil"/>
            </w:tcBorders>
            <w:noWrap/>
            <w:vAlign w:val="bottom"/>
            <w:hideMark/>
          </w:tcPr>
          <w:p w14:paraId="0CE8DAD6" w14:textId="77777777" w:rsidR="00AE70AB" w:rsidRPr="004F420F" w:rsidRDefault="00AE70AB" w:rsidP="00E47645">
            <w:pPr>
              <w:spacing w:after="0" w:line="240" w:lineRule="auto"/>
              <w:jc w:val="center"/>
              <w:rPr>
                <w:rFonts w:ascii="Arial" w:eastAsia="Times New Roman" w:hAnsi="Arial" w:cs="Arial"/>
                <w:color w:val="000000"/>
                <w:kern w:val="0"/>
                <w:sz w:val="16"/>
                <w:szCs w:val="16"/>
                <w14:ligatures w14:val="none"/>
              </w:rPr>
            </w:pPr>
            <w:r w:rsidRPr="004F420F">
              <w:rPr>
                <w:rFonts w:ascii="Arial" w:eastAsia="Times New Roman" w:hAnsi="Arial" w:cs="Arial"/>
                <w:color w:val="000000"/>
                <w:kern w:val="0"/>
                <w:sz w:val="16"/>
                <w:szCs w:val="16"/>
                <w14:ligatures w14:val="none"/>
              </w:rPr>
              <w:t>2020-2021</w:t>
            </w:r>
          </w:p>
        </w:tc>
        <w:tc>
          <w:tcPr>
            <w:tcW w:w="1230" w:type="dxa"/>
            <w:tcBorders>
              <w:top w:val="nil"/>
              <w:left w:val="nil"/>
              <w:bottom w:val="nil"/>
              <w:right w:val="nil"/>
            </w:tcBorders>
            <w:noWrap/>
            <w:vAlign w:val="bottom"/>
            <w:hideMark/>
          </w:tcPr>
          <w:p w14:paraId="5C2008AD" w14:textId="77777777" w:rsidR="00AE70AB" w:rsidRPr="004F420F" w:rsidRDefault="00AE70AB" w:rsidP="00E47645">
            <w:pPr>
              <w:spacing w:after="0" w:line="240" w:lineRule="auto"/>
              <w:jc w:val="center"/>
              <w:rPr>
                <w:rFonts w:ascii="Arial" w:eastAsia="Times New Roman" w:hAnsi="Arial" w:cs="Arial"/>
                <w:b/>
                <w:bCs/>
                <w:color w:val="000000"/>
                <w:kern w:val="0"/>
                <w:sz w:val="16"/>
                <w:szCs w:val="16"/>
                <w14:ligatures w14:val="none"/>
              </w:rPr>
            </w:pPr>
          </w:p>
        </w:tc>
        <w:tc>
          <w:tcPr>
            <w:tcW w:w="1283" w:type="dxa"/>
            <w:tcBorders>
              <w:top w:val="nil"/>
              <w:left w:val="nil"/>
              <w:bottom w:val="nil"/>
              <w:right w:val="nil"/>
            </w:tcBorders>
            <w:noWrap/>
            <w:vAlign w:val="bottom"/>
            <w:hideMark/>
          </w:tcPr>
          <w:p w14:paraId="53F9B2E2" w14:textId="77777777" w:rsidR="00AE70AB" w:rsidRPr="004F420F" w:rsidRDefault="00AE70AB" w:rsidP="00E47645">
            <w:pPr>
              <w:spacing w:after="0" w:line="240" w:lineRule="auto"/>
              <w:jc w:val="center"/>
              <w:rPr>
                <w:rFonts w:ascii="Arial" w:eastAsia="Times New Roman" w:hAnsi="Arial" w:cs="Arial"/>
                <w:kern w:val="0"/>
                <w:sz w:val="16"/>
                <w:szCs w:val="16"/>
                <w14:ligatures w14:val="none"/>
              </w:rPr>
            </w:pPr>
          </w:p>
        </w:tc>
        <w:tc>
          <w:tcPr>
            <w:tcW w:w="1514" w:type="dxa"/>
            <w:tcBorders>
              <w:top w:val="nil"/>
              <w:left w:val="nil"/>
              <w:bottom w:val="nil"/>
              <w:right w:val="nil"/>
            </w:tcBorders>
            <w:noWrap/>
            <w:vAlign w:val="bottom"/>
            <w:hideMark/>
          </w:tcPr>
          <w:p w14:paraId="2D50605E" w14:textId="77777777" w:rsidR="00AE70AB" w:rsidRPr="004F420F" w:rsidRDefault="00AE70AB" w:rsidP="00E47645">
            <w:pPr>
              <w:spacing w:after="0" w:line="240" w:lineRule="auto"/>
              <w:jc w:val="center"/>
              <w:rPr>
                <w:rFonts w:ascii="Arial" w:eastAsia="Times New Roman" w:hAnsi="Arial" w:cs="Arial"/>
                <w:color w:val="000000"/>
                <w:kern w:val="0"/>
                <w:sz w:val="16"/>
                <w:szCs w:val="16"/>
                <w14:ligatures w14:val="none"/>
              </w:rPr>
            </w:pPr>
            <w:r w:rsidRPr="004F420F">
              <w:rPr>
                <w:rFonts w:ascii="Arial" w:eastAsia="Times New Roman" w:hAnsi="Arial" w:cs="Arial"/>
                <w:color w:val="000000"/>
                <w:kern w:val="0"/>
                <w:sz w:val="16"/>
                <w:szCs w:val="16"/>
                <w14:ligatures w14:val="none"/>
              </w:rPr>
              <w:t>X</w:t>
            </w:r>
          </w:p>
        </w:tc>
      </w:tr>
      <w:tr w:rsidR="00AE70AB" w:rsidRPr="004F420F" w14:paraId="2C080F6E" w14:textId="77777777" w:rsidTr="00E47645">
        <w:trPr>
          <w:trHeight w:val="300"/>
          <w:jc w:val="center"/>
        </w:trPr>
        <w:tc>
          <w:tcPr>
            <w:tcW w:w="1568" w:type="dxa"/>
            <w:tcBorders>
              <w:top w:val="nil"/>
              <w:left w:val="nil"/>
              <w:bottom w:val="nil"/>
              <w:right w:val="nil"/>
            </w:tcBorders>
            <w:noWrap/>
            <w:vAlign w:val="bottom"/>
            <w:hideMark/>
          </w:tcPr>
          <w:p w14:paraId="7E48B064" w14:textId="77777777" w:rsidR="00AE70AB" w:rsidRPr="004F420F" w:rsidRDefault="00AE70AB" w:rsidP="00E47645">
            <w:pPr>
              <w:spacing w:after="0" w:line="240" w:lineRule="auto"/>
              <w:jc w:val="center"/>
              <w:rPr>
                <w:rFonts w:ascii="Arial" w:eastAsia="Times New Roman" w:hAnsi="Arial" w:cs="Arial"/>
                <w:color w:val="000000"/>
                <w:kern w:val="0"/>
                <w:sz w:val="16"/>
                <w:szCs w:val="16"/>
                <w14:ligatures w14:val="none"/>
              </w:rPr>
            </w:pPr>
            <w:r w:rsidRPr="004F420F">
              <w:rPr>
                <w:rFonts w:ascii="Arial" w:eastAsia="Times New Roman" w:hAnsi="Arial" w:cs="Arial"/>
                <w:color w:val="000000"/>
                <w:kern w:val="0"/>
                <w:sz w:val="16"/>
                <w:szCs w:val="16"/>
                <w14:ligatures w14:val="none"/>
              </w:rPr>
              <w:t>2021-2022</w:t>
            </w:r>
          </w:p>
        </w:tc>
        <w:tc>
          <w:tcPr>
            <w:tcW w:w="1230" w:type="dxa"/>
            <w:tcBorders>
              <w:top w:val="nil"/>
              <w:left w:val="nil"/>
              <w:bottom w:val="nil"/>
              <w:right w:val="nil"/>
            </w:tcBorders>
            <w:noWrap/>
            <w:vAlign w:val="bottom"/>
            <w:hideMark/>
          </w:tcPr>
          <w:p w14:paraId="45A3D90D" w14:textId="77777777" w:rsidR="00AE70AB" w:rsidRPr="004F420F" w:rsidRDefault="00AE70AB" w:rsidP="00E47645">
            <w:pPr>
              <w:spacing w:after="0" w:line="240" w:lineRule="auto"/>
              <w:jc w:val="center"/>
              <w:rPr>
                <w:rFonts w:ascii="Arial" w:eastAsia="Times New Roman" w:hAnsi="Arial" w:cs="Arial"/>
                <w:color w:val="000000"/>
                <w:kern w:val="0"/>
                <w:sz w:val="16"/>
                <w:szCs w:val="16"/>
                <w14:ligatures w14:val="none"/>
              </w:rPr>
            </w:pPr>
            <w:r w:rsidRPr="004F420F">
              <w:rPr>
                <w:rFonts w:ascii="Arial" w:eastAsia="Times New Roman" w:hAnsi="Arial" w:cs="Arial"/>
                <w:color w:val="000000"/>
                <w:kern w:val="0"/>
                <w:sz w:val="16"/>
                <w:szCs w:val="16"/>
                <w14:ligatures w14:val="none"/>
              </w:rPr>
              <w:t>X</w:t>
            </w:r>
          </w:p>
        </w:tc>
        <w:tc>
          <w:tcPr>
            <w:tcW w:w="1283" w:type="dxa"/>
            <w:tcBorders>
              <w:top w:val="nil"/>
              <w:left w:val="nil"/>
              <w:bottom w:val="nil"/>
              <w:right w:val="nil"/>
            </w:tcBorders>
            <w:noWrap/>
            <w:vAlign w:val="bottom"/>
            <w:hideMark/>
          </w:tcPr>
          <w:p w14:paraId="39CA90C7" w14:textId="77777777" w:rsidR="00AE70AB" w:rsidRPr="004F420F" w:rsidRDefault="00AE70AB" w:rsidP="00E47645">
            <w:pPr>
              <w:spacing w:after="0" w:line="240" w:lineRule="auto"/>
              <w:jc w:val="center"/>
              <w:rPr>
                <w:rFonts w:ascii="Arial" w:eastAsia="Times New Roman" w:hAnsi="Arial" w:cs="Arial"/>
                <w:color w:val="000000"/>
                <w:kern w:val="0"/>
                <w:sz w:val="16"/>
                <w:szCs w:val="16"/>
                <w14:ligatures w14:val="none"/>
              </w:rPr>
            </w:pPr>
            <w:r w:rsidRPr="004F420F">
              <w:rPr>
                <w:rFonts w:ascii="Arial" w:eastAsia="Times New Roman" w:hAnsi="Arial" w:cs="Arial"/>
                <w:color w:val="000000"/>
                <w:kern w:val="0"/>
                <w:sz w:val="16"/>
                <w:szCs w:val="16"/>
                <w14:ligatures w14:val="none"/>
              </w:rPr>
              <w:t>X</w:t>
            </w:r>
          </w:p>
        </w:tc>
        <w:tc>
          <w:tcPr>
            <w:tcW w:w="1514" w:type="dxa"/>
            <w:tcBorders>
              <w:top w:val="nil"/>
              <w:left w:val="nil"/>
              <w:bottom w:val="nil"/>
              <w:right w:val="nil"/>
            </w:tcBorders>
            <w:noWrap/>
            <w:vAlign w:val="bottom"/>
            <w:hideMark/>
          </w:tcPr>
          <w:p w14:paraId="2B20FFF4" w14:textId="77777777" w:rsidR="00AE70AB" w:rsidRPr="004F420F" w:rsidRDefault="00AE70AB" w:rsidP="00E47645">
            <w:pPr>
              <w:spacing w:after="0" w:line="240" w:lineRule="auto"/>
              <w:jc w:val="center"/>
              <w:rPr>
                <w:rFonts w:ascii="Arial" w:eastAsia="Times New Roman" w:hAnsi="Arial" w:cs="Arial"/>
                <w:color w:val="000000"/>
                <w:kern w:val="0"/>
                <w:sz w:val="16"/>
                <w:szCs w:val="16"/>
                <w14:ligatures w14:val="none"/>
              </w:rPr>
            </w:pPr>
            <w:r w:rsidRPr="004F420F">
              <w:rPr>
                <w:rFonts w:ascii="Arial" w:eastAsia="Times New Roman" w:hAnsi="Arial" w:cs="Arial"/>
                <w:color w:val="000000"/>
                <w:kern w:val="0"/>
                <w:sz w:val="16"/>
                <w:szCs w:val="16"/>
                <w14:ligatures w14:val="none"/>
              </w:rPr>
              <w:t>X</w:t>
            </w:r>
          </w:p>
        </w:tc>
      </w:tr>
      <w:tr w:rsidR="00AE70AB" w:rsidRPr="004F420F" w14:paraId="49B3A672" w14:textId="77777777" w:rsidTr="00E47645">
        <w:trPr>
          <w:trHeight w:val="300"/>
          <w:jc w:val="center"/>
        </w:trPr>
        <w:tc>
          <w:tcPr>
            <w:tcW w:w="1568" w:type="dxa"/>
            <w:tcBorders>
              <w:top w:val="nil"/>
              <w:left w:val="nil"/>
              <w:bottom w:val="single" w:sz="4" w:space="0" w:color="auto"/>
              <w:right w:val="nil"/>
            </w:tcBorders>
            <w:noWrap/>
            <w:vAlign w:val="bottom"/>
            <w:hideMark/>
          </w:tcPr>
          <w:p w14:paraId="4C44B5FE" w14:textId="77777777" w:rsidR="00AE70AB" w:rsidRPr="004F420F" w:rsidRDefault="00AE70AB" w:rsidP="00E47645">
            <w:pPr>
              <w:spacing w:after="0" w:line="240" w:lineRule="auto"/>
              <w:jc w:val="center"/>
              <w:rPr>
                <w:rFonts w:ascii="Arial" w:eastAsia="Times New Roman" w:hAnsi="Arial" w:cs="Arial"/>
                <w:color w:val="000000"/>
                <w:kern w:val="0"/>
                <w:sz w:val="16"/>
                <w:szCs w:val="16"/>
                <w14:ligatures w14:val="none"/>
              </w:rPr>
            </w:pPr>
            <w:r w:rsidRPr="004F420F">
              <w:rPr>
                <w:rFonts w:ascii="Arial" w:eastAsia="Times New Roman" w:hAnsi="Arial" w:cs="Arial"/>
                <w:color w:val="000000"/>
                <w:kern w:val="0"/>
                <w:sz w:val="16"/>
                <w:szCs w:val="16"/>
                <w14:ligatures w14:val="none"/>
              </w:rPr>
              <w:t>2022-2023</w:t>
            </w:r>
          </w:p>
        </w:tc>
        <w:tc>
          <w:tcPr>
            <w:tcW w:w="1230" w:type="dxa"/>
            <w:tcBorders>
              <w:top w:val="nil"/>
              <w:left w:val="nil"/>
              <w:bottom w:val="single" w:sz="4" w:space="0" w:color="auto"/>
              <w:right w:val="nil"/>
            </w:tcBorders>
            <w:noWrap/>
            <w:vAlign w:val="bottom"/>
            <w:hideMark/>
          </w:tcPr>
          <w:p w14:paraId="0306B29C" w14:textId="77777777" w:rsidR="00AE70AB" w:rsidRPr="004F420F" w:rsidRDefault="00AE70AB" w:rsidP="00E47645">
            <w:pPr>
              <w:spacing w:after="0" w:line="240" w:lineRule="auto"/>
              <w:jc w:val="center"/>
              <w:rPr>
                <w:rFonts w:ascii="Arial" w:eastAsia="Times New Roman" w:hAnsi="Arial" w:cs="Arial"/>
                <w:color w:val="000000"/>
                <w:kern w:val="0"/>
                <w:sz w:val="16"/>
                <w:szCs w:val="16"/>
                <w14:ligatures w14:val="none"/>
              </w:rPr>
            </w:pPr>
            <w:r w:rsidRPr="004F420F">
              <w:rPr>
                <w:rFonts w:ascii="Arial" w:eastAsia="Times New Roman" w:hAnsi="Arial" w:cs="Arial"/>
                <w:color w:val="000000"/>
                <w:kern w:val="0"/>
                <w:sz w:val="16"/>
                <w:szCs w:val="16"/>
                <w14:ligatures w14:val="none"/>
              </w:rPr>
              <w:t> </w:t>
            </w:r>
          </w:p>
        </w:tc>
        <w:tc>
          <w:tcPr>
            <w:tcW w:w="1283" w:type="dxa"/>
            <w:tcBorders>
              <w:top w:val="nil"/>
              <w:left w:val="nil"/>
              <w:bottom w:val="single" w:sz="4" w:space="0" w:color="auto"/>
              <w:right w:val="nil"/>
            </w:tcBorders>
            <w:noWrap/>
            <w:vAlign w:val="bottom"/>
            <w:hideMark/>
          </w:tcPr>
          <w:p w14:paraId="32FEBC47" w14:textId="77777777" w:rsidR="00AE70AB" w:rsidRPr="004F420F" w:rsidRDefault="00AE70AB" w:rsidP="00E47645">
            <w:pPr>
              <w:spacing w:after="0" w:line="240" w:lineRule="auto"/>
              <w:jc w:val="center"/>
              <w:rPr>
                <w:rFonts w:ascii="Arial" w:eastAsia="Times New Roman" w:hAnsi="Arial" w:cs="Arial"/>
                <w:color w:val="000000"/>
                <w:kern w:val="0"/>
                <w:sz w:val="16"/>
                <w:szCs w:val="16"/>
                <w14:ligatures w14:val="none"/>
              </w:rPr>
            </w:pPr>
            <w:r w:rsidRPr="004F420F">
              <w:rPr>
                <w:rFonts w:ascii="Arial" w:eastAsia="Times New Roman" w:hAnsi="Arial" w:cs="Arial"/>
                <w:color w:val="000000"/>
                <w:kern w:val="0"/>
                <w:sz w:val="16"/>
                <w:szCs w:val="16"/>
                <w14:ligatures w14:val="none"/>
              </w:rPr>
              <w:t>X</w:t>
            </w:r>
          </w:p>
        </w:tc>
        <w:tc>
          <w:tcPr>
            <w:tcW w:w="1514" w:type="dxa"/>
            <w:tcBorders>
              <w:top w:val="nil"/>
              <w:left w:val="nil"/>
              <w:bottom w:val="single" w:sz="4" w:space="0" w:color="auto"/>
              <w:right w:val="nil"/>
            </w:tcBorders>
            <w:noWrap/>
            <w:vAlign w:val="bottom"/>
            <w:hideMark/>
          </w:tcPr>
          <w:p w14:paraId="7189ACB6" w14:textId="77777777" w:rsidR="00AE70AB" w:rsidRPr="004F420F" w:rsidRDefault="00AE70AB" w:rsidP="00E47645">
            <w:pPr>
              <w:spacing w:after="0" w:line="240" w:lineRule="auto"/>
              <w:jc w:val="center"/>
              <w:rPr>
                <w:rFonts w:ascii="Arial" w:eastAsia="Times New Roman" w:hAnsi="Arial" w:cs="Arial"/>
                <w:color w:val="000000"/>
                <w:kern w:val="0"/>
                <w:sz w:val="16"/>
                <w:szCs w:val="16"/>
                <w14:ligatures w14:val="none"/>
              </w:rPr>
            </w:pPr>
            <w:r w:rsidRPr="004F420F">
              <w:rPr>
                <w:rFonts w:ascii="Arial" w:eastAsia="Times New Roman" w:hAnsi="Arial" w:cs="Arial"/>
                <w:color w:val="000000"/>
                <w:kern w:val="0"/>
                <w:sz w:val="16"/>
                <w:szCs w:val="16"/>
                <w14:ligatures w14:val="none"/>
              </w:rPr>
              <w:t>X</w:t>
            </w:r>
          </w:p>
        </w:tc>
      </w:tr>
    </w:tbl>
    <w:p w14:paraId="1D84F324" w14:textId="77777777" w:rsidR="005067A0" w:rsidRDefault="005067A0" w:rsidP="00957D54">
      <w:pPr>
        <w:rPr>
          <w:rFonts w:ascii="Arial" w:hAnsi="Arial" w:cs="Arial"/>
          <w:sz w:val="22"/>
          <w:szCs w:val="22"/>
        </w:rPr>
      </w:pPr>
    </w:p>
    <w:p w14:paraId="1DD73EF8" w14:textId="1E75853B" w:rsidR="005067A0" w:rsidRDefault="005067A0" w:rsidP="005067A0">
      <w:pPr>
        <w:jc w:val="center"/>
        <w:rPr>
          <w:rFonts w:ascii="Arial" w:hAnsi="Arial" w:cs="Arial"/>
          <w:sz w:val="22"/>
          <w:szCs w:val="22"/>
        </w:rPr>
      </w:pPr>
      <w:r>
        <w:rPr>
          <w:noProof/>
        </w:rPr>
        <w:drawing>
          <wp:inline distT="0" distB="0" distL="0" distR="0" wp14:anchorId="7BF62828" wp14:editId="2D6F7B32">
            <wp:extent cx="5943600" cy="1699895"/>
            <wp:effectExtent l="0" t="0" r="0" b="0"/>
            <wp:docPr id="1599886003" name="Picture 1" descr="A close-up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86003" name="Picture 1" descr="A close-up of a color chart&#10;&#10;AI-generated content may be incorrect."/>
                    <pic:cNvPicPr/>
                  </pic:nvPicPr>
                  <pic:blipFill>
                    <a:blip r:embed="rId5"/>
                    <a:stretch>
                      <a:fillRect/>
                    </a:stretch>
                  </pic:blipFill>
                  <pic:spPr>
                    <a:xfrm>
                      <a:off x="0" y="0"/>
                      <a:ext cx="5943600" cy="1699895"/>
                    </a:xfrm>
                    <a:prstGeom prst="rect">
                      <a:avLst/>
                    </a:prstGeom>
                  </pic:spPr>
                </pic:pic>
              </a:graphicData>
            </a:graphic>
          </wp:inline>
        </w:drawing>
      </w:r>
    </w:p>
    <w:p w14:paraId="4DF2BD80" w14:textId="28FC34E1" w:rsidR="00AE70AB" w:rsidRPr="00957D54" w:rsidRDefault="005067A0" w:rsidP="00957D54">
      <w:pPr>
        <w:rPr>
          <w:rFonts w:ascii="Arial" w:hAnsi="Arial" w:cs="Arial"/>
          <w:sz w:val="16"/>
          <w:szCs w:val="16"/>
        </w:rPr>
      </w:pPr>
      <w:r>
        <w:rPr>
          <w:rFonts w:ascii="Arial" w:hAnsi="Arial" w:cs="Arial"/>
          <w:b/>
          <w:bCs/>
          <w:sz w:val="16"/>
          <w:szCs w:val="16"/>
        </w:rPr>
        <w:t xml:space="preserve">Figure 1. </w:t>
      </w:r>
      <w:r w:rsidRPr="00070AC5">
        <w:rPr>
          <w:rFonts w:ascii="Arial" w:hAnsi="Arial" w:cs="Arial"/>
          <w:sz w:val="16"/>
          <w:szCs w:val="16"/>
        </w:rPr>
        <w:t xml:space="preserve">Schematic of the experimental design for </w:t>
      </w:r>
      <w:r>
        <w:rPr>
          <w:rFonts w:ascii="Arial" w:hAnsi="Arial" w:cs="Arial"/>
          <w:sz w:val="16"/>
          <w:szCs w:val="16"/>
        </w:rPr>
        <w:t>trialing of wild introgression lines (WILs)</w:t>
      </w:r>
      <w:r w:rsidRPr="00070AC5">
        <w:rPr>
          <w:rFonts w:ascii="Arial" w:hAnsi="Arial" w:cs="Arial"/>
          <w:sz w:val="16"/>
          <w:szCs w:val="16"/>
        </w:rPr>
        <w:t xml:space="preserve"> conducted from 2020 to 2023. Each of the ten blocks (A-J) contained complete replications of all performance checks and the recurrent parent, while WILs with two replications were evenly distributed across two replicates (Reps 1 and 2).</w:t>
      </w:r>
    </w:p>
    <w:p w14:paraId="2394C20A" w14:textId="1A075701" w:rsidR="0015757E" w:rsidRPr="00894E04" w:rsidRDefault="00BA36BA" w:rsidP="00894E04">
      <w:pPr>
        <w:spacing w:line="240" w:lineRule="auto"/>
        <w:rPr>
          <w:rFonts w:ascii="Arial" w:hAnsi="Arial" w:cs="Arial"/>
          <w:sz w:val="22"/>
          <w:szCs w:val="22"/>
        </w:rPr>
      </w:pPr>
      <w:r w:rsidRPr="00894E04">
        <w:rPr>
          <w:rFonts w:ascii="Arial" w:hAnsi="Arial" w:cs="Arial"/>
          <w:sz w:val="22"/>
          <w:szCs w:val="22"/>
        </w:rPr>
        <w:t>Before spatial correction, raw observations for each trait within each environment were centered on the environment mean and scaled by the environment standard deviation, yielding standardized data (mean=0, SD=1)</w:t>
      </w:r>
      <w:r w:rsidR="00D20662" w:rsidRPr="00894E04">
        <w:rPr>
          <w:rFonts w:ascii="Arial" w:hAnsi="Arial" w:cs="Arial"/>
          <w:sz w:val="22"/>
          <w:szCs w:val="22"/>
        </w:rPr>
        <w:t xml:space="preserve"> that served as input the first stage of the modeling process. To account for within-field spatial variation, separable AR1 x AR1 residual structures were fit</w:t>
      </w:r>
      <w:r w:rsidR="00B96AB3" w:rsidRPr="00894E04">
        <w:rPr>
          <w:rFonts w:ascii="Arial" w:hAnsi="Arial" w:cs="Arial"/>
          <w:sz w:val="22"/>
          <w:szCs w:val="22"/>
        </w:rPr>
        <w:t xml:space="preserve"> in ASReml-R, enabling extraction of best linear unbiased estimates (BLUEs) and precision weights for each genotype within each environment</w:t>
      </w:r>
      <w:r w:rsidR="00505FA4" w:rsidRPr="00894E04">
        <w:rPr>
          <w:rFonts w:ascii="Arial" w:hAnsi="Arial" w:cs="Arial"/>
          <w:sz w:val="22"/>
          <w:szCs w:val="22"/>
        </w:rPr>
        <w:t xml:space="preserve"> (</w:t>
      </w:r>
      <w:r w:rsidR="00743551" w:rsidRPr="00894E04">
        <w:rPr>
          <w:rFonts w:ascii="Arial" w:hAnsi="Arial" w:cs="Arial"/>
          <w:sz w:val="22"/>
          <w:szCs w:val="22"/>
        </w:rPr>
        <w:t xml:space="preserve">Gilmour et al., 1997; Butler et al., </w:t>
      </w:r>
      <w:r w:rsidR="007904A0" w:rsidRPr="00894E04">
        <w:rPr>
          <w:rFonts w:ascii="Arial" w:hAnsi="Arial" w:cs="Arial"/>
          <w:sz w:val="22"/>
          <w:szCs w:val="22"/>
        </w:rPr>
        <w:t>2023)</w:t>
      </w:r>
      <w:r w:rsidR="00B96AB3" w:rsidRPr="00894E04">
        <w:rPr>
          <w:rFonts w:ascii="Arial" w:hAnsi="Arial" w:cs="Arial"/>
          <w:sz w:val="22"/>
          <w:szCs w:val="22"/>
        </w:rPr>
        <w:t>.</w:t>
      </w:r>
    </w:p>
    <w:p w14:paraId="737B3377" w14:textId="4B4CCDB8" w:rsidR="0019004F" w:rsidRPr="00894E04" w:rsidRDefault="0019004F" w:rsidP="00894E04">
      <w:pPr>
        <w:spacing w:line="240" w:lineRule="auto"/>
        <w:rPr>
          <w:rFonts w:ascii="Arial" w:hAnsi="Arial" w:cs="Arial"/>
          <w:i/>
          <w:iCs/>
          <w:sz w:val="22"/>
          <w:szCs w:val="22"/>
        </w:rPr>
      </w:pPr>
      <w:r w:rsidRPr="00894E04">
        <w:rPr>
          <w:rFonts w:ascii="Arial" w:hAnsi="Arial" w:cs="Arial"/>
          <w:i/>
          <w:iCs/>
          <w:sz w:val="22"/>
          <w:szCs w:val="22"/>
        </w:rPr>
        <w:t>Environmental Drought Characterization</w:t>
      </w:r>
    </w:p>
    <w:p w14:paraId="58530B85" w14:textId="2ADA558A" w:rsidR="009E7C12" w:rsidRPr="00894E04" w:rsidRDefault="009E7C12" w:rsidP="00894E04">
      <w:pPr>
        <w:spacing w:line="240" w:lineRule="auto"/>
        <w:rPr>
          <w:rFonts w:ascii="Arial" w:hAnsi="Arial" w:cs="Arial"/>
          <w:sz w:val="22"/>
          <w:szCs w:val="22"/>
        </w:rPr>
      </w:pPr>
      <w:r w:rsidRPr="00894E04">
        <w:rPr>
          <w:rFonts w:ascii="Arial" w:hAnsi="Arial" w:cs="Arial"/>
          <w:sz w:val="22"/>
          <w:szCs w:val="22"/>
        </w:rPr>
        <w:t xml:space="preserve">Although all trials were intended </w:t>
      </w:r>
      <w:r w:rsidR="00E818B8" w:rsidRPr="00894E04">
        <w:rPr>
          <w:rFonts w:ascii="Arial" w:hAnsi="Arial" w:cs="Arial"/>
          <w:sz w:val="22"/>
          <w:szCs w:val="22"/>
        </w:rPr>
        <w:t xml:space="preserve">to be under dryland management, the Thomas County site in the 2022-23 season (2023 THD) received an unplanned center-pivot irrigation in </w:t>
      </w:r>
      <w:r w:rsidR="005B1B5B" w:rsidRPr="00894E04">
        <w:rPr>
          <w:rFonts w:ascii="Arial" w:hAnsi="Arial" w:cs="Arial"/>
          <w:sz w:val="22"/>
          <w:szCs w:val="22"/>
        </w:rPr>
        <w:t xml:space="preserve">April 2023, followed by an extended period of above-average rainfall. This irrigation event decoupled in-field moisture conditions from Kansas Mesonet weather </w:t>
      </w:r>
      <w:r w:rsidR="0028229E" w:rsidRPr="00894E04">
        <w:rPr>
          <w:rFonts w:ascii="Arial" w:hAnsi="Arial" w:cs="Arial"/>
          <w:sz w:val="22"/>
          <w:szCs w:val="22"/>
        </w:rPr>
        <w:t xml:space="preserve">records, rendering environmental covariates unreliable for drought modeling at that site. Because 2023 THD also produced the highest mean grain yield of the six trials, it was designated as the well-watered control </w:t>
      </w:r>
      <w:r w:rsidR="00A07B01" w:rsidRPr="00894E04">
        <w:rPr>
          <w:rFonts w:ascii="Arial" w:hAnsi="Arial" w:cs="Arial"/>
          <w:sz w:val="22"/>
          <w:szCs w:val="22"/>
        </w:rPr>
        <w:t xml:space="preserve">(WWC) </w:t>
      </w:r>
      <w:r w:rsidR="0028229E" w:rsidRPr="00894E04">
        <w:rPr>
          <w:rFonts w:ascii="Arial" w:hAnsi="Arial" w:cs="Arial"/>
          <w:sz w:val="22"/>
          <w:szCs w:val="22"/>
        </w:rPr>
        <w:t>e</w:t>
      </w:r>
      <w:r w:rsidR="00A07B01" w:rsidRPr="00894E04">
        <w:rPr>
          <w:rFonts w:ascii="Arial" w:hAnsi="Arial" w:cs="Arial"/>
          <w:sz w:val="22"/>
          <w:szCs w:val="22"/>
        </w:rPr>
        <w:t>nvironment.</w:t>
      </w:r>
    </w:p>
    <w:p w14:paraId="2F6A4338" w14:textId="43BEA8A8" w:rsidR="00A07B01" w:rsidRPr="00894E04" w:rsidRDefault="00A07B01" w:rsidP="00894E04">
      <w:pPr>
        <w:spacing w:line="240" w:lineRule="auto"/>
        <w:rPr>
          <w:rFonts w:ascii="Arial" w:hAnsi="Arial" w:cs="Arial"/>
          <w:sz w:val="22"/>
          <w:szCs w:val="22"/>
        </w:rPr>
      </w:pPr>
      <w:r w:rsidRPr="00894E04">
        <w:rPr>
          <w:rFonts w:ascii="Arial" w:hAnsi="Arial" w:cs="Arial"/>
          <w:sz w:val="22"/>
          <w:szCs w:val="22"/>
        </w:rPr>
        <w:t>Using yields from the WWC, the framework of Fischer and Maurer (1978</w:t>
      </w:r>
      <w:r w:rsidR="00C6108C" w:rsidRPr="00894E04">
        <w:rPr>
          <w:rFonts w:ascii="Arial" w:hAnsi="Arial" w:cs="Arial"/>
          <w:sz w:val="22"/>
          <w:szCs w:val="22"/>
        </w:rPr>
        <w:t>) was adapted for standardized data to calculate a difference based drought susceptibility index (</w:t>
      </w:r>
      <w:r w:rsidR="00C6108C" w:rsidRPr="00894E04">
        <w:rPr>
          <w:rFonts w:ascii="Arial" w:hAnsi="Arial" w:cs="Arial"/>
          <w:b/>
          <w:bCs/>
          <w:sz w:val="22"/>
          <w:szCs w:val="22"/>
        </w:rPr>
        <w:t>DSI</w:t>
      </w:r>
      <w:r w:rsidR="00C6108C" w:rsidRPr="00894E04">
        <w:rPr>
          <w:rFonts w:ascii="Arial" w:hAnsi="Arial" w:cs="Arial"/>
          <w:sz w:val="22"/>
          <w:szCs w:val="22"/>
        </w:rPr>
        <w:t>), to quantify each genotype’s relative yield reduction under varying conditions of drought stress.</w:t>
      </w:r>
      <w:r w:rsidR="0015602F" w:rsidRPr="00894E04">
        <w:rPr>
          <w:rFonts w:ascii="Arial" w:hAnsi="Arial" w:cs="Arial"/>
          <w:sz w:val="22"/>
          <w:szCs w:val="22"/>
        </w:rPr>
        <w:t xml:space="preserve"> Among the five remaining environments, the 2022 Riley County trial (2022 RL) </w:t>
      </w:r>
      <w:r w:rsidR="00D50A38" w:rsidRPr="00894E04">
        <w:rPr>
          <w:rFonts w:ascii="Arial" w:hAnsi="Arial" w:cs="Arial"/>
          <w:sz w:val="22"/>
          <w:szCs w:val="22"/>
        </w:rPr>
        <w:t xml:space="preserve">– which received the most natural precipitation – was excluded from model training and reserved as an out-of-sample test environment. This leave-out approach allows for assessment of how </w:t>
      </w:r>
      <w:r w:rsidR="000A7C06" w:rsidRPr="00894E04">
        <w:rPr>
          <w:rFonts w:ascii="Arial" w:hAnsi="Arial" w:cs="Arial"/>
          <w:sz w:val="22"/>
          <w:szCs w:val="22"/>
        </w:rPr>
        <w:t xml:space="preserve">modeling using DSI compares to </w:t>
      </w:r>
      <w:r w:rsidR="006E7DAE" w:rsidRPr="00894E04">
        <w:rPr>
          <w:rFonts w:ascii="Arial" w:hAnsi="Arial" w:cs="Arial"/>
          <w:sz w:val="22"/>
          <w:szCs w:val="22"/>
        </w:rPr>
        <w:t>modeling without adjusting for drought in terms of predictive performance under independent, drought-affected conditions.</w:t>
      </w:r>
    </w:p>
    <w:p w14:paraId="0CC690F0" w14:textId="77777777" w:rsidR="00957D54" w:rsidRDefault="00957D54" w:rsidP="00894E04">
      <w:pPr>
        <w:spacing w:line="240" w:lineRule="auto"/>
        <w:rPr>
          <w:rFonts w:ascii="Arial" w:hAnsi="Arial" w:cs="Arial"/>
          <w:i/>
          <w:iCs/>
          <w:sz w:val="22"/>
          <w:szCs w:val="22"/>
        </w:rPr>
      </w:pPr>
    </w:p>
    <w:p w14:paraId="3FFA0270" w14:textId="6E85597A" w:rsidR="0019004F" w:rsidRPr="00894E04" w:rsidRDefault="0019004F" w:rsidP="00894E04">
      <w:pPr>
        <w:spacing w:line="240" w:lineRule="auto"/>
        <w:rPr>
          <w:rFonts w:ascii="Arial" w:hAnsi="Arial" w:cs="Arial"/>
          <w:i/>
          <w:iCs/>
          <w:sz w:val="22"/>
          <w:szCs w:val="22"/>
        </w:rPr>
      </w:pPr>
      <w:r w:rsidRPr="00894E04">
        <w:rPr>
          <w:rFonts w:ascii="Arial" w:hAnsi="Arial" w:cs="Arial"/>
          <w:i/>
          <w:iCs/>
          <w:sz w:val="22"/>
          <w:szCs w:val="22"/>
        </w:rPr>
        <w:lastRenderedPageBreak/>
        <w:t>Drought Susceptibility Index (DSI)</w:t>
      </w:r>
    </w:p>
    <w:p w14:paraId="472FB156" w14:textId="782B0AE0" w:rsidR="009B4C5A" w:rsidRPr="00894E04" w:rsidRDefault="008C3D88" w:rsidP="00894E04">
      <w:pPr>
        <w:spacing w:line="240" w:lineRule="auto"/>
        <w:rPr>
          <w:rFonts w:ascii="Arial" w:hAnsi="Arial" w:cs="Arial"/>
          <w:sz w:val="22"/>
          <w:szCs w:val="22"/>
        </w:rPr>
      </w:pPr>
      <w:r w:rsidRPr="00894E04">
        <w:rPr>
          <w:rFonts w:ascii="Arial" w:hAnsi="Arial" w:cs="Arial"/>
          <w:sz w:val="22"/>
          <w:szCs w:val="22"/>
        </w:rPr>
        <w:t xml:space="preserve">The drought susceptibility index </w:t>
      </w:r>
      <w:r w:rsidR="003A3436" w:rsidRPr="00894E04">
        <w:rPr>
          <w:rFonts w:ascii="Arial" w:hAnsi="Arial" w:cs="Arial"/>
          <w:sz w:val="22"/>
          <w:szCs w:val="22"/>
        </w:rPr>
        <w:t xml:space="preserve">for </w:t>
      </w:r>
      <w:r w:rsidR="00213C51" w:rsidRPr="00894E04">
        <w:rPr>
          <w:rFonts w:ascii="Arial" w:hAnsi="Arial" w:cs="Arial"/>
          <w:sz w:val="22"/>
          <w:szCs w:val="22"/>
        </w:rPr>
        <w:t xml:space="preserve">each WIL, or genotype </w:t>
      </w:r>
      <w:r w:rsidR="00213C51" w:rsidRPr="00894E04">
        <w:rPr>
          <w:rFonts w:ascii="Arial" w:hAnsi="Arial" w:cs="Arial"/>
          <w:i/>
          <w:iCs/>
          <w:sz w:val="22"/>
          <w:szCs w:val="22"/>
        </w:rPr>
        <w:t>g</w:t>
      </w:r>
      <w:r w:rsidR="00213C51" w:rsidRPr="00894E04">
        <w:rPr>
          <w:rFonts w:ascii="Arial" w:hAnsi="Arial" w:cs="Arial"/>
          <w:sz w:val="22"/>
          <w:szCs w:val="22"/>
        </w:rPr>
        <w:t xml:space="preserve"> in drought environment </w:t>
      </w:r>
      <w:r w:rsidR="00213C51" w:rsidRPr="00894E04">
        <w:rPr>
          <w:rFonts w:ascii="Arial" w:hAnsi="Arial" w:cs="Arial"/>
          <w:i/>
          <w:iCs/>
          <w:sz w:val="22"/>
          <w:szCs w:val="22"/>
        </w:rPr>
        <w:t>d</w:t>
      </w:r>
      <w:r w:rsidR="00213C51" w:rsidRPr="00894E04">
        <w:rPr>
          <w:rFonts w:ascii="Arial" w:hAnsi="Arial" w:cs="Arial"/>
          <w:sz w:val="22"/>
          <w:szCs w:val="22"/>
        </w:rPr>
        <w:t xml:space="preserve"> (DSI</w:t>
      </w:r>
      <w:r w:rsidR="00A2754F" w:rsidRPr="00894E04">
        <w:rPr>
          <w:rFonts w:ascii="Arial" w:hAnsi="Arial" w:cs="Arial"/>
          <w:sz w:val="22"/>
          <w:szCs w:val="22"/>
          <w:vertAlign w:val="subscript"/>
        </w:rPr>
        <w:t>g,d</w:t>
      </w:r>
      <w:r w:rsidR="00A2754F" w:rsidRPr="00894E04">
        <w:rPr>
          <w:rFonts w:ascii="Arial" w:hAnsi="Arial" w:cs="Arial"/>
          <w:sz w:val="22"/>
          <w:szCs w:val="22"/>
        </w:rPr>
        <w:t>) was calculated as the ratio of that genotype’s yield reduction under stress to the mean yield reduction of the trial:</w:t>
      </w:r>
    </w:p>
    <w:p w14:paraId="61B9D33E" w14:textId="025D76E5" w:rsidR="008F4263" w:rsidRPr="00894E04" w:rsidRDefault="00000000" w:rsidP="00894E04">
      <w:pPr>
        <w:spacing w:line="240" w:lineRule="auto"/>
        <w:jc w:val="center"/>
        <w:rPr>
          <w:rFonts w:ascii="Arial" w:eastAsiaTheme="minorEastAsia" w:hAnsi="Arial" w:cs="Arial"/>
          <w:sz w:val="22"/>
          <w:szCs w:val="22"/>
        </w:rPr>
      </w:pP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DSI</m:t>
            </m:r>
          </m:e>
          <m:sub>
            <m:r>
              <w:rPr>
                <w:rFonts w:ascii="Cambria Math" w:eastAsiaTheme="minorEastAsia" w:hAnsi="Cambria Math" w:cs="Arial"/>
                <w:sz w:val="22"/>
                <w:szCs w:val="22"/>
              </w:rPr>
              <m:t>g,d</m:t>
            </m:r>
          </m:sub>
        </m:sSub>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Y</m:t>
                </m:r>
              </m:e>
              <m:sub>
                <m:r>
                  <w:rPr>
                    <w:rFonts w:ascii="Cambria Math" w:eastAsiaTheme="minorEastAsia" w:hAnsi="Cambria Math" w:cs="Arial"/>
                    <w:sz w:val="22"/>
                    <w:szCs w:val="22"/>
                  </w:rPr>
                  <m:t>g,c</m:t>
                </m:r>
              </m:sub>
            </m:sSub>
            <m: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 xml:space="preserve"> Y</m:t>
                </m:r>
              </m:e>
              <m:sub>
                <m:r>
                  <w:rPr>
                    <w:rFonts w:ascii="Cambria Math" w:eastAsiaTheme="minorEastAsia" w:hAnsi="Cambria Math" w:cs="Arial"/>
                    <w:sz w:val="22"/>
                    <w:szCs w:val="22"/>
                  </w:rPr>
                  <m:t>g,d</m:t>
                </m:r>
              </m:sub>
            </m:sSub>
            <m:r>
              <w:rPr>
                <w:rFonts w:ascii="Cambria Math" w:eastAsiaTheme="minorEastAsia" w:hAnsi="Cambria Math" w:cs="Arial"/>
                <w:sz w:val="22"/>
                <w:szCs w:val="22"/>
              </w:rPr>
              <m:t xml:space="preserve"> </m:t>
            </m:r>
          </m:num>
          <m:den>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Ȳ</m:t>
                </m:r>
              </m:e>
              <m:sub>
                <m:r>
                  <w:rPr>
                    <w:rFonts w:ascii="Cambria Math" w:eastAsiaTheme="minorEastAsia" w:hAnsi="Cambria Math" w:cs="Arial"/>
                    <w:sz w:val="22"/>
                    <w:szCs w:val="22"/>
                  </w:rPr>
                  <m:t>c</m:t>
                </m:r>
              </m:sub>
            </m:sSub>
            <m: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 xml:space="preserve"> Ȳ</m:t>
                </m:r>
              </m:e>
              <m:sub>
                <m:r>
                  <w:rPr>
                    <w:rFonts w:ascii="Cambria Math" w:eastAsiaTheme="minorEastAsia" w:hAnsi="Cambria Math" w:cs="Arial"/>
                    <w:sz w:val="22"/>
                    <w:szCs w:val="22"/>
                  </w:rPr>
                  <m:t>d</m:t>
                </m:r>
              </m:sub>
            </m:sSub>
          </m:den>
        </m:f>
      </m:oMath>
      <w:r w:rsidR="00631946" w:rsidRPr="00894E04">
        <w:rPr>
          <w:rFonts w:ascii="Arial" w:eastAsiaTheme="minorEastAsia" w:hAnsi="Arial" w:cs="Arial"/>
          <w:sz w:val="22"/>
          <w:szCs w:val="22"/>
        </w:rPr>
        <w:t xml:space="preserve"> , where</w:t>
      </w:r>
    </w:p>
    <w:p w14:paraId="1B074D8D" w14:textId="21A04399" w:rsidR="00B876C7" w:rsidRPr="00894E04" w:rsidRDefault="00B876C7" w:rsidP="00894E04">
      <w:pPr>
        <w:pStyle w:val="ListParagraph"/>
        <w:numPr>
          <w:ilvl w:val="0"/>
          <w:numId w:val="1"/>
        </w:numPr>
        <w:spacing w:line="240" w:lineRule="auto"/>
        <w:rPr>
          <w:rFonts w:ascii="Arial" w:eastAsiaTheme="minorEastAsia" w:hAnsi="Arial" w:cs="Arial"/>
          <w:sz w:val="22"/>
          <w:szCs w:val="22"/>
        </w:rPr>
      </w:pPr>
      <w:r w:rsidRPr="00894E04">
        <w:rPr>
          <w:rFonts w:ascii="Arial" w:eastAsiaTheme="minorEastAsia" w:hAnsi="Arial" w:cs="Arial"/>
          <w:i/>
          <w:iCs/>
          <w:sz w:val="22"/>
          <w:szCs w:val="22"/>
        </w:rPr>
        <w:t>Y</w:t>
      </w:r>
      <w:r w:rsidRPr="00894E04">
        <w:rPr>
          <w:rFonts w:ascii="Arial" w:eastAsiaTheme="minorEastAsia" w:hAnsi="Arial" w:cs="Arial"/>
          <w:i/>
          <w:iCs/>
          <w:sz w:val="22"/>
          <w:szCs w:val="22"/>
          <w:vertAlign w:val="subscript"/>
        </w:rPr>
        <w:t>g,c</w:t>
      </w:r>
      <w:r w:rsidRPr="00894E04">
        <w:rPr>
          <w:rFonts w:ascii="Arial" w:eastAsiaTheme="minorEastAsia" w:hAnsi="Arial" w:cs="Arial"/>
          <w:sz w:val="22"/>
          <w:szCs w:val="22"/>
        </w:rPr>
        <w:t xml:space="preserve"> is the yield of genotype </w:t>
      </w:r>
      <w:r w:rsidRPr="00894E04">
        <w:rPr>
          <w:rFonts w:ascii="Arial" w:eastAsiaTheme="minorEastAsia" w:hAnsi="Arial" w:cs="Arial"/>
          <w:i/>
          <w:iCs/>
          <w:sz w:val="22"/>
          <w:szCs w:val="22"/>
        </w:rPr>
        <w:t>g</w:t>
      </w:r>
      <w:r w:rsidRPr="00894E04">
        <w:rPr>
          <w:rFonts w:ascii="Arial" w:eastAsiaTheme="minorEastAsia" w:hAnsi="Arial" w:cs="Arial"/>
          <w:sz w:val="22"/>
          <w:szCs w:val="22"/>
        </w:rPr>
        <w:t xml:space="preserve"> in the well-watered control environment </w:t>
      </w:r>
      <w:r w:rsidRPr="00894E04">
        <w:rPr>
          <w:rFonts w:ascii="Arial" w:eastAsiaTheme="minorEastAsia" w:hAnsi="Arial" w:cs="Arial"/>
          <w:i/>
          <w:iCs/>
          <w:sz w:val="22"/>
          <w:szCs w:val="22"/>
        </w:rPr>
        <w:t>c,</w:t>
      </w:r>
    </w:p>
    <w:p w14:paraId="0236E41B" w14:textId="6F49482D" w:rsidR="00B876C7" w:rsidRPr="00894E04" w:rsidRDefault="00B876C7" w:rsidP="00894E04">
      <w:pPr>
        <w:pStyle w:val="ListParagraph"/>
        <w:numPr>
          <w:ilvl w:val="0"/>
          <w:numId w:val="1"/>
        </w:numPr>
        <w:spacing w:line="240" w:lineRule="auto"/>
        <w:rPr>
          <w:rFonts w:ascii="Arial" w:eastAsiaTheme="minorEastAsia" w:hAnsi="Arial" w:cs="Arial"/>
          <w:sz w:val="22"/>
          <w:szCs w:val="22"/>
        </w:rPr>
      </w:pPr>
      <w:r w:rsidRPr="00894E04">
        <w:rPr>
          <w:rFonts w:ascii="Arial" w:eastAsiaTheme="minorEastAsia" w:hAnsi="Arial" w:cs="Arial"/>
          <w:i/>
          <w:iCs/>
          <w:sz w:val="22"/>
          <w:szCs w:val="22"/>
        </w:rPr>
        <w:t>Y</w:t>
      </w:r>
      <w:r w:rsidRPr="00894E04">
        <w:rPr>
          <w:rFonts w:ascii="Arial" w:eastAsiaTheme="minorEastAsia" w:hAnsi="Arial" w:cs="Arial"/>
          <w:i/>
          <w:iCs/>
          <w:sz w:val="22"/>
          <w:szCs w:val="22"/>
          <w:vertAlign w:val="subscript"/>
        </w:rPr>
        <w:t>g,d</w:t>
      </w:r>
      <w:r w:rsidRPr="00894E04">
        <w:rPr>
          <w:rFonts w:ascii="Arial" w:eastAsiaTheme="minorEastAsia" w:hAnsi="Arial" w:cs="Arial"/>
          <w:sz w:val="22"/>
          <w:szCs w:val="22"/>
        </w:rPr>
        <w:t xml:space="preserve"> is the yield of genotype </w:t>
      </w:r>
      <w:r w:rsidRPr="00894E04">
        <w:rPr>
          <w:rFonts w:ascii="Arial" w:eastAsiaTheme="minorEastAsia" w:hAnsi="Arial" w:cs="Arial"/>
          <w:i/>
          <w:iCs/>
          <w:sz w:val="22"/>
          <w:szCs w:val="22"/>
        </w:rPr>
        <w:t>g</w:t>
      </w:r>
      <w:r w:rsidRPr="00894E04">
        <w:rPr>
          <w:rFonts w:ascii="Arial" w:eastAsiaTheme="minorEastAsia" w:hAnsi="Arial" w:cs="Arial"/>
          <w:sz w:val="22"/>
          <w:szCs w:val="22"/>
        </w:rPr>
        <w:t xml:space="preserve"> in drought environment </w:t>
      </w:r>
      <w:r w:rsidRPr="00894E04">
        <w:rPr>
          <w:rFonts w:ascii="Arial" w:eastAsiaTheme="minorEastAsia" w:hAnsi="Arial" w:cs="Arial"/>
          <w:i/>
          <w:iCs/>
          <w:sz w:val="22"/>
          <w:szCs w:val="22"/>
        </w:rPr>
        <w:t>d,</w:t>
      </w:r>
    </w:p>
    <w:p w14:paraId="0ED99709" w14:textId="525DDCBD" w:rsidR="00B876C7" w:rsidRPr="00894E04" w:rsidRDefault="00B876C7" w:rsidP="00894E04">
      <w:pPr>
        <w:pStyle w:val="ListParagraph"/>
        <w:numPr>
          <w:ilvl w:val="0"/>
          <w:numId w:val="1"/>
        </w:numPr>
        <w:spacing w:line="240" w:lineRule="auto"/>
        <w:rPr>
          <w:rFonts w:ascii="Arial" w:eastAsiaTheme="minorEastAsia" w:hAnsi="Arial" w:cs="Arial"/>
          <w:i/>
          <w:iCs/>
          <w:sz w:val="22"/>
          <w:szCs w:val="22"/>
        </w:rPr>
      </w:pPr>
      <w:r w:rsidRPr="00894E04">
        <w:rPr>
          <w:rFonts w:ascii="Arial" w:eastAsiaTheme="minorEastAsia" w:hAnsi="Arial" w:cs="Arial"/>
          <w:i/>
          <w:iCs/>
          <w:sz w:val="22"/>
          <w:szCs w:val="22"/>
        </w:rPr>
        <w:t>Ȳ</w:t>
      </w:r>
      <w:r w:rsidRPr="00894E04">
        <w:rPr>
          <w:rFonts w:ascii="Arial" w:eastAsiaTheme="minorEastAsia" w:hAnsi="Arial" w:cs="Arial"/>
          <w:i/>
          <w:iCs/>
          <w:sz w:val="22"/>
          <w:szCs w:val="22"/>
          <w:vertAlign w:val="subscript"/>
        </w:rPr>
        <w:t>c</w:t>
      </w:r>
      <w:r w:rsidRPr="00894E04">
        <w:rPr>
          <w:rFonts w:ascii="Arial" w:eastAsiaTheme="minorEastAsia" w:hAnsi="Arial" w:cs="Arial"/>
          <w:sz w:val="22"/>
          <w:szCs w:val="22"/>
        </w:rPr>
        <w:t xml:space="preserve"> is the mean yield across all genotypes in the control environment </w:t>
      </w:r>
      <w:r w:rsidRPr="00894E04">
        <w:rPr>
          <w:rFonts w:ascii="Arial" w:eastAsiaTheme="minorEastAsia" w:hAnsi="Arial" w:cs="Arial"/>
          <w:i/>
          <w:iCs/>
          <w:sz w:val="22"/>
          <w:szCs w:val="22"/>
        </w:rPr>
        <w:t>c</w:t>
      </w:r>
      <w:r w:rsidR="002D44DA" w:rsidRPr="00894E04">
        <w:rPr>
          <w:rFonts w:ascii="Arial" w:eastAsiaTheme="minorEastAsia" w:hAnsi="Arial" w:cs="Arial"/>
          <w:sz w:val="22"/>
          <w:szCs w:val="22"/>
        </w:rPr>
        <w:t>, and</w:t>
      </w:r>
    </w:p>
    <w:p w14:paraId="4C83E2BA" w14:textId="75EA21DD" w:rsidR="00B876C7" w:rsidRPr="00894E04" w:rsidRDefault="00B876C7" w:rsidP="00894E04">
      <w:pPr>
        <w:pStyle w:val="ListParagraph"/>
        <w:numPr>
          <w:ilvl w:val="0"/>
          <w:numId w:val="1"/>
        </w:numPr>
        <w:spacing w:line="240" w:lineRule="auto"/>
        <w:rPr>
          <w:rFonts w:ascii="Arial" w:eastAsiaTheme="minorEastAsia" w:hAnsi="Arial" w:cs="Arial"/>
          <w:sz w:val="22"/>
          <w:szCs w:val="22"/>
        </w:rPr>
      </w:pPr>
      <w:r w:rsidRPr="00894E04">
        <w:rPr>
          <w:rFonts w:ascii="Arial" w:eastAsiaTheme="minorEastAsia" w:hAnsi="Arial" w:cs="Arial"/>
          <w:i/>
          <w:iCs/>
          <w:sz w:val="22"/>
          <w:szCs w:val="22"/>
        </w:rPr>
        <w:t>Ȳ</w:t>
      </w:r>
      <w:r w:rsidRPr="00894E04">
        <w:rPr>
          <w:rFonts w:ascii="Arial" w:eastAsiaTheme="minorEastAsia" w:hAnsi="Arial" w:cs="Arial"/>
          <w:i/>
          <w:iCs/>
          <w:sz w:val="22"/>
          <w:szCs w:val="22"/>
          <w:vertAlign w:val="subscript"/>
        </w:rPr>
        <w:t>d</w:t>
      </w:r>
      <w:r w:rsidRPr="00894E04">
        <w:rPr>
          <w:rFonts w:ascii="Arial" w:eastAsiaTheme="minorEastAsia" w:hAnsi="Arial" w:cs="Arial"/>
          <w:sz w:val="22"/>
          <w:szCs w:val="22"/>
        </w:rPr>
        <w:t xml:space="preserve"> is the mean yield across all genotypes in drought environment </w:t>
      </w:r>
      <w:r w:rsidRPr="00894E04">
        <w:rPr>
          <w:rFonts w:ascii="Arial" w:eastAsiaTheme="minorEastAsia" w:hAnsi="Arial" w:cs="Arial"/>
          <w:i/>
          <w:iCs/>
          <w:sz w:val="22"/>
          <w:szCs w:val="22"/>
        </w:rPr>
        <w:t>d</w:t>
      </w:r>
      <w:r w:rsidR="002D44DA" w:rsidRPr="00894E04">
        <w:rPr>
          <w:rFonts w:ascii="Arial" w:eastAsiaTheme="minorEastAsia" w:hAnsi="Arial" w:cs="Arial"/>
          <w:i/>
          <w:iCs/>
          <w:sz w:val="22"/>
          <w:szCs w:val="22"/>
        </w:rPr>
        <w:t>.</w:t>
      </w:r>
    </w:p>
    <w:p w14:paraId="5002DE54" w14:textId="4ACC5174" w:rsidR="00631946" w:rsidRPr="00894E04" w:rsidRDefault="002D44DA" w:rsidP="00894E04">
      <w:pPr>
        <w:spacing w:line="240" w:lineRule="auto"/>
        <w:rPr>
          <w:rFonts w:ascii="Arial" w:hAnsi="Arial" w:cs="Arial"/>
          <w:sz w:val="22"/>
          <w:szCs w:val="22"/>
        </w:rPr>
      </w:pPr>
      <w:r w:rsidRPr="00894E04">
        <w:rPr>
          <w:rFonts w:ascii="Arial" w:hAnsi="Arial" w:cs="Arial"/>
          <w:sz w:val="22"/>
          <w:szCs w:val="22"/>
        </w:rPr>
        <w:t xml:space="preserve">Here, </w:t>
      </w:r>
      <w:r w:rsidRPr="00894E04">
        <w:rPr>
          <w:rFonts w:ascii="Arial" w:hAnsi="Arial" w:cs="Arial"/>
          <w:i/>
          <w:iCs/>
          <w:sz w:val="22"/>
          <w:szCs w:val="22"/>
        </w:rPr>
        <w:t>g</w:t>
      </w:r>
      <w:r w:rsidRPr="00894E04">
        <w:rPr>
          <w:rFonts w:ascii="Arial" w:hAnsi="Arial" w:cs="Arial"/>
          <w:sz w:val="22"/>
          <w:szCs w:val="22"/>
        </w:rPr>
        <w:t xml:space="preserve"> indexes genotypes from 1 to 237 and </w:t>
      </w:r>
      <w:r w:rsidRPr="00894E04">
        <w:rPr>
          <w:rFonts w:ascii="Arial" w:hAnsi="Arial" w:cs="Arial"/>
          <w:i/>
          <w:iCs/>
          <w:sz w:val="22"/>
          <w:szCs w:val="22"/>
        </w:rPr>
        <w:t xml:space="preserve">d </w:t>
      </w:r>
      <w:r w:rsidRPr="00894E04">
        <w:rPr>
          <w:rFonts w:ascii="Arial" w:hAnsi="Arial" w:cs="Arial"/>
          <w:sz w:val="22"/>
          <w:szCs w:val="22"/>
        </w:rPr>
        <w:t xml:space="preserve">indexes </w:t>
      </w:r>
      <w:r w:rsidR="00D230CD" w:rsidRPr="00894E04">
        <w:rPr>
          <w:rFonts w:ascii="Arial" w:hAnsi="Arial" w:cs="Arial"/>
          <w:sz w:val="22"/>
          <w:szCs w:val="22"/>
        </w:rPr>
        <w:t xml:space="preserve">drought environments from 1 to 4. A DSI value of exactly 1 indicates that a WIL’s yield loss matches the trial average; values below 1 denote comparatively lower yield loss </w:t>
      </w:r>
      <w:r w:rsidR="00CB1987" w:rsidRPr="00894E04">
        <w:rPr>
          <w:rFonts w:ascii="Arial" w:hAnsi="Arial" w:cs="Arial"/>
          <w:sz w:val="22"/>
          <w:szCs w:val="22"/>
        </w:rPr>
        <w:t xml:space="preserve">(greater drought tolerance), while values above 1 denote comparatively higher yield loss (greater drought susceptibility). </w:t>
      </w:r>
    </w:p>
    <w:p w14:paraId="469C6A2C" w14:textId="19D2D752" w:rsidR="0019004F" w:rsidRPr="00894E04" w:rsidRDefault="0019004F" w:rsidP="00894E04">
      <w:pPr>
        <w:spacing w:line="240" w:lineRule="auto"/>
        <w:rPr>
          <w:rFonts w:ascii="Arial" w:hAnsi="Arial" w:cs="Arial"/>
          <w:i/>
          <w:iCs/>
          <w:sz w:val="22"/>
          <w:szCs w:val="22"/>
        </w:rPr>
      </w:pPr>
      <w:r w:rsidRPr="00894E04">
        <w:rPr>
          <w:rFonts w:ascii="Arial" w:hAnsi="Arial" w:cs="Arial"/>
          <w:i/>
          <w:iCs/>
          <w:sz w:val="22"/>
          <w:szCs w:val="22"/>
        </w:rPr>
        <w:t>Modeling Approaches</w:t>
      </w:r>
    </w:p>
    <w:p w14:paraId="0560CFDC" w14:textId="3F943490" w:rsidR="00E4700E" w:rsidRPr="00894E04" w:rsidRDefault="00237552" w:rsidP="00894E04">
      <w:pPr>
        <w:spacing w:line="240" w:lineRule="auto"/>
        <w:rPr>
          <w:rFonts w:ascii="Arial" w:hAnsi="Arial" w:cs="Arial"/>
          <w:sz w:val="22"/>
          <w:szCs w:val="22"/>
        </w:rPr>
      </w:pPr>
      <w:r w:rsidRPr="00894E04">
        <w:rPr>
          <w:rFonts w:ascii="Arial" w:hAnsi="Arial" w:cs="Arial"/>
          <w:sz w:val="22"/>
          <w:szCs w:val="22"/>
        </w:rPr>
        <w:t>Three mixed model approaches were evaluated to assess how incorporating a d</w:t>
      </w:r>
      <w:r w:rsidR="0040263B" w:rsidRPr="00894E04">
        <w:rPr>
          <w:rFonts w:ascii="Arial" w:hAnsi="Arial" w:cs="Arial"/>
          <w:sz w:val="22"/>
          <w:szCs w:val="22"/>
        </w:rPr>
        <w:t xml:space="preserve">ata-derived covariate </w:t>
      </w:r>
      <w:r w:rsidR="009977A0" w:rsidRPr="00894E04">
        <w:rPr>
          <w:rFonts w:ascii="Arial" w:hAnsi="Arial" w:cs="Arial"/>
          <w:sz w:val="22"/>
          <w:szCs w:val="22"/>
        </w:rPr>
        <w:t>influences prediction of grain yield and six yield component traits.</w:t>
      </w:r>
    </w:p>
    <w:p w14:paraId="7FFEE5E2" w14:textId="1D5234F8" w:rsidR="0019004F" w:rsidRPr="00894E04" w:rsidRDefault="0019004F" w:rsidP="00894E04">
      <w:pPr>
        <w:spacing w:line="240" w:lineRule="auto"/>
        <w:rPr>
          <w:rFonts w:ascii="Arial" w:hAnsi="Arial" w:cs="Arial"/>
          <w:sz w:val="22"/>
          <w:szCs w:val="22"/>
        </w:rPr>
      </w:pPr>
      <w:r w:rsidRPr="00894E04">
        <w:rPr>
          <w:rFonts w:ascii="Arial" w:hAnsi="Arial" w:cs="Arial"/>
          <w:sz w:val="22"/>
          <w:szCs w:val="22"/>
          <w:u w:val="single"/>
        </w:rPr>
        <w:t>Approach 1</w:t>
      </w:r>
      <w:r w:rsidRPr="00894E04">
        <w:rPr>
          <w:rFonts w:ascii="Arial" w:hAnsi="Arial" w:cs="Arial"/>
          <w:sz w:val="22"/>
          <w:szCs w:val="22"/>
        </w:rPr>
        <w:t xml:space="preserve"> – Baseline/Unadjusted</w:t>
      </w:r>
    </w:p>
    <w:p w14:paraId="63C67976" w14:textId="6C9557F7" w:rsidR="00AD1D82" w:rsidRPr="00894E04" w:rsidRDefault="00AD1D82" w:rsidP="00894E04">
      <w:pPr>
        <w:spacing w:line="240" w:lineRule="auto"/>
        <w:rPr>
          <w:rFonts w:ascii="Arial" w:hAnsi="Arial" w:cs="Arial"/>
          <w:sz w:val="22"/>
          <w:szCs w:val="22"/>
        </w:rPr>
      </w:pPr>
      <w:r w:rsidRPr="00894E04">
        <w:rPr>
          <w:rFonts w:ascii="Arial" w:hAnsi="Arial" w:cs="Arial"/>
          <w:sz w:val="22"/>
          <w:szCs w:val="22"/>
        </w:rPr>
        <w:t xml:space="preserve">In this baseline model, within-environment BLUEs and their precision weights (from first-stage ASReml) are combined with the </w:t>
      </w:r>
      <w:r w:rsidR="00231B19" w:rsidRPr="00894E04">
        <w:rPr>
          <w:rFonts w:ascii="Arial" w:hAnsi="Arial" w:cs="Arial"/>
          <w:sz w:val="22"/>
          <w:szCs w:val="22"/>
        </w:rPr>
        <w:t>genomic relationship matrix in the BGLR package</w:t>
      </w:r>
      <w:r w:rsidR="008C340C" w:rsidRPr="00894E04">
        <w:rPr>
          <w:rFonts w:ascii="Arial" w:hAnsi="Arial" w:cs="Arial"/>
          <w:sz w:val="22"/>
          <w:szCs w:val="22"/>
        </w:rPr>
        <w:t xml:space="preserve"> </w:t>
      </w:r>
      <w:r w:rsidR="000715A4" w:rsidRPr="00894E04">
        <w:rPr>
          <w:rFonts w:ascii="Arial" w:hAnsi="Arial" w:cs="Arial"/>
          <w:sz w:val="22"/>
          <w:szCs w:val="22"/>
        </w:rPr>
        <w:t>(Pérez &amp; de los Campos, 2014)</w:t>
      </w:r>
      <w:r w:rsidR="00231B19" w:rsidRPr="00894E04">
        <w:rPr>
          <w:rFonts w:ascii="Arial" w:hAnsi="Arial" w:cs="Arial"/>
          <w:sz w:val="22"/>
          <w:szCs w:val="22"/>
        </w:rPr>
        <w:t>. Three kernels are specified: (1) a genomic kernel from the standardized marker matrix</w:t>
      </w:r>
      <w:r w:rsidR="00E62260" w:rsidRPr="00894E04">
        <w:rPr>
          <w:rFonts w:ascii="Arial" w:hAnsi="Arial" w:cs="Arial"/>
          <w:sz w:val="22"/>
          <w:szCs w:val="22"/>
        </w:rPr>
        <w:t xml:space="preserve">; (2) an environment kernel based on trial incidence; and (3) a GxE interaction kernel formed as the Hadamard product of the first two. To ensure positive semi-definiteness as required for RKHS priors, eigen-decomposition was performed on the interaction kernel, </w:t>
      </w:r>
      <w:r w:rsidR="00F6770C" w:rsidRPr="00894E04">
        <w:rPr>
          <w:rFonts w:ascii="Arial" w:hAnsi="Arial" w:cs="Arial"/>
          <w:sz w:val="22"/>
          <w:szCs w:val="22"/>
        </w:rPr>
        <w:t xml:space="preserve">truncating small negative eigenvalues, and reassembling the matrix. Precision weights enter directly into the likelihood to model </w:t>
      </w:r>
      <w:r w:rsidR="006515A0" w:rsidRPr="00894E04">
        <w:rPr>
          <w:rFonts w:ascii="Arial" w:hAnsi="Arial" w:cs="Arial"/>
          <w:sz w:val="22"/>
          <w:szCs w:val="22"/>
        </w:rPr>
        <w:t xml:space="preserve">heteroskedastic residuals, </w:t>
      </w:r>
      <w:r w:rsidR="00862A7C" w:rsidRPr="00894E04">
        <w:rPr>
          <w:rFonts w:ascii="Arial" w:hAnsi="Arial" w:cs="Arial"/>
          <w:sz w:val="22"/>
          <w:szCs w:val="22"/>
        </w:rPr>
        <w:t xml:space="preserve">and each random effect prior variance is scaled to 20% of total phenotypic variance to balance shrinkage against flexibility. The environment main effect uses Bayesian ridge regression, while genomic </w:t>
      </w:r>
      <w:r w:rsidR="000C1E91" w:rsidRPr="00894E04">
        <w:rPr>
          <w:rFonts w:ascii="Arial" w:hAnsi="Arial" w:cs="Arial"/>
          <w:sz w:val="22"/>
          <w:szCs w:val="22"/>
        </w:rPr>
        <w:t>and GxE effects employ RKHS to capture nonlinear covariance structures</w:t>
      </w:r>
      <w:r w:rsidR="00B06B04" w:rsidRPr="00894E04">
        <w:rPr>
          <w:rFonts w:ascii="Arial" w:hAnsi="Arial" w:cs="Arial"/>
          <w:sz w:val="22"/>
          <w:szCs w:val="22"/>
        </w:rPr>
        <w:t xml:space="preserve"> (</w:t>
      </w:r>
      <w:r w:rsidR="00BB12D2" w:rsidRPr="00894E04">
        <w:rPr>
          <w:rFonts w:ascii="Arial" w:hAnsi="Arial" w:cs="Arial"/>
          <w:sz w:val="22"/>
          <w:szCs w:val="22"/>
        </w:rPr>
        <w:t>de los Campos et al., 2009; Gianola et al., 2009)</w:t>
      </w:r>
      <w:r w:rsidR="000C1E91" w:rsidRPr="00894E04">
        <w:rPr>
          <w:rFonts w:ascii="Arial" w:hAnsi="Arial" w:cs="Arial"/>
          <w:sz w:val="22"/>
          <w:szCs w:val="22"/>
        </w:rPr>
        <w:t>. After masking the 2022 RL environment, 15,000 MCMC Gibbs iterations were run in BGLR and performance was assessed via in-sample and out-of-sample R</w:t>
      </w:r>
      <w:r w:rsidR="000C1E91" w:rsidRPr="00894E04">
        <w:rPr>
          <w:rFonts w:ascii="Arial" w:hAnsi="Arial" w:cs="Arial"/>
          <w:sz w:val="22"/>
          <w:szCs w:val="22"/>
          <w:vertAlign w:val="superscript"/>
        </w:rPr>
        <w:t>2</w:t>
      </w:r>
      <w:r w:rsidR="000C1E91" w:rsidRPr="00894E04">
        <w:rPr>
          <w:rFonts w:ascii="Arial" w:hAnsi="Arial" w:cs="Arial"/>
          <w:sz w:val="22"/>
          <w:szCs w:val="22"/>
        </w:rPr>
        <w:t xml:space="preserve"> (observed vs. predicted), RMSE, and information criteria (AIC/BIC) computed from posterior means and effective parameter counts. Posterior variance components enabled estimation of genetic repeatability </w:t>
      </w:r>
      <w:r w:rsidR="00BF1273" w:rsidRPr="00894E04">
        <w:rPr>
          <w:rFonts w:ascii="Arial" w:hAnsi="Arial" w:cs="Arial"/>
          <w:sz w:val="22"/>
          <w:szCs w:val="22"/>
        </w:rPr>
        <w:t>(σ</w:t>
      </w:r>
      <w:r w:rsidR="00BF1273" w:rsidRPr="00894E04">
        <w:rPr>
          <w:rFonts w:ascii="Arial" w:hAnsi="Arial" w:cs="Arial"/>
          <w:sz w:val="22"/>
          <w:szCs w:val="22"/>
          <w:vertAlign w:val="superscript"/>
        </w:rPr>
        <w:t>2</w:t>
      </w:r>
      <w:r w:rsidR="000516DB" w:rsidRPr="00894E04">
        <w:rPr>
          <w:rFonts w:ascii="Arial" w:hAnsi="Arial" w:cs="Arial"/>
          <w:sz w:val="22"/>
          <w:szCs w:val="22"/>
          <w:vertAlign w:val="subscript"/>
        </w:rPr>
        <w:t>G</w:t>
      </w:r>
      <w:r w:rsidR="000516DB" w:rsidRPr="00894E04">
        <w:rPr>
          <w:rFonts w:ascii="Arial" w:hAnsi="Arial" w:cs="Arial"/>
          <w:sz w:val="22"/>
          <w:szCs w:val="22"/>
        </w:rPr>
        <w:t>/σ</w:t>
      </w:r>
      <w:r w:rsidR="000516DB" w:rsidRPr="00894E04">
        <w:rPr>
          <w:rFonts w:ascii="Arial" w:hAnsi="Arial" w:cs="Arial"/>
          <w:sz w:val="22"/>
          <w:szCs w:val="22"/>
          <w:vertAlign w:val="superscript"/>
        </w:rPr>
        <w:t>2</w:t>
      </w:r>
      <w:r w:rsidR="000516DB" w:rsidRPr="00894E04">
        <w:rPr>
          <w:rFonts w:ascii="Arial" w:hAnsi="Arial" w:cs="Arial"/>
          <w:sz w:val="22"/>
          <w:szCs w:val="22"/>
          <w:vertAlign w:val="subscript"/>
        </w:rPr>
        <w:t>Total</w:t>
      </w:r>
      <w:r w:rsidR="0017295A" w:rsidRPr="00894E04">
        <w:rPr>
          <w:rFonts w:ascii="Arial" w:hAnsi="Arial" w:cs="Arial"/>
          <w:sz w:val="22"/>
          <w:szCs w:val="22"/>
        </w:rPr>
        <w:t>).</w:t>
      </w:r>
    </w:p>
    <w:p w14:paraId="098ED76E" w14:textId="27F8F1A9" w:rsidR="0019004F" w:rsidRPr="00894E04" w:rsidRDefault="0019004F" w:rsidP="00894E04">
      <w:pPr>
        <w:spacing w:line="240" w:lineRule="auto"/>
        <w:rPr>
          <w:rFonts w:ascii="Arial" w:hAnsi="Arial" w:cs="Arial"/>
          <w:sz w:val="22"/>
          <w:szCs w:val="22"/>
        </w:rPr>
      </w:pPr>
      <w:r w:rsidRPr="00894E04">
        <w:rPr>
          <w:rFonts w:ascii="Arial" w:hAnsi="Arial" w:cs="Arial"/>
          <w:sz w:val="22"/>
          <w:szCs w:val="22"/>
          <w:u w:val="single"/>
        </w:rPr>
        <w:t xml:space="preserve">Approach 2 </w:t>
      </w:r>
      <w:r w:rsidRPr="00894E04">
        <w:rPr>
          <w:rFonts w:ascii="Arial" w:hAnsi="Arial" w:cs="Arial"/>
          <w:sz w:val="22"/>
          <w:szCs w:val="22"/>
        </w:rPr>
        <w:t xml:space="preserve">– Linear </w:t>
      </w:r>
      <w:r w:rsidR="002E37EB">
        <w:rPr>
          <w:rFonts w:ascii="Arial" w:hAnsi="Arial" w:cs="Arial"/>
          <w:sz w:val="22"/>
          <w:szCs w:val="22"/>
        </w:rPr>
        <w:t>Pre-</w:t>
      </w:r>
      <w:r w:rsidRPr="00894E04">
        <w:rPr>
          <w:rFonts w:ascii="Arial" w:hAnsi="Arial" w:cs="Arial"/>
          <w:sz w:val="22"/>
          <w:szCs w:val="22"/>
        </w:rPr>
        <w:t>Adjustment</w:t>
      </w:r>
    </w:p>
    <w:p w14:paraId="225A7020" w14:textId="342E4D2D" w:rsidR="006C5EAB" w:rsidRPr="00894E04" w:rsidRDefault="006C5EAB" w:rsidP="00894E04">
      <w:pPr>
        <w:spacing w:line="240" w:lineRule="auto"/>
        <w:rPr>
          <w:rFonts w:ascii="Arial" w:hAnsi="Arial" w:cs="Arial"/>
          <w:sz w:val="22"/>
          <w:szCs w:val="22"/>
        </w:rPr>
      </w:pPr>
      <w:r w:rsidRPr="00894E04">
        <w:rPr>
          <w:rFonts w:ascii="Arial" w:hAnsi="Arial" w:cs="Arial"/>
          <w:sz w:val="22"/>
          <w:szCs w:val="22"/>
        </w:rPr>
        <w:t>This model follows the same kernel construction and fitting procedure as Approach 1 but first “pre-adjusts” phen</w:t>
      </w:r>
      <w:r w:rsidR="00915F7E" w:rsidRPr="00894E04">
        <w:rPr>
          <w:rFonts w:ascii="Arial" w:hAnsi="Arial" w:cs="Arial"/>
          <w:sz w:val="22"/>
          <w:szCs w:val="22"/>
        </w:rPr>
        <w:t>otypes by removing the linear effect of DSI. Within each drought environment, BLUEs are regressed on their corresponding DSI values (w</w:t>
      </w:r>
      <w:r w:rsidR="0066793E" w:rsidRPr="00894E04">
        <w:rPr>
          <w:rFonts w:ascii="Arial" w:hAnsi="Arial" w:cs="Arial"/>
          <w:sz w:val="22"/>
          <w:szCs w:val="22"/>
        </w:rPr>
        <w:t>eighted by precision), and residuals – representing DSI-corrected performance – replace unadjusted BLUEs in all downstream steps. By filtering out drought-linked variance prior to kernel building</w:t>
      </w:r>
      <w:r w:rsidR="003C53DB" w:rsidRPr="00894E04">
        <w:rPr>
          <w:rFonts w:ascii="Arial" w:hAnsi="Arial" w:cs="Arial"/>
          <w:sz w:val="22"/>
          <w:szCs w:val="22"/>
        </w:rPr>
        <w:t xml:space="preserve">, this approach isolates genotypic effects </w:t>
      </w:r>
      <w:r w:rsidR="008B78FC" w:rsidRPr="00894E04">
        <w:rPr>
          <w:rFonts w:ascii="Arial" w:hAnsi="Arial" w:cs="Arial"/>
          <w:sz w:val="22"/>
          <w:szCs w:val="22"/>
        </w:rPr>
        <w:t xml:space="preserve">net of the average drought trend, but also pre-removes environmental variance. Consequently, genetic repeatability estimates from Approach 2 are expected to be inflated relative to the unadjusted </w:t>
      </w:r>
      <w:r w:rsidR="00A25E00" w:rsidRPr="00894E04">
        <w:rPr>
          <w:rFonts w:ascii="Arial" w:hAnsi="Arial" w:cs="Arial"/>
          <w:sz w:val="22"/>
          <w:szCs w:val="22"/>
        </w:rPr>
        <w:t>model and should be interpreted with this pre-adjustment in mind.</w:t>
      </w:r>
    </w:p>
    <w:p w14:paraId="66F6B8F3" w14:textId="1412586E" w:rsidR="0019004F" w:rsidRPr="00894E04" w:rsidRDefault="0019004F" w:rsidP="00894E04">
      <w:pPr>
        <w:spacing w:line="240" w:lineRule="auto"/>
        <w:rPr>
          <w:rFonts w:ascii="Arial" w:hAnsi="Arial" w:cs="Arial"/>
          <w:sz w:val="22"/>
          <w:szCs w:val="22"/>
        </w:rPr>
      </w:pPr>
      <w:r w:rsidRPr="00894E04">
        <w:rPr>
          <w:rFonts w:ascii="Arial" w:hAnsi="Arial" w:cs="Arial"/>
          <w:sz w:val="22"/>
          <w:szCs w:val="22"/>
          <w:u w:val="single"/>
        </w:rPr>
        <w:t>Approach 3</w:t>
      </w:r>
      <w:r w:rsidRPr="00894E04">
        <w:rPr>
          <w:rFonts w:ascii="Arial" w:hAnsi="Arial" w:cs="Arial"/>
          <w:sz w:val="22"/>
          <w:szCs w:val="22"/>
        </w:rPr>
        <w:t xml:space="preserve"> – Reaction-Norm</w:t>
      </w:r>
    </w:p>
    <w:p w14:paraId="72FE7B3B" w14:textId="2A4AE67A" w:rsidR="00A25E00" w:rsidRPr="00894E04" w:rsidRDefault="00A25E00" w:rsidP="00894E04">
      <w:pPr>
        <w:spacing w:line="240" w:lineRule="auto"/>
        <w:rPr>
          <w:rFonts w:ascii="Arial" w:hAnsi="Arial" w:cs="Arial"/>
          <w:sz w:val="22"/>
          <w:szCs w:val="22"/>
        </w:rPr>
      </w:pPr>
      <w:r w:rsidRPr="00894E04">
        <w:rPr>
          <w:rFonts w:ascii="Arial" w:hAnsi="Arial" w:cs="Arial"/>
          <w:sz w:val="22"/>
          <w:szCs w:val="22"/>
        </w:rPr>
        <w:t xml:space="preserve">Extending the baseline framework, </w:t>
      </w:r>
      <w:r w:rsidR="00840950" w:rsidRPr="00894E04">
        <w:rPr>
          <w:rFonts w:ascii="Arial" w:hAnsi="Arial" w:cs="Arial"/>
          <w:sz w:val="22"/>
          <w:szCs w:val="22"/>
        </w:rPr>
        <w:t xml:space="preserve">a fourth kernel is included to model genotype-specific drought sensitivity as a random regression on DSI. </w:t>
      </w:r>
      <w:r w:rsidR="00F1225D" w:rsidRPr="00894E04">
        <w:rPr>
          <w:rFonts w:ascii="Arial" w:hAnsi="Arial" w:cs="Arial"/>
          <w:sz w:val="22"/>
          <w:szCs w:val="22"/>
        </w:rPr>
        <w:t xml:space="preserve">Specifically, </w:t>
      </w:r>
      <w:r w:rsidR="00430264" w:rsidRPr="00894E04">
        <w:rPr>
          <w:rFonts w:ascii="Arial" w:hAnsi="Arial" w:cs="Arial"/>
          <w:sz w:val="22"/>
          <w:szCs w:val="22"/>
        </w:rPr>
        <w:t xml:space="preserve">element-wise multiplication of the genotype incidence matrix by the vector of observation-level DSI values creates a “DSI slope” incidence, </w:t>
      </w:r>
      <w:r w:rsidR="00430264" w:rsidRPr="00894E04">
        <w:rPr>
          <w:rFonts w:ascii="Arial" w:hAnsi="Arial" w:cs="Arial"/>
          <w:sz w:val="22"/>
          <w:szCs w:val="22"/>
        </w:rPr>
        <w:lastRenderedPageBreak/>
        <w:t xml:space="preserve">capturing each genotype’s plasticity per unit change in drought stress. This reaction-norm term </w:t>
      </w:r>
      <w:r w:rsidR="0024048A" w:rsidRPr="00894E04">
        <w:rPr>
          <w:rFonts w:ascii="Arial" w:hAnsi="Arial" w:cs="Arial"/>
          <w:sz w:val="22"/>
          <w:szCs w:val="22"/>
        </w:rPr>
        <w:t xml:space="preserve">explicitly partitions variance in drought responsiveness while retaining the original genomic, environment, and GxE kernels. In this way, Approach 3 quantifies differential plasticity under water deficit without </w:t>
      </w:r>
      <w:r w:rsidR="00BD5F62" w:rsidRPr="00894E04">
        <w:rPr>
          <w:rFonts w:ascii="Arial" w:hAnsi="Arial" w:cs="Arial"/>
          <w:sz w:val="22"/>
          <w:szCs w:val="22"/>
        </w:rPr>
        <w:t>pre-adjusting trait distributions</w:t>
      </w:r>
      <w:r w:rsidR="009844B8" w:rsidRPr="00894E04">
        <w:rPr>
          <w:rFonts w:ascii="Arial" w:hAnsi="Arial" w:cs="Arial"/>
          <w:sz w:val="22"/>
          <w:szCs w:val="22"/>
        </w:rPr>
        <w:t xml:space="preserve"> (</w:t>
      </w:r>
      <w:r w:rsidR="00EA2528" w:rsidRPr="00894E04">
        <w:rPr>
          <w:rFonts w:ascii="Arial" w:hAnsi="Arial" w:cs="Arial"/>
          <w:sz w:val="22"/>
          <w:szCs w:val="22"/>
        </w:rPr>
        <w:t>Jarquín et al., 2014)</w:t>
      </w:r>
      <w:r w:rsidR="00BD5F62" w:rsidRPr="00894E04">
        <w:rPr>
          <w:rFonts w:ascii="Arial" w:hAnsi="Arial" w:cs="Arial"/>
          <w:sz w:val="22"/>
          <w:szCs w:val="22"/>
        </w:rPr>
        <w:t xml:space="preserve">. </w:t>
      </w:r>
    </w:p>
    <w:p w14:paraId="40725574" w14:textId="4FA1935F" w:rsidR="0019004F" w:rsidRPr="00894E04" w:rsidRDefault="0019004F" w:rsidP="00894E04">
      <w:pPr>
        <w:spacing w:line="240" w:lineRule="auto"/>
        <w:rPr>
          <w:rFonts w:ascii="Arial" w:hAnsi="Arial" w:cs="Arial"/>
          <w:i/>
          <w:iCs/>
          <w:sz w:val="22"/>
          <w:szCs w:val="22"/>
        </w:rPr>
      </w:pPr>
      <w:r w:rsidRPr="00894E04">
        <w:rPr>
          <w:rFonts w:ascii="Arial" w:hAnsi="Arial" w:cs="Arial"/>
          <w:i/>
          <w:iCs/>
          <w:sz w:val="22"/>
          <w:szCs w:val="22"/>
        </w:rPr>
        <w:t>GWAS on Model-Derived BLUPs</w:t>
      </w:r>
    </w:p>
    <w:p w14:paraId="66D1051C" w14:textId="33D73BCA" w:rsidR="00B817FB" w:rsidRPr="00894E04" w:rsidRDefault="00E87A2B" w:rsidP="00894E04">
      <w:pPr>
        <w:spacing w:line="240" w:lineRule="auto"/>
        <w:rPr>
          <w:rFonts w:ascii="Arial" w:hAnsi="Arial" w:cs="Arial"/>
          <w:sz w:val="22"/>
          <w:szCs w:val="22"/>
        </w:rPr>
      </w:pPr>
      <w:r w:rsidRPr="00894E04">
        <w:rPr>
          <w:rFonts w:ascii="Arial" w:hAnsi="Arial" w:cs="Arial"/>
          <w:sz w:val="22"/>
          <w:szCs w:val="22"/>
        </w:rPr>
        <w:t xml:space="preserve">After evaluating the </w:t>
      </w:r>
      <w:r w:rsidR="00F42502" w:rsidRPr="00894E04">
        <w:rPr>
          <w:rFonts w:ascii="Arial" w:hAnsi="Arial" w:cs="Arial"/>
          <w:sz w:val="22"/>
          <w:szCs w:val="22"/>
        </w:rPr>
        <w:t>three mixed-model approaches for predictive ability and variance partitioning across grain yield and six component traits, each model was refitted to the complete dataset (training and test environments) to obtain across-environment gen</w:t>
      </w:r>
      <w:r w:rsidR="00530446" w:rsidRPr="00894E04">
        <w:rPr>
          <w:rFonts w:ascii="Arial" w:hAnsi="Arial" w:cs="Arial"/>
          <w:sz w:val="22"/>
          <w:szCs w:val="22"/>
        </w:rPr>
        <w:t>otypic BLUPs. This produced three BLUP vectors per trait – one for each modeling strategy – which then served as phenotypes in BLINK GWAS analyses executed with the GAPIT package</w:t>
      </w:r>
      <w:r w:rsidR="00B809FD" w:rsidRPr="00894E04">
        <w:rPr>
          <w:rFonts w:ascii="Arial" w:hAnsi="Arial" w:cs="Arial"/>
          <w:sz w:val="22"/>
          <w:szCs w:val="22"/>
        </w:rPr>
        <w:t xml:space="preserve"> (Wang &amp; Zhang, 2021)</w:t>
      </w:r>
      <w:r w:rsidR="00530446" w:rsidRPr="00894E04">
        <w:rPr>
          <w:rFonts w:ascii="Arial" w:hAnsi="Arial" w:cs="Arial"/>
          <w:sz w:val="22"/>
          <w:szCs w:val="22"/>
        </w:rPr>
        <w:t xml:space="preserve">. BLINK was selected for its efficient use of a kinship matrix without requiring iterative marker selection, avoiding the convergence failures that </w:t>
      </w:r>
      <w:r w:rsidR="00A73A9E" w:rsidRPr="00894E04">
        <w:rPr>
          <w:rFonts w:ascii="Arial" w:hAnsi="Arial" w:cs="Arial"/>
          <w:sz w:val="22"/>
          <w:szCs w:val="22"/>
        </w:rPr>
        <w:t>can arise when feeding BLUPs already modeled with a genomic relationship matrix into traditional mixed linear model GWAS methods that re-estimate kinship</w:t>
      </w:r>
      <w:r w:rsidR="00B809FD" w:rsidRPr="00894E04">
        <w:rPr>
          <w:rFonts w:ascii="Arial" w:hAnsi="Arial" w:cs="Arial"/>
          <w:sz w:val="22"/>
          <w:szCs w:val="22"/>
        </w:rPr>
        <w:t xml:space="preserve"> (Huang et al., 2018)</w:t>
      </w:r>
      <w:r w:rsidR="00A73A9E" w:rsidRPr="00894E04">
        <w:rPr>
          <w:rFonts w:ascii="Arial" w:hAnsi="Arial" w:cs="Arial"/>
          <w:sz w:val="22"/>
          <w:szCs w:val="22"/>
        </w:rPr>
        <w:t xml:space="preserve">. </w:t>
      </w:r>
    </w:p>
    <w:p w14:paraId="7F160495" w14:textId="438EF2AA" w:rsidR="003B6100" w:rsidRPr="00894E04" w:rsidRDefault="003B6100" w:rsidP="00894E04">
      <w:pPr>
        <w:spacing w:line="240" w:lineRule="auto"/>
        <w:rPr>
          <w:rFonts w:ascii="Arial" w:hAnsi="Arial" w:cs="Arial"/>
          <w:sz w:val="22"/>
          <w:szCs w:val="22"/>
        </w:rPr>
      </w:pPr>
      <w:r w:rsidRPr="00894E04">
        <w:rPr>
          <w:rFonts w:ascii="Arial" w:hAnsi="Arial" w:cs="Arial"/>
          <w:sz w:val="22"/>
          <w:szCs w:val="22"/>
        </w:rPr>
        <w:t>Each trait</w:t>
      </w:r>
      <w:r w:rsidR="0029380F" w:rsidRPr="00894E04">
        <w:rPr>
          <w:rFonts w:ascii="Arial" w:hAnsi="Arial" w:cs="Arial"/>
          <w:sz w:val="22"/>
          <w:szCs w:val="22"/>
        </w:rPr>
        <w:t>-</w:t>
      </w:r>
      <w:r w:rsidRPr="00894E04">
        <w:rPr>
          <w:rFonts w:ascii="Arial" w:hAnsi="Arial" w:cs="Arial"/>
          <w:sz w:val="22"/>
          <w:szCs w:val="22"/>
        </w:rPr>
        <w:t>model combination (7 traits x 3 models = 21 GWAS</w:t>
      </w:r>
      <w:r w:rsidR="00916B78" w:rsidRPr="00894E04">
        <w:rPr>
          <w:rFonts w:ascii="Arial" w:hAnsi="Arial" w:cs="Arial"/>
          <w:sz w:val="22"/>
          <w:szCs w:val="22"/>
        </w:rPr>
        <w:t xml:space="preserve"> runs) included two principal components to account for population structure. Resulting genome-wide </w:t>
      </w:r>
      <w:r w:rsidR="00916B78" w:rsidRPr="00894E04">
        <w:rPr>
          <w:rFonts w:ascii="Arial" w:hAnsi="Arial" w:cs="Arial"/>
          <w:i/>
          <w:iCs/>
          <w:sz w:val="22"/>
          <w:szCs w:val="22"/>
        </w:rPr>
        <w:t>p</w:t>
      </w:r>
      <w:r w:rsidR="00916B78" w:rsidRPr="00894E04">
        <w:rPr>
          <w:rFonts w:ascii="Arial" w:hAnsi="Arial" w:cs="Arial"/>
          <w:sz w:val="22"/>
          <w:szCs w:val="22"/>
        </w:rPr>
        <w:t>-values were -log</w:t>
      </w:r>
      <w:r w:rsidR="00916B78" w:rsidRPr="00894E04">
        <w:rPr>
          <w:rFonts w:ascii="Arial" w:hAnsi="Arial" w:cs="Arial"/>
          <w:sz w:val="22"/>
          <w:szCs w:val="22"/>
          <w:vertAlign w:val="subscript"/>
        </w:rPr>
        <w:t>10</w:t>
      </w:r>
      <w:r w:rsidR="00916B78" w:rsidRPr="00894E04">
        <w:rPr>
          <w:rFonts w:ascii="Arial" w:hAnsi="Arial" w:cs="Arial"/>
          <w:sz w:val="22"/>
          <w:szCs w:val="22"/>
        </w:rPr>
        <w:t xml:space="preserve"> transformed and displayed as Manhattan plots, highlighting the most significant loci. Although these GWAS results aren’t used to declare trait associations per se, comparing marker signal patterns across the three modeling approaches provided </w:t>
      </w:r>
      <w:r w:rsidR="00055A6D" w:rsidRPr="00894E04">
        <w:rPr>
          <w:rFonts w:ascii="Arial" w:hAnsi="Arial" w:cs="Arial"/>
          <w:sz w:val="22"/>
          <w:szCs w:val="22"/>
        </w:rPr>
        <w:t xml:space="preserve">insight into how the different drought correction methods affect the detection of genomic regions underlying trait variation. </w:t>
      </w:r>
    </w:p>
    <w:p w14:paraId="445C3D40" w14:textId="76FF8BE1" w:rsidR="0019004F" w:rsidRPr="00894E04" w:rsidRDefault="0019004F" w:rsidP="00894E04">
      <w:pPr>
        <w:spacing w:line="240" w:lineRule="auto"/>
        <w:rPr>
          <w:rFonts w:ascii="Arial" w:hAnsi="Arial" w:cs="Arial"/>
          <w:b/>
          <w:bCs/>
          <w:sz w:val="22"/>
          <w:szCs w:val="22"/>
        </w:rPr>
      </w:pPr>
      <w:r w:rsidRPr="00894E04">
        <w:rPr>
          <w:rFonts w:ascii="Arial" w:hAnsi="Arial" w:cs="Arial"/>
          <w:b/>
          <w:bCs/>
          <w:sz w:val="22"/>
          <w:szCs w:val="22"/>
        </w:rPr>
        <w:t>Results</w:t>
      </w:r>
    </w:p>
    <w:p w14:paraId="4091DF93" w14:textId="71439936" w:rsidR="000853F7" w:rsidRDefault="0029380F" w:rsidP="00894E04">
      <w:pPr>
        <w:spacing w:line="240" w:lineRule="auto"/>
        <w:rPr>
          <w:rFonts w:ascii="Arial" w:hAnsi="Arial" w:cs="Arial"/>
          <w:sz w:val="22"/>
          <w:szCs w:val="22"/>
        </w:rPr>
      </w:pPr>
      <w:r w:rsidRPr="00894E04">
        <w:rPr>
          <w:rFonts w:ascii="Arial" w:hAnsi="Arial" w:cs="Arial"/>
          <w:sz w:val="22"/>
          <w:szCs w:val="22"/>
        </w:rPr>
        <w:t xml:space="preserve">Table 2 summarizes performance metrics for all 21 trait-model combinations, including information criteria, genetic repeatability, </w:t>
      </w:r>
      <w:r w:rsidR="00003550" w:rsidRPr="00894E04">
        <w:rPr>
          <w:rFonts w:ascii="Arial" w:hAnsi="Arial" w:cs="Arial"/>
          <w:sz w:val="22"/>
          <w:szCs w:val="22"/>
        </w:rPr>
        <w:t>and in- and out-of-sample R</w:t>
      </w:r>
      <w:r w:rsidR="00003550" w:rsidRPr="00894E04">
        <w:rPr>
          <w:rFonts w:ascii="Arial" w:hAnsi="Arial" w:cs="Arial"/>
          <w:sz w:val="22"/>
          <w:szCs w:val="22"/>
          <w:vertAlign w:val="superscript"/>
        </w:rPr>
        <w:t>2</w:t>
      </w:r>
      <w:r w:rsidR="00003550" w:rsidRPr="00894E04">
        <w:rPr>
          <w:rFonts w:ascii="Arial" w:hAnsi="Arial" w:cs="Arial"/>
          <w:sz w:val="22"/>
          <w:szCs w:val="22"/>
        </w:rPr>
        <w:t xml:space="preserve"> and RMSE. </w:t>
      </w:r>
      <w:r w:rsidR="001258A8">
        <w:rPr>
          <w:rFonts w:ascii="Arial" w:hAnsi="Arial" w:cs="Arial"/>
          <w:sz w:val="22"/>
          <w:szCs w:val="22"/>
        </w:rPr>
        <w:t xml:space="preserve">Figure 2 </w:t>
      </w:r>
      <w:r w:rsidR="004F678D">
        <w:rPr>
          <w:rFonts w:ascii="Arial" w:hAnsi="Arial" w:cs="Arial"/>
          <w:sz w:val="22"/>
          <w:szCs w:val="22"/>
        </w:rPr>
        <w:t>shows a visual summation of R</w:t>
      </w:r>
      <w:r w:rsidR="004F678D">
        <w:rPr>
          <w:rFonts w:ascii="Arial" w:hAnsi="Arial" w:cs="Arial"/>
          <w:sz w:val="22"/>
          <w:szCs w:val="22"/>
          <w:vertAlign w:val="superscript"/>
        </w:rPr>
        <w:t>2</w:t>
      </w:r>
      <w:r w:rsidR="004F678D">
        <w:rPr>
          <w:rFonts w:ascii="Arial" w:hAnsi="Arial" w:cs="Arial"/>
          <w:sz w:val="22"/>
          <w:szCs w:val="22"/>
        </w:rPr>
        <w:t xml:space="preserve"> and RMSE </w:t>
      </w:r>
      <w:r w:rsidR="009477D6">
        <w:rPr>
          <w:rFonts w:ascii="Arial" w:hAnsi="Arial" w:cs="Arial"/>
          <w:sz w:val="22"/>
          <w:szCs w:val="22"/>
        </w:rPr>
        <w:t>by model and data split.</w:t>
      </w:r>
      <w:r w:rsidR="004F678D">
        <w:rPr>
          <w:rFonts w:ascii="Arial" w:hAnsi="Arial" w:cs="Arial"/>
          <w:sz w:val="22"/>
          <w:szCs w:val="22"/>
        </w:rPr>
        <w:t xml:space="preserve"> </w:t>
      </w:r>
      <w:r w:rsidR="00DD2B35" w:rsidRPr="00894E04">
        <w:rPr>
          <w:rFonts w:ascii="Arial" w:hAnsi="Arial" w:cs="Arial"/>
          <w:sz w:val="22"/>
          <w:szCs w:val="22"/>
        </w:rPr>
        <w:t>Table 3 summarizes GWAS results</w:t>
      </w:r>
      <w:r w:rsidR="00C334C1" w:rsidRPr="00894E04">
        <w:rPr>
          <w:rFonts w:ascii="Arial" w:hAnsi="Arial" w:cs="Arial"/>
          <w:sz w:val="22"/>
          <w:szCs w:val="22"/>
        </w:rPr>
        <w:t xml:space="preserve">, including </w:t>
      </w:r>
      <w:r w:rsidR="000C52B1" w:rsidRPr="00894E04">
        <w:rPr>
          <w:rFonts w:ascii="Arial" w:hAnsi="Arial" w:cs="Arial"/>
          <w:sz w:val="22"/>
          <w:szCs w:val="22"/>
        </w:rPr>
        <w:t xml:space="preserve">identification of </w:t>
      </w:r>
      <w:r w:rsidR="008A7B74" w:rsidRPr="00894E04">
        <w:rPr>
          <w:rFonts w:ascii="Arial" w:hAnsi="Arial" w:cs="Arial"/>
          <w:sz w:val="22"/>
          <w:szCs w:val="22"/>
        </w:rPr>
        <w:t xml:space="preserve">key </w:t>
      </w:r>
      <w:r w:rsidR="000C52B1" w:rsidRPr="00894E04">
        <w:rPr>
          <w:rFonts w:ascii="Arial" w:hAnsi="Arial" w:cs="Arial"/>
          <w:sz w:val="22"/>
          <w:szCs w:val="22"/>
        </w:rPr>
        <w:t>loci highlighted by each of the 21 trait-model combinations.</w:t>
      </w:r>
    </w:p>
    <w:p w14:paraId="436B81BE" w14:textId="77777777" w:rsidR="00EE68AC" w:rsidRPr="00894E04" w:rsidRDefault="00EE68AC" w:rsidP="00EE68AC">
      <w:pPr>
        <w:spacing w:line="240" w:lineRule="auto"/>
        <w:rPr>
          <w:rFonts w:ascii="Arial" w:hAnsi="Arial" w:cs="Arial"/>
          <w:i/>
          <w:iCs/>
          <w:sz w:val="22"/>
          <w:szCs w:val="22"/>
        </w:rPr>
      </w:pPr>
      <w:r w:rsidRPr="00894E04">
        <w:rPr>
          <w:rFonts w:ascii="Arial" w:hAnsi="Arial" w:cs="Arial"/>
          <w:i/>
          <w:iCs/>
          <w:sz w:val="22"/>
          <w:szCs w:val="22"/>
        </w:rPr>
        <w:t>Grain Yield (GY)</w:t>
      </w:r>
    </w:p>
    <w:p w14:paraId="0E5D2201" w14:textId="77777777" w:rsidR="00EE68AC" w:rsidRPr="00894E04" w:rsidRDefault="00EE68AC" w:rsidP="00EE68AC">
      <w:pPr>
        <w:spacing w:line="240" w:lineRule="auto"/>
        <w:rPr>
          <w:rFonts w:ascii="Arial" w:hAnsi="Arial" w:cs="Arial"/>
          <w:sz w:val="22"/>
          <w:szCs w:val="22"/>
        </w:rPr>
      </w:pPr>
      <w:r w:rsidRPr="00894E04">
        <w:rPr>
          <w:rFonts w:ascii="Arial" w:hAnsi="Arial" w:cs="Arial"/>
          <w:sz w:val="22"/>
          <w:szCs w:val="22"/>
        </w:rPr>
        <w:t>Incorporating drought information markedly improved GY modeling. Both the pre-adjustment and reaction-norm approaches increased genetic repeatability relative to the unadjusted baseline, with reaction norm achieving the highest in-sample R</w:t>
      </w:r>
      <w:r w:rsidRPr="00894E04">
        <w:rPr>
          <w:rFonts w:ascii="Arial" w:hAnsi="Arial" w:cs="Arial"/>
          <w:sz w:val="22"/>
          <w:szCs w:val="22"/>
          <w:vertAlign w:val="superscript"/>
        </w:rPr>
        <w:t>2</w:t>
      </w:r>
      <w:r w:rsidRPr="00894E04">
        <w:rPr>
          <w:rFonts w:ascii="Arial" w:hAnsi="Arial" w:cs="Arial"/>
          <w:sz w:val="22"/>
          <w:szCs w:val="22"/>
        </w:rPr>
        <w:t xml:space="preserve"> and pre-adjustment yielding the lowest in-sample RMSE. Reaction norm also produced the best AIC, while pre-adjustment scored the best BIC. However, for out-of-sample prediction (2022 RL hold-out), the unadjusted model outperformed both drought-informed approaches, exhibiting the highest R</w:t>
      </w:r>
      <w:r w:rsidRPr="00894E04">
        <w:rPr>
          <w:rFonts w:ascii="Arial" w:hAnsi="Arial" w:cs="Arial"/>
          <w:sz w:val="22"/>
          <w:szCs w:val="22"/>
          <w:vertAlign w:val="superscript"/>
        </w:rPr>
        <w:t>2</w:t>
      </w:r>
      <w:r w:rsidRPr="00894E04">
        <w:rPr>
          <w:rFonts w:ascii="Arial" w:hAnsi="Arial" w:cs="Arial"/>
          <w:sz w:val="22"/>
          <w:szCs w:val="22"/>
        </w:rPr>
        <w:t xml:space="preserve"> and lowest RMSE.</w:t>
      </w:r>
    </w:p>
    <w:p w14:paraId="25EE3AE2" w14:textId="7099A776" w:rsidR="00EE68AC" w:rsidRDefault="00EE68AC" w:rsidP="00EE68AC">
      <w:pPr>
        <w:spacing w:line="240" w:lineRule="auto"/>
        <w:rPr>
          <w:rFonts w:ascii="Arial" w:hAnsi="Arial" w:cs="Arial"/>
          <w:sz w:val="22"/>
          <w:szCs w:val="22"/>
        </w:rPr>
      </w:pPr>
      <w:r w:rsidRPr="00894E04">
        <w:rPr>
          <w:rFonts w:ascii="Arial" w:hAnsi="Arial" w:cs="Arial"/>
          <w:sz w:val="22"/>
          <w:szCs w:val="22"/>
        </w:rPr>
        <w:t>GWAS of unadjusted GY BLUPs recapitulated known associations on chromosomes 3A and 6B. After drought adjustment (Approach 2), the 3A peak strengthened and the 6B signal weakened, whereas reaction norm (Approach 3) attenuated the 3A association and further reduced the 6B locus significance – meanwhile elevating a 4B marker to prominent significance.</w:t>
      </w:r>
      <w:r w:rsidR="0006611C">
        <w:rPr>
          <w:rFonts w:ascii="Arial" w:hAnsi="Arial" w:cs="Arial"/>
          <w:sz w:val="22"/>
          <w:szCs w:val="22"/>
        </w:rPr>
        <w:t xml:space="preserve"> Figure 3 </w:t>
      </w:r>
      <w:r w:rsidR="00BE266F">
        <w:rPr>
          <w:rFonts w:ascii="Arial" w:hAnsi="Arial" w:cs="Arial"/>
          <w:sz w:val="22"/>
          <w:szCs w:val="22"/>
        </w:rPr>
        <w:t>visually summarizes</w:t>
      </w:r>
      <w:r w:rsidR="00AE6FFA">
        <w:rPr>
          <w:rFonts w:ascii="Arial" w:hAnsi="Arial" w:cs="Arial"/>
          <w:sz w:val="22"/>
          <w:szCs w:val="22"/>
        </w:rPr>
        <w:t xml:space="preserve"> GY modeling results.</w:t>
      </w:r>
    </w:p>
    <w:p w14:paraId="33A9DAD7" w14:textId="77777777" w:rsidR="00887281" w:rsidRPr="00894E04" w:rsidRDefault="00887281" w:rsidP="00887281">
      <w:pPr>
        <w:spacing w:line="240" w:lineRule="auto"/>
        <w:rPr>
          <w:rFonts w:ascii="Arial" w:hAnsi="Arial" w:cs="Arial"/>
          <w:i/>
          <w:iCs/>
          <w:sz w:val="22"/>
          <w:szCs w:val="22"/>
        </w:rPr>
      </w:pPr>
      <w:r w:rsidRPr="00894E04">
        <w:rPr>
          <w:rFonts w:ascii="Arial" w:hAnsi="Arial" w:cs="Arial"/>
          <w:i/>
          <w:iCs/>
          <w:sz w:val="22"/>
          <w:szCs w:val="22"/>
        </w:rPr>
        <w:t>Plant Height (PH) &amp; Senescence Date (SD)</w:t>
      </w:r>
    </w:p>
    <w:p w14:paraId="163D3363" w14:textId="29B0EBD7" w:rsidR="00887281" w:rsidRPr="00894E04" w:rsidRDefault="00887281" w:rsidP="00887281">
      <w:pPr>
        <w:spacing w:line="240" w:lineRule="auto"/>
        <w:rPr>
          <w:rFonts w:ascii="Arial" w:hAnsi="Arial" w:cs="Arial"/>
          <w:sz w:val="22"/>
          <w:szCs w:val="22"/>
        </w:rPr>
      </w:pPr>
      <w:r w:rsidRPr="00894E04">
        <w:rPr>
          <w:rFonts w:ascii="Arial" w:hAnsi="Arial" w:cs="Arial"/>
          <w:sz w:val="22"/>
          <w:szCs w:val="22"/>
        </w:rPr>
        <w:t>All three models yielded nearly identical PH metrics, differing by less than 0.01 in repeatability, R</w:t>
      </w:r>
      <w:r w:rsidRPr="00894E04">
        <w:rPr>
          <w:rFonts w:ascii="Arial" w:hAnsi="Arial" w:cs="Arial"/>
          <w:sz w:val="22"/>
          <w:szCs w:val="22"/>
          <w:vertAlign w:val="superscript"/>
        </w:rPr>
        <w:t>2</w:t>
      </w:r>
      <w:r w:rsidRPr="00894E04">
        <w:rPr>
          <w:rFonts w:ascii="Arial" w:hAnsi="Arial" w:cs="Arial"/>
          <w:sz w:val="22"/>
          <w:szCs w:val="22"/>
        </w:rPr>
        <w:t>, and RMSE. Reaction norm held a slight edge in both training and test fit. GWAS results were likewise consistent for the baseline and pre</w:t>
      </w:r>
      <w:r w:rsidRPr="00894E04">
        <w:rPr>
          <w:rFonts w:ascii="Arial" w:hAnsi="Arial" w:cs="Arial"/>
          <w:sz w:val="22"/>
          <w:szCs w:val="22"/>
        </w:rPr>
        <w:noBreakHyphen/>
        <w:t>adjustment approaches, with top associations on 1B, 4B, and 5A. Notably, reaction norm uncovered additional peaks on 1D and 2B that were not detected otherwise.</w:t>
      </w:r>
      <w:r w:rsidR="00BE266F">
        <w:rPr>
          <w:rFonts w:ascii="Arial" w:hAnsi="Arial" w:cs="Arial"/>
          <w:sz w:val="22"/>
          <w:szCs w:val="22"/>
        </w:rPr>
        <w:t xml:space="preserve"> Figure 4 visually summarizes PH modeling results.</w:t>
      </w:r>
    </w:p>
    <w:p w14:paraId="63CE0231" w14:textId="22C2C70C" w:rsidR="000C3328" w:rsidRDefault="00887281" w:rsidP="00887281">
      <w:pPr>
        <w:spacing w:line="240" w:lineRule="auto"/>
        <w:rPr>
          <w:rFonts w:ascii="Arial" w:hAnsi="Arial" w:cs="Arial"/>
          <w:sz w:val="22"/>
          <w:szCs w:val="22"/>
        </w:rPr>
      </w:pPr>
      <w:r w:rsidRPr="00894E04">
        <w:rPr>
          <w:rFonts w:ascii="Arial" w:hAnsi="Arial" w:cs="Arial"/>
          <w:sz w:val="22"/>
          <w:szCs w:val="22"/>
        </w:rPr>
        <w:t>Pre</w:t>
      </w:r>
      <w:r w:rsidRPr="00894E04">
        <w:rPr>
          <w:rFonts w:ascii="Arial" w:hAnsi="Arial" w:cs="Arial"/>
          <w:sz w:val="22"/>
          <w:szCs w:val="22"/>
        </w:rPr>
        <w:noBreakHyphen/>
        <w:t>adjustment offered a marginal advantage for SD, with the lowest test RMSE and highest repeatability – though this benefit must be weighed against its upward bias in repeatability, since environmental variance is partly removed before modeling. AIC favored reaction norm, while BIC again preferred pre</w:t>
      </w:r>
      <w:r w:rsidRPr="00894E04">
        <w:rPr>
          <w:rFonts w:ascii="Arial" w:hAnsi="Arial" w:cs="Arial"/>
          <w:sz w:val="22"/>
          <w:szCs w:val="22"/>
        </w:rPr>
        <w:noBreakHyphen/>
        <w:t>adjustment. GWAS patterns mirrored PH: baseline and pre</w:t>
      </w:r>
      <w:r w:rsidRPr="00894E04">
        <w:rPr>
          <w:rFonts w:ascii="Arial" w:hAnsi="Arial" w:cs="Arial"/>
          <w:sz w:val="22"/>
          <w:szCs w:val="22"/>
        </w:rPr>
        <w:noBreakHyphen/>
        <w:t xml:space="preserve">adjustment highlighted 2B </w:t>
      </w:r>
      <w:r w:rsidRPr="00894E04">
        <w:rPr>
          <w:rFonts w:ascii="Arial" w:hAnsi="Arial" w:cs="Arial"/>
          <w:sz w:val="22"/>
          <w:szCs w:val="22"/>
        </w:rPr>
        <w:lastRenderedPageBreak/>
        <w:t>and 6B signals, whereas reaction norm demoted those loci in significance and revealed a strong 7A peak.</w:t>
      </w:r>
      <w:r w:rsidR="00364838">
        <w:rPr>
          <w:rFonts w:ascii="Arial" w:hAnsi="Arial" w:cs="Arial"/>
          <w:sz w:val="22"/>
          <w:szCs w:val="22"/>
        </w:rPr>
        <w:t xml:space="preserve"> Figure 5 visually summarizes SD modeling result</w:t>
      </w:r>
      <w:r w:rsidR="000C3328">
        <w:rPr>
          <w:rFonts w:ascii="Arial" w:hAnsi="Arial" w:cs="Arial"/>
          <w:sz w:val="22"/>
          <w:szCs w:val="22"/>
        </w:rPr>
        <w:t>s.</w:t>
      </w:r>
    </w:p>
    <w:p w14:paraId="7A13AB2C" w14:textId="7B042DCF" w:rsidR="00342171" w:rsidRPr="00887281" w:rsidRDefault="00DF603D" w:rsidP="00887281">
      <w:pPr>
        <w:spacing w:line="240" w:lineRule="auto"/>
        <w:rPr>
          <w:rFonts w:ascii="Arial" w:hAnsi="Arial" w:cs="Arial"/>
          <w:sz w:val="22"/>
          <w:szCs w:val="22"/>
        </w:rPr>
      </w:pPr>
      <w:r w:rsidRPr="001C175C">
        <w:rPr>
          <w:rFonts w:ascii="Arial" w:hAnsi="Arial" w:cs="Arial"/>
          <w:b/>
          <w:bCs/>
          <w:sz w:val="16"/>
          <w:szCs w:val="16"/>
        </w:rPr>
        <w:t>Table 2</w:t>
      </w:r>
      <w:r w:rsidRPr="001C175C">
        <w:rPr>
          <w:rFonts w:ascii="Arial" w:hAnsi="Arial" w:cs="Arial"/>
          <w:sz w:val="16"/>
          <w:szCs w:val="16"/>
        </w:rPr>
        <w:t>. Summary of predictive performance for three modeling approaches across seven traits—grain yield (</w:t>
      </w:r>
      <w:r w:rsidRPr="001C175C">
        <w:rPr>
          <w:rFonts w:ascii="Arial" w:hAnsi="Arial" w:cs="Arial"/>
          <w:b/>
          <w:bCs/>
          <w:sz w:val="16"/>
          <w:szCs w:val="16"/>
        </w:rPr>
        <w:t>GY</w:t>
      </w:r>
      <w:r w:rsidRPr="001C175C">
        <w:rPr>
          <w:rFonts w:ascii="Arial" w:hAnsi="Arial" w:cs="Arial"/>
          <w:sz w:val="16"/>
          <w:szCs w:val="16"/>
        </w:rPr>
        <w:t>), senescence date (</w:t>
      </w:r>
      <w:r w:rsidRPr="001C175C">
        <w:rPr>
          <w:rFonts w:ascii="Arial" w:hAnsi="Arial" w:cs="Arial"/>
          <w:b/>
          <w:bCs/>
          <w:sz w:val="16"/>
          <w:szCs w:val="16"/>
        </w:rPr>
        <w:t>SD</w:t>
      </w:r>
      <w:r w:rsidRPr="001C175C">
        <w:rPr>
          <w:rFonts w:ascii="Arial" w:hAnsi="Arial" w:cs="Arial"/>
          <w:sz w:val="16"/>
          <w:szCs w:val="16"/>
        </w:rPr>
        <w:t>), plant height (</w:t>
      </w:r>
      <w:r w:rsidRPr="001C175C">
        <w:rPr>
          <w:rFonts w:ascii="Arial" w:hAnsi="Arial" w:cs="Arial"/>
          <w:b/>
          <w:bCs/>
          <w:sz w:val="16"/>
          <w:szCs w:val="16"/>
        </w:rPr>
        <w:t>PH</w:t>
      </w:r>
      <w:r w:rsidRPr="001C175C">
        <w:rPr>
          <w:rFonts w:ascii="Arial" w:hAnsi="Arial" w:cs="Arial"/>
          <w:sz w:val="16"/>
          <w:szCs w:val="16"/>
        </w:rPr>
        <w:t>), normalized difference vegetation index (</w:t>
      </w:r>
      <w:r w:rsidRPr="001C175C">
        <w:rPr>
          <w:rFonts w:ascii="Arial" w:hAnsi="Arial" w:cs="Arial"/>
          <w:b/>
          <w:bCs/>
          <w:sz w:val="16"/>
          <w:szCs w:val="16"/>
        </w:rPr>
        <w:t>NDVI</w:t>
      </w:r>
      <w:r w:rsidRPr="001C175C">
        <w:rPr>
          <w:rFonts w:ascii="Arial" w:hAnsi="Arial" w:cs="Arial"/>
          <w:sz w:val="16"/>
          <w:szCs w:val="16"/>
        </w:rPr>
        <w:t>), green reflectance (</w:t>
      </w:r>
      <w:r w:rsidRPr="001C175C">
        <w:rPr>
          <w:rFonts w:ascii="Arial" w:hAnsi="Arial" w:cs="Arial"/>
          <w:b/>
          <w:bCs/>
          <w:sz w:val="16"/>
          <w:szCs w:val="16"/>
        </w:rPr>
        <w:t>GR</w:t>
      </w:r>
      <w:r w:rsidRPr="001C175C">
        <w:rPr>
          <w:rFonts w:ascii="Arial" w:hAnsi="Arial" w:cs="Arial"/>
          <w:sz w:val="16"/>
          <w:szCs w:val="16"/>
        </w:rPr>
        <w:t>), thousand kernel weight (</w:t>
      </w:r>
      <w:r w:rsidRPr="001C175C">
        <w:rPr>
          <w:rFonts w:ascii="Arial" w:hAnsi="Arial" w:cs="Arial"/>
          <w:b/>
          <w:bCs/>
          <w:sz w:val="16"/>
          <w:szCs w:val="16"/>
        </w:rPr>
        <w:t>TKW</w:t>
      </w:r>
      <w:r w:rsidRPr="001C175C">
        <w:rPr>
          <w:rFonts w:ascii="Arial" w:hAnsi="Arial" w:cs="Arial"/>
          <w:sz w:val="16"/>
          <w:szCs w:val="16"/>
        </w:rPr>
        <w:t>), and test weight (</w:t>
      </w:r>
      <w:r w:rsidRPr="001C175C">
        <w:rPr>
          <w:rFonts w:ascii="Arial" w:hAnsi="Arial" w:cs="Arial"/>
          <w:b/>
          <w:bCs/>
          <w:sz w:val="16"/>
          <w:szCs w:val="16"/>
        </w:rPr>
        <w:t>TW</w:t>
      </w:r>
      <w:r w:rsidRPr="001C175C">
        <w:rPr>
          <w:rFonts w:ascii="Arial" w:hAnsi="Arial" w:cs="Arial"/>
          <w:sz w:val="16"/>
          <w:szCs w:val="16"/>
        </w:rPr>
        <w:t>). Metrics include in</w:t>
      </w:r>
      <w:r w:rsidRPr="001C175C">
        <w:rPr>
          <w:rFonts w:ascii="Cambria Math" w:hAnsi="Cambria Math" w:cs="Cambria Math"/>
          <w:sz w:val="16"/>
          <w:szCs w:val="16"/>
        </w:rPr>
        <w:t>‑</w:t>
      </w:r>
      <w:r w:rsidRPr="001C175C">
        <w:rPr>
          <w:rFonts w:ascii="Arial" w:hAnsi="Arial" w:cs="Arial"/>
          <w:sz w:val="16"/>
          <w:szCs w:val="16"/>
        </w:rPr>
        <w:t>sample and out</w:t>
      </w:r>
      <w:r w:rsidRPr="001C175C">
        <w:rPr>
          <w:rFonts w:ascii="Cambria Math" w:hAnsi="Cambria Math" w:cs="Cambria Math"/>
          <w:sz w:val="16"/>
          <w:szCs w:val="16"/>
        </w:rPr>
        <w:t>‑</w:t>
      </w:r>
      <w:r w:rsidRPr="001C175C">
        <w:rPr>
          <w:rFonts w:ascii="Arial" w:hAnsi="Arial" w:cs="Arial"/>
          <w:sz w:val="16"/>
          <w:szCs w:val="16"/>
        </w:rPr>
        <w:t>of</w:t>
      </w:r>
      <w:r w:rsidRPr="001C175C">
        <w:rPr>
          <w:rFonts w:ascii="Cambria Math" w:hAnsi="Cambria Math" w:cs="Cambria Math"/>
          <w:sz w:val="16"/>
          <w:szCs w:val="16"/>
        </w:rPr>
        <w:t>‑</w:t>
      </w:r>
      <w:r w:rsidRPr="001C175C">
        <w:rPr>
          <w:rFonts w:ascii="Arial" w:hAnsi="Arial" w:cs="Arial"/>
          <w:sz w:val="16"/>
          <w:szCs w:val="16"/>
        </w:rPr>
        <w:t>sample R² and RMSE, Akaike and Bayesian information criteria (AIC/BIC), genetic repeatability,</w:t>
      </w:r>
      <w:r w:rsidR="00342171" w:rsidRPr="001C175C">
        <w:rPr>
          <w:rFonts w:ascii="Arial" w:hAnsi="Arial" w:cs="Arial"/>
          <w:sz w:val="16"/>
          <w:szCs w:val="16"/>
        </w:rPr>
        <w:t xml:space="preserve"> </w:t>
      </w:r>
      <w:r w:rsidRPr="001C175C">
        <w:rPr>
          <w:rFonts w:ascii="Arial" w:hAnsi="Arial" w:cs="Arial"/>
          <w:sz w:val="16"/>
          <w:szCs w:val="16"/>
        </w:rPr>
        <w:t>and the proportion of total variance attributed to environment, genotype, G</w:t>
      </w:r>
      <w:r w:rsidR="00342171" w:rsidRPr="001C175C">
        <w:rPr>
          <w:rFonts w:ascii="Arial" w:hAnsi="Arial" w:cs="Arial"/>
          <w:sz w:val="16"/>
          <w:szCs w:val="16"/>
        </w:rPr>
        <w:t>x</w:t>
      </w:r>
      <w:r w:rsidRPr="001C175C">
        <w:rPr>
          <w:rFonts w:ascii="Arial" w:hAnsi="Arial" w:cs="Arial"/>
          <w:sz w:val="16"/>
          <w:szCs w:val="16"/>
        </w:rPr>
        <w:t>E interaction, and residual error.</w:t>
      </w:r>
    </w:p>
    <w:tbl>
      <w:tblPr>
        <w:tblW w:w="10189" w:type="dxa"/>
        <w:tblLook w:val="04A0" w:firstRow="1" w:lastRow="0" w:firstColumn="1" w:lastColumn="0" w:noHBand="0" w:noVBand="1"/>
      </w:tblPr>
      <w:tblGrid>
        <w:gridCol w:w="599"/>
        <w:gridCol w:w="1319"/>
        <w:gridCol w:w="652"/>
        <w:gridCol w:w="916"/>
        <w:gridCol w:w="796"/>
        <w:gridCol w:w="1093"/>
        <w:gridCol w:w="1240"/>
        <w:gridCol w:w="572"/>
        <w:gridCol w:w="572"/>
        <w:gridCol w:w="528"/>
        <w:gridCol w:w="539"/>
        <w:gridCol w:w="735"/>
        <w:gridCol w:w="628"/>
      </w:tblGrid>
      <w:tr w:rsidR="00AA100D" w:rsidRPr="00AA100D" w14:paraId="562A6E76" w14:textId="77777777" w:rsidTr="00AA100D">
        <w:trPr>
          <w:trHeight w:val="300"/>
        </w:trPr>
        <w:tc>
          <w:tcPr>
            <w:tcW w:w="599" w:type="dxa"/>
            <w:tcBorders>
              <w:top w:val="single" w:sz="4" w:space="0" w:color="auto"/>
              <w:left w:val="nil"/>
              <w:bottom w:val="single" w:sz="4" w:space="0" w:color="auto"/>
              <w:right w:val="nil"/>
            </w:tcBorders>
            <w:vAlign w:val="center"/>
            <w:hideMark/>
          </w:tcPr>
          <w:p w14:paraId="0D8F0808"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trait</w:t>
            </w:r>
          </w:p>
        </w:tc>
        <w:tc>
          <w:tcPr>
            <w:tcW w:w="1319" w:type="dxa"/>
            <w:tcBorders>
              <w:top w:val="single" w:sz="4" w:space="0" w:color="auto"/>
              <w:left w:val="nil"/>
              <w:bottom w:val="single" w:sz="4" w:space="0" w:color="auto"/>
              <w:right w:val="nil"/>
            </w:tcBorders>
            <w:noWrap/>
            <w:vAlign w:val="center"/>
            <w:hideMark/>
          </w:tcPr>
          <w:p w14:paraId="4333CCBC"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model</w:t>
            </w:r>
          </w:p>
        </w:tc>
        <w:tc>
          <w:tcPr>
            <w:tcW w:w="652" w:type="dxa"/>
            <w:tcBorders>
              <w:top w:val="single" w:sz="4" w:space="0" w:color="auto"/>
              <w:left w:val="nil"/>
              <w:bottom w:val="single" w:sz="4" w:space="0" w:color="auto"/>
              <w:right w:val="nil"/>
            </w:tcBorders>
            <w:noWrap/>
            <w:vAlign w:val="center"/>
            <w:hideMark/>
          </w:tcPr>
          <w:p w14:paraId="35421A1F"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R2_in</w:t>
            </w:r>
          </w:p>
        </w:tc>
        <w:tc>
          <w:tcPr>
            <w:tcW w:w="916" w:type="dxa"/>
            <w:tcBorders>
              <w:top w:val="single" w:sz="4" w:space="0" w:color="auto"/>
              <w:left w:val="nil"/>
              <w:bottom w:val="single" w:sz="4" w:space="0" w:color="auto"/>
              <w:right w:val="nil"/>
            </w:tcBorders>
            <w:noWrap/>
            <w:vAlign w:val="center"/>
            <w:hideMark/>
          </w:tcPr>
          <w:p w14:paraId="43F0D83A"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RMSE_in</w:t>
            </w:r>
          </w:p>
        </w:tc>
        <w:tc>
          <w:tcPr>
            <w:tcW w:w="796" w:type="dxa"/>
            <w:tcBorders>
              <w:top w:val="single" w:sz="4" w:space="0" w:color="auto"/>
              <w:left w:val="nil"/>
              <w:bottom w:val="single" w:sz="4" w:space="0" w:color="auto"/>
              <w:right w:val="nil"/>
            </w:tcBorders>
            <w:noWrap/>
            <w:vAlign w:val="center"/>
            <w:hideMark/>
          </w:tcPr>
          <w:p w14:paraId="09A3EF0F"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R2_test</w:t>
            </w:r>
          </w:p>
        </w:tc>
        <w:tc>
          <w:tcPr>
            <w:tcW w:w="1093" w:type="dxa"/>
            <w:tcBorders>
              <w:top w:val="single" w:sz="4" w:space="0" w:color="auto"/>
              <w:left w:val="nil"/>
              <w:bottom w:val="single" w:sz="4" w:space="0" w:color="auto"/>
              <w:right w:val="nil"/>
            </w:tcBorders>
            <w:noWrap/>
            <w:vAlign w:val="center"/>
            <w:hideMark/>
          </w:tcPr>
          <w:p w14:paraId="7116B896"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RMSE_test</w:t>
            </w:r>
          </w:p>
        </w:tc>
        <w:tc>
          <w:tcPr>
            <w:tcW w:w="1240" w:type="dxa"/>
            <w:tcBorders>
              <w:top w:val="single" w:sz="4" w:space="0" w:color="auto"/>
              <w:left w:val="nil"/>
              <w:bottom w:val="single" w:sz="4" w:space="0" w:color="auto"/>
              <w:right w:val="nil"/>
            </w:tcBorders>
            <w:noWrap/>
            <w:vAlign w:val="center"/>
            <w:hideMark/>
          </w:tcPr>
          <w:p w14:paraId="0FB43DCB"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repeatability</w:t>
            </w:r>
          </w:p>
        </w:tc>
        <w:tc>
          <w:tcPr>
            <w:tcW w:w="572" w:type="dxa"/>
            <w:tcBorders>
              <w:top w:val="single" w:sz="4" w:space="0" w:color="auto"/>
              <w:left w:val="nil"/>
              <w:bottom w:val="single" w:sz="4" w:space="0" w:color="auto"/>
              <w:right w:val="nil"/>
            </w:tcBorders>
            <w:noWrap/>
            <w:vAlign w:val="center"/>
            <w:hideMark/>
          </w:tcPr>
          <w:p w14:paraId="10B34C6C"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AIC</w:t>
            </w:r>
          </w:p>
        </w:tc>
        <w:tc>
          <w:tcPr>
            <w:tcW w:w="572" w:type="dxa"/>
            <w:tcBorders>
              <w:top w:val="single" w:sz="4" w:space="0" w:color="auto"/>
              <w:left w:val="nil"/>
              <w:bottom w:val="single" w:sz="4" w:space="0" w:color="auto"/>
              <w:right w:val="nil"/>
            </w:tcBorders>
            <w:noWrap/>
            <w:vAlign w:val="center"/>
            <w:hideMark/>
          </w:tcPr>
          <w:p w14:paraId="49877D23"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BIC</w:t>
            </w:r>
          </w:p>
        </w:tc>
        <w:tc>
          <w:tcPr>
            <w:tcW w:w="528" w:type="dxa"/>
            <w:tcBorders>
              <w:top w:val="single" w:sz="4" w:space="0" w:color="auto"/>
              <w:left w:val="nil"/>
              <w:bottom w:val="single" w:sz="4" w:space="0" w:color="auto"/>
              <w:right w:val="nil"/>
            </w:tcBorders>
            <w:noWrap/>
            <w:vAlign w:val="center"/>
            <w:hideMark/>
          </w:tcPr>
          <w:p w14:paraId="6DD88081"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σ2E</w:t>
            </w:r>
          </w:p>
        </w:tc>
        <w:tc>
          <w:tcPr>
            <w:tcW w:w="539" w:type="dxa"/>
            <w:tcBorders>
              <w:top w:val="single" w:sz="4" w:space="0" w:color="auto"/>
              <w:left w:val="nil"/>
              <w:bottom w:val="single" w:sz="4" w:space="0" w:color="auto"/>
              <w:right w:val="nil"/>
            </w:tcBorders>
            <w:noWrap/>
            <w:vAlign w:val="center"/>
            <w:hideMark/>
          </w:tcPr>
          <w:p w14:paraId="25C6B812"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σ2G</w:t>
            </w:r>
          </w:p>
        </w:tc>
        <w:tc>
          <w:tcPr>
            <w:tcW w:w="735" w:type="dxa"/>
            <w:tcBorders>
              <w:top w:val="single" w:sz="4" w:space="0" w:color="auto"/>
              <w:left w:val="nil"/>
              <w:bottom w:val="single" w:sz="4" w:space="0" w:color="auto"/>
              <w:right w:val="nil"/>
            </w:tcBorders>
            <w:noWrap/>
            <w:vAlign w:val="center"/>
            <w:hideMark/>
          </w:tcPr>
          <w:p w14:paraId="539050E5"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σ2GxE</w:t>
            </w:r>
          </w:p>
        </w:tc>
        <w:tc>
          <w:tcPr>
            <w:tcW w:w="628" w:type="dxa"/>
            <w:tcBorders>
              <w:top w:val="single" w:sz="4" w:space="0" w:color="auto"/>
              <w:left w:val="nil"/>
              <w:bottom w:val="single" w:sz="4" w:space="0" w:color="auto"/>
              <w:right w:val="nil"/>
            </w:tcBorders>
            <w:noWrap/>
            <w:vAlign w:val="center"/>
            <w:hideMark/>
          </w:tcPr>
          <w:p w14:paraId="627C5088" w14:textId="77777777" w:rsidR="00AA100D" w:rsidRPr="00AA100D" w:rsidRDefault="00AA100D" w:rsidP="00AA100D">
            <w:pPr>
              <w:spacing w:after="0" w:line="240" w:lineRule="auto"/>
              <w:jc w:val="center"/>
              <w:rPr>
                <w:rFonts w:ascii="Arial" w:eastAsia="Times New Roman" w:hAnsi="Arial" w:cs="Arial"/>
                <w:b/>
                <w:bCs/>
                <w:kern w:val="0"/>
                <w:sz w:val="16"/>
                <w:szCs w:val="16"/>
                <w14:ligatures w14:val="none"/>
              </w:rPr>
            </w:pPr>
            <w:r w:rsidRPr="00AA100D">
              <w:rPr>
                <w:rFonts w:ascii="Arial" w:eastAsia="Times New Roman" w:hAnsi="Arial" w:cs="Arial"/>
                <w:b/>
                <w:bCs/>
                <w:kern w:val="0"/>
                <w:sz w:val="16"/>
                <w:szCs w:val="16"/>
                <w14:ligatures w14:val="none"/>
              </w:rPr>
              <w:t>σ2err</w:t>
            </w:r>
          </w:p>
        </w:tc>
      </w:tr>
      <w:tr w:rsidR="00AA100D" w:rsidRPr="00AA100D" w14:paraId="26B6863C" w14:textId="77777777" w:rsidTr="00AA100D">
        <w:trPr>
          <w:trHeight w:val="300"/>
        </w:trPr>
        <w:tc>
          <w:tcPr>
            <w:tcW w:w="599" w:type="dxa"/>
            <w:tcBorders>
              <w:top w:val="nil"/>
              <w:left w:val="nil"/>
              <w:bottom w:val="nil"/>
              <w:right w:val="nil"/>
            </w:tcBorders>
            <w:noWrap/>
            <w:vAlign w:val="center"/>
            <w:hideMark/>
          </w:tcPr>
          <w:p w14:paraId="34DC84C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SD</w:t>
            </w:r>
          </w:p>
        </w:tc>
        <w:tc>
          <w:tcPr>
            <w:tcW w:w="1319" w:type="dxa"/>
            <w:tcBorders>
              <w:top w:val="nil"/>
              <w:left w:val="nil"/>
              <w:bottom w:val="nil"/>
              <w:right w:val="nil"/>
            </w:tcBorders>
            <w:noWrap/>
            <w:vAlign w:val="center"/>
            <w:hideMark/>
          </w:tcPr>
          <w:p w14:paraId="0ADE8CF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unadj</w:t>
            </w:r>
          </w:p>
        </w:tc>
        <w:tc>
          <w:tcPr>
            <w:tcW w:w="652" w:type="dxa"/>
            <w:tcBorders>
              <w:top w:val="nil"/>
              <w:left w:val="nil"/>
              <w:bottom w:val="nil"/>
              <w:right w:val="nil"/>
            </w:tcBorders>
            <w:noWrap/>
            <w:vAlign w:val="center"/>
            <w:hideMark/>
          </w:tcPr>
          <w:p w14:paraId="16D22B2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0.45</w:t>
            </w:r>
          </w:p>
        </w:tc>
        <w:tc>
          <w:tcPr>
            <w:tcW w:w="916" w:type="dxa"/>
            <w:tcBorders>
              <w:top w:val="nil"/>
              <w:left w:val="nil"/>
              <w:bottom w:val="nil"/>
              <w:right w:val="nil"/>
            </w:tcBorders>
            <w:noWrap/>
            <w:vAlign w:val="center"/>
            <w:hideMark/>
          </w:tcPr>
          <w:p w14:paraId="17CD7D9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0.64</w:t>
            </w:r>
          </w:p>
        </w:tc>
        <w:tc>
          <w:tcPr>
            <w:tcW w:w="796" w:type="dxa"/>
            <w:tcBorders>
              <w:top w:val="nil"/>
              <w:left w:val="nil"/>
              <w:bottom w:val="nil"/>
              <w:right w:val="nil"/>
            </w:tcBorders>
            <w:noWrap/>
            <w:vAlign w:val="center"/>
            <w:hideMark/>
          </w:tcPr>
          <w:p w14:paraId="4156B85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0.30</w:t>
            </w:r>
          </w:p>
        </w:tc>
        <w:tc>
          <w:tcPr>
            <w:tcW w:w="1093" w:type="dxa"/>
            <w:tcBorders>
              <w:top w:val="nil"/>
              <w:left w:val="nil"/>
              <w:bottom w:val="nil"/>
              <w:right w:val="nil"/>
            </w:tcBorders>
            <w:noWrap/>
            <w:vAlign w:val="center"/>
            <w:hideMark/>
          </w:tcPr>
          <w:p w14:paraId="36EB59F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0.86</w:t>
            </w:r>
          </w:p>
        </w:tc>
        <w:tc>
          <w:tcPr>
            <w:tcW w:w="1240" w:type="dxa"/>
            <w:tcBorders>
              <w:top w:val="nil"/>
              <w:left w:val="nil"/>
              <w:bottom w:val="nil"/>
              <w:right w:val="nil"/>
            </w:tcBorders>
            <w:noWrap/>
            <w:vAlign w:val="center"/>
            <w:hideMark/>
          </w:tcPr>
          <w:p w14:paraId="7DE8446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0.60</w:t>
            </w:r>
          </w:p>
        </w:tc>
        <w:tc>
          <w:tcPr>
            <w:tcW w:w="572" w:type="dxa"/>
            <w:tcBorders>
              <w:top w:val="nil"/>
              <w:left w:val="nil"/>
              <w:bottom w:val="nil"/>
              <w:right w:val="nil"/>
            </w:tcBorders>
            <w:noWrap/>
            <w:vAlign w:val="center"/>
            <w:hideMark/>
          </w:tcPr>
          <w:p w14:paraId="5296240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2846</w:t>
            </w:r>
          </w:p>
        </w:tc>
        <w:tc>
          <w:tcPr>
            <w:tcW w:w="572" w:type="dxa"/>
            <w:tcBorders>
              <w:top w:val="nil"/>
              <w:left w:val="nil"/>
              <w:bottom w:val="nil"/>
              <w:right w:val="nil"/>
            </w:tcBorders>
            <w:noWrap/>
            <w:vAlign w:val="center"/>
            <w:hideMark/>
          </w:tcPr>
          <w:p w14:paraId="64F0E1F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4079</w:t>
            </w:r>
          </w:p>
        </w:tc>
        <w:tc>
          <w:tcPr>
            <w:tcW w:w="528" w:type="dxa"/>
            <w:tcBorders>
              <w:top w:val="nil"/>
              <w:left w:val="nil"/>
              <w:bottom w:val="nil"/>
              <w:right w:val="nil"/>
            </w:tcBorders>
            <w:noWrap/>
            <w:vAlign w:val="center"/>
            <w:hideMark/>
          </w:tcPr>
          <w:p w14:paraId="08193D7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0.04</w:t>
            </w:r>
          </w:p>
        </w:tc>
        <w:tc>
          <w:tcPr>
            <w:tcW w:w="539" w:type="dxa"/>
            <w:tcBorders>
              <w:top w:val="nil"/>
              <w:left w:val="nil"/>
              <w:bottom w:val="nil"/>
              <w:right w:val="nil"/>
            </w:tcBorders>
            <w:noWrap/>
            <w:vAlign w:val="center"/>
            <w:hideMark/>
          </w:tcPr>
          <w:p w14:paraId="4B56A57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0.70</w:t>
            </w:r>
          </w:p>
        </w:tc>
        <w:tc>
          <w:tcPr>
            <w:tcW w:w="735" w:type="dxa"/>
            <w:tcBorders>
              <w:top w:val="nil"/>
              <w:left w:val="nil"/>
              <w:bottom w:val="nil"/>
              <w:right w:val="nil"/>
            </w:tcBorders>
            <w:noWrap/>
            <w:vAlign w:val="center"/>
            <w:hideMark/>
          </w:tcPr>
          <w:p w14:paraId="56168D6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0.09</w:t>
            </w:r>
          </w:p>
        </w:tc>
        <w:tc>
          <w:tcPr>
            <w:tcW w:w="628" w:type="dxa"/>
            <w:tcBorders>
              <w:top w:val="nil"/>
              <w:left w:val="nil"/>
              <w:bottom w:val="nil"/>
              <w:right w:val="nil"/>
            </w:tcBorders>
            <w:noWrap/>
            <w:vAlign w:val="center"/>
            <w:hideMark/>
          </w:tcPr>
          <w:p w14:paraId="3A3BE46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0.32</w:t>
            </w:r>
          </w:p>
        </w:tc>
      </w:tr>
      <w:tr w:rsidR="00AA100D" w:rsidRPr="00AA100D" w14:paraId="245AAB2C" w14:textId="77777777" w:rsidTr="00AA100D">
        <w:trPr>
          <w:trHeight w:val="300"/>
        </w:trPr>
        <w:tc>
          <w:tcPr>
            <w:tcW w:w="599" w:type="dxa"/>
            <w:tcBorders>
              <w:top w:val="nil"/>
              <w:left w:val="nil"/>
              <w:bottom w:val="nil"/>
              <w:right w:val="nil"/>
            </w:tcBorders>
            <w:noWrap/>
            <w:vAlign w:val="center"/>
            <w:hideMark/>
          </w:tcPr>
          <w:p w14:paraId="4348697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SD</w:t>
            </w:r>
          </w:p>
        </w:tc>
        <w:tc>
          <w:tcPr>
            <w:tcW w:w="1319" w:type="dxa"/>
            <w:tcBorders>
              <w:top w:val="nil"/>
              <w:left w:val="nil"/>
              <w:bottom w:val="nil"/>
              <w:right w:val="nil"/>
            </w:tcBorders>
            <w:noWrap/>
            <w:vAlign w:val="center"/>
            <w:hideMark/>
          </w:tcPr>
          <w:p w14:paraId="4C02C08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adjusted</w:t>
            </w:r>
          </w:p>
        </w:tc>
        <w:tc>
          <w:tcPr>
            <w:tcW w:w="652" w:type="dxa"/>
            <w:tcBorders>
              <w:top w:val="nil"/>
              <w:left w:val="nil"/>
              <w:bottom w:val="nil"/>
              <w:right w:val="nil"/>
            </w:tcBorders>
            <w:noWrap/>
            <w:vAlign w:val="center"/>
            <w:hideMark/>
          </w:tcPr>
          <w:p w14:paraId="20A049F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0.42</w:t>
            </w:r>
          </w:p>
        </w:tc>
        <w:tc>
          <w:tcPr>
            <w:tcW w:w="916" w:type="dxa"/>
            <w:tcBorders>
              <w:top w:val="nil"/>
              <w:left w:val="nil"/>
              <w:bottom w:val="nil"/>
              <w:right w:val="nil"/>
            </w:tcBorders>
            <w:noWrap/>
            <w:vAlign w:val="center"/>
            <w:hideMark/>
          </w:tcPr>
          <w:p w14:paraId="4042638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0.62</w:t>
            </w:r>
          </w:p>
        </w:tc>
        <w:tc>
          <w:tcPr>
            <w:tcW w:w="796" w:type="dxa"/>
            <w:tcBorders>
              <w:top w:val="nil"/>
              <w:left w:val="nil"/>
              <w:bottom w:val="nil"/>
              <w:right w:val="nil"/>
            </w:tcBorders>
            <w:noWrap/>
            <w:vAlign w:val="center"/>
            <w:hideMark/>
          </w:tcPr>
          <w:p w14:paraId="4DF1AB0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0.32</w:t>
            </w:r>
          </w:p>
        </w:tc>
        <w:tc>
          <w:tcPr>
            <w:tcW w:w="1093" w:type="dxa"/>
            <w:tcBorders>
              <w:top w:val="nil"/>
              <w:left w:val="nil"/>
              <w:bottom w:val="nil"/>
              <w:right w:val="nil"/>
            </w:tcBorders>
            <w:noWrap/>
            <w:vAlign w:val="center"/>
            <w:hideMark/>
          </w:tcPr>
          <w:p w14:paraId="4B3B1C1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0.78</w:t>
            </w:r>
          </w:p>
        </w:tc>
        <w:tc>
          <w:tcPr>
            <w:tcW w:w="1240" w:type="dxa"/>
            <w:tcBorders>
              <w:top w:val="nil"/>
              <w:left w:val="nil"/>
              <w:bottom w:val="nil"/>
              <w:right w:val="nil"/>
            </w:tcBorders>
            <w:noWrap/>
            <w:vAlign w:val="center"/>
            <w:hideMark/>
          </w:tcPr>
          <w:p w14:paraId="35B14B1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0.62</w:t>
            </w:r>
          </w:p>
        </w:tc>
        <w:tc>
          <w:tcPr>
            <w:tcW w:w="572" w:type="dxa"/>
            <w:tcBorders>
              <w:top w:val="nil"/>
              <w:left w:val="nil"/>
              <w:bottom w:val="nil"/>
              <w:right w:val="nil"/>
            </w:tcBorders>
            <w:noWrap/>
            <w:vAlign w:val="center"/>
            <w:hideMark/>
          </w:tcPr>
          <w:p w14:paraId="6D9A75B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2838</w:t>
            </w:r>
          </w:p>
        </w:tc>
        <w:tc>
          <w:tcPr>
            <w:tcW w:w="572" w:type="dxa"/>
            <w:tcBorders>
              <w:top w:val="nil"/>
              <w:left w:val="nil"/>
              <w:bottom w:val="nil"/>
              <w:right w:val="nil"/>
            </w:tcBorders>
            <w:noWrap/>
            <w:vAlign w:val="center"/>
            <w:hideMark/>
          </w:tcPr>
          <w:p w14:paraId="59A1D3F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4038</w:t>
            </w:r>
          </w:p>
        </w:tc>
        <w:tc>
          <w:tcPr>
            <w:tcW w:w="528" w:type="dxa"/>
            <w:tcBorders>
              <w:top w:val="nil"/>
              <w:left w:val="nil"/>
              <w:bottom w:val="nil"/>
              <w:right w:val="nil"/>
            </w:tcBorders>
            <w:noWrap/>
            <w:vAlign w:val="center"/>
            <w:hideMark/>
          </w:tcPr>
          <w:p w14:paraId="304D0A9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169BF94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0.70</w:t>
            </w:r>
          </w:p>
        </w:tc>
        <w:tc>
          <w:tcPr>
            <w:tcW w:w="735" w:type="dxa"/>
            <w:tcBorders>
              <w:top w:val="nil"/>
              <w:left w:val="nil"/>
              <w:bottom w:val="nil"/>
              <w:right w:val="nil"/>
            </w:tcBorders>
            <w:noWrap/>
            <w:vAlign w:val="center"/>
            <w:hideMark/>
          </w:tcPr>
          <w:p w14:paraId="78B6078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0.08</w:t>
            </w:r>
          </w:p>
        </w:tc>
        <w:tc>
          <w:tcPr>
            <w:tcW w:w="628" w:type="dxa"/>
            <w:tcBorders>
              <w:top w:val="nil"/>
              <w:left w:val="nil"/>
              <w:bottom w:val="nil"/>
              <w:right w:val="nil"/>
            </w:tcBorders>
            <w:noWrap/>
            <w:vAlign w:val="center"/>
            <w:hideMark/>
          </w:tcPr>
          <w:p w14:paraId="7A4AD85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0.33</w:t>
            </w:r>
          </w:p>
        </w:tc>
      </w:tr>
      <w:tr w:rsidR="00AA100D" w:rsidRPr="00AA100D" w14:paraId="185AE2FC" w14:textId="77777777" w:rsidTr="00AA100D">
        <w:trPr>
          <w:trHeight w:val="300"/>
        </w:trPr>
        <w:tc>
          <w:tcPr>
            <w:tcW w:w="599" w:type="dxa"/>
            <w:tcBorders>
              <w:top w:val="nil"/>
              <w:left w:val="nil"/>
              <w:bottom w:val="nil"/>
              <w:right w:val="nil"/>
            </w:tcBorders>
            <w:noWrap/>
            <w:vAlign w:val="center"/>
            <w:hideMark/>
          </w:tcPr>
          <w:p w14:paraId="45656C8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SD</w:t>
            </w:r>
          </w:p>
        </w:tc>
        <w:tc>
          <w:tcPr>
            <w:tcW w:w="1319" w:type="dxa"/>
            <w:tcBorders>
              <w:top w:val="nil"/>
              <w:left w:val="nil"/>
              <w:bottom w:val="nil"/>
              <w:right w:val="nil"/>
            </w:tcBorders>
            <w:noWrap/>
            <w:vAlign w:val="center"/>
            <w:hideMark/>
          </w:tcPr>
          <w:p w14:paraId="5F027EE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reaction_norm</w:t>
            </w:r>
          </w:p>
        </w:tc>
        <w:tc>
          <w:tcPr>
            <w:tcW w:w="652" w:type="dxa"/>
            <w:tcBorders>
              <w:top w:val="nil"/>
              <w:left w:val="nil"/>
              <w:bottom w:val="nil"/>
              <w:right w:val="nil"/>
            </w:tcBorders>
            <w:noWrap/>
            <w:vAlign w:val="center"/>
            <w:hideMark/>
          </w:tcPr>
          <w:p w14:paraId="7DCBD67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0.51</w:t>
            </w:r>
          </w:p>
        </w:tc>
        <w:tc>
          <w:tcPr>
            <w:tcW w:w="916" w:type="dxa"/>
            <w:tcBorders>
              <w:top w:val="nil"/>
              <w:left w:val="nil"/>
              <w:bottom w:val="nil"/>
              <w:right w:val="nil"/>
            </w:tcBorders>
            <w:noWrap/>
            <w:vAlign w:val="center"/>
            <w:hideMark/>
          </w:tcPr>
          <w:p w14:paraId="0FEF459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0.60</w:t>
            </w:r>
          </w:p>
        </w:tc>
        <w:tc>
          <w:tcPr>
            <w:tcW w:w="796" w:type="dxa"/>
            <w:tcBorders>
              <w:top w:val="nil"/>
              <w:left w:val="nil"/>
              <w:bottom w:val="nil"/>
              <w:right w:val="nil"/>
            </w:tcBorders>
            <w:noWrap/>
            <w:vAlign w:val="center"/>
            <w:hideMark/>
          </w:tcPr>
          <w:p w14:paraId="694D415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0.32</w:t>
            </w:r>
          </w:p>
        </w:tc>
        <w:tc>
          <w:tcPr>
            <w:tcW w:w="1093" w:type="dxa"/>
            <w:tcBorders>
              <w:top w:val="nil"/>
              <w:left w:val="nil"/>
              <w:bottom w:val="nil"/>
              <w:right w:val="nil"/>
            </w:tcBorders>
            <w:noWrap/>
            <w:vAlign w:val="center"/>
            <w:hideMark/>
          </w:tcPr>
          <w:p w14:paraId="53D17DA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0.83</w:t>
            </w:r>
          </w:p>
        </w:tc>
        <w:tc>
          <w:tcPr>
            <w:tcW w:w="1240" w:type="dxa"/>
            <w:tcBorders>
              <w:top w:val="nil"/>
              <w:left w:val="nil"/>
              <w:bottom w:val="nil"/>
              <w:right w:val="nil"/>
            </w:tcBorders>
            <w:noWrap/>
            <w:vAlign w:val="center"/>
            <w:hideMark/>
          </w:tcPr>
          <w:p w14:paraId="26CD521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0.58</w:t>
            </w:r>
          </w:p>
        </w:tc>
        <w:tc>
          <w:tcPr>
            <w:tcW w:w="572" w:type="dxa"/>
            <w:tcBorders>
              <w:top w:val="nil"/>
              <w:left w:val="nil"/>
              <w:bottom w:val="nil"/>
              <w:right w:val="nil"/>
            </w:tcBorders>
            <w:noWrap/>
            <w:vAlign w:val="center"/>
            <w:hideMark/>
          </w:tcPr>
          <w:p w14:paraId="2DD33CE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2754</w:t>
            </w:r>
          </w:p>
        </w:tc>
        <w:tc>
          <w:tcPr>
            <w:tcW w:w="572" w:type="dxa"/>
            <w:tcBorders>
              <w:top w:val="nil"/>
              <w:left w:val="nil"/>
              <w:bottom w:val="nil"/>
              <w:right w:val="nil"/>
            </w:tcBorders>
            <w:noWrap/>
            <w:vAlign w:val="center"/>
            <w:hideMark/>
          </w:tcPr>
          <w:p w14:paraId="1BD56AF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4546</w:t>
            </w:r>
          </w:p>
        </w:tc>
        <w:tc>
          <w:tcPr>
            <w:tcW w:w="528" w:type="dxa"/>
            <w:tcBorders>
              <w:top w:val="nil"/>
              <w:left w:val="nil"/>
              <w:bottom w:val="nil"/>
              <w:right w:val="nil"/>
            </w:tcBorders>
            <w:noWrap/>
            <w:vAlign w:val="center"/>
            <w:hideMark/>
          </w:tcPr>
          <w:p w14:paraId="6575BD9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0.04</w:t>
            </w:r>
          </w:p>
        </w:tc>
        <w:tc>
          <w:tcPr>
            <w:tcW w:w="539" w:type="dxa"/>
            <w:tcBorders>
              <w:top w:val="nil"/>
              <w:left w:val="nil"/>
              <w:bottom w:val="nil"/>
              <w:right w:val="nil"/>
            </w:tcBorders>
            <w:noWrap/>
            <w:vAlign w:val="center"/>
            <w:hideMark/>
          </w:tcPr>
          <w:p w14:paraId="70F7B36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0.57</w:t>
            </w:r>
          </w:p>
        </w:tc>
        <w:tc>
          <w:tcPr>
            <w:tcW w:w="735" w:type="dxa"/>
            <w:tcBorders>
              <w:top w:val="nil"/>
              <w:left w:val="nil"/>
              <w:bottom w:val="nil"/>
              <w:right w:val="nil"/>
            </w:tcBorders>
            <w:noWrap/>
            <w:vAlign w:val="center"/>
            <w:hideMark/>
          </w:tcPr>
          <w:p w14:paraId="69AA7D4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0.12</w:t>
            </w:r>
          </w:p>
        </w:tc>
        <w:tc>
          <w:tcPr>
            <w:tcW w:w="628" w:type="dxa"/>
            <w:tcBorders>
              <w:top w:val="nil"/>
              <w:left w:val="nil"/>
              <w:bottom w:val="nil"/>
              <w:right w:val="nil"/>
            </w:tcBorders>
            <w:noWrap/>
            <w:vAlign w:val="center"/>
            <w:hideMark/>
          </w:tcPr>
          <w:p w14:paraId="4C9557E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0.25</w:t>
            </w:r>
          </w:p>
        </w:tc>
      </w:tr>
      <w:tr w:rsidR="00AA100D" w:rsidRPr="00AA100D" w14:paraId="1A26B3E0" w14:textId="77777777" w:rsidTr="00AA100D">
        <w:trPr>
          <w:trHeight w:val="300"/>
        </w:trPr>
        <w:tc>
          <w:tcPr>
            <w:tcW w:w="599" w:type="dxa"/>
            <w:tcBorders>
              <w:top w:val="nil"/>
              <w:left w:val="nil"/>
              <w:bottom w:val="nil"/>
              <w:right w:val="nil"/>
            </w:tcBorders>
            <w:noWrap/>
            <w:vAlign w:val="center"/>
            <w:hideMark/>
          </w:tcPr>
          <w:p w14:paraId="71C2A6C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319" w:type="dxa"/>
            <w:tcBorders>
              <w:top w:val="nil"/>
              <w:left w:val="nil"/>
              <w:bottom w:val="nil"/>
              <w:right w:val="nil"/>
            </w:tcBorders>
            <w:noWrap/>
            <w:vAlign w:val="center"/>
            <w:hideMark/>
          </w:tcPr>
          <w:p w14:paraId="5383FF5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52" w:type="dxa"/>
            <w:tcBorders>
              <w:top w:val="nil"/>
              <w:left w:val="nil"/>
              <w:bottom w:val="nil"/>
              <w:right w:val="nil"/>
            </w:tcBorders>
            <w:noWrap/>
            <w:vAlign w:val="center"/>
            <w:hideMark/>
          </w:tcPr>
          <w:p w14:paraId="09E7CCE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916" w:type="dxa"/>
            <w:tcBorders>
              <w:top w:val="nil"/>
              <w:left w:val="nil"/>
              <w:bottom w:val="nil"/>
              <w:right w:val="nil"/>
            </w:tcBorders>
            <w:noWrap/>
            <w:vAlign w:val="center"/>
            <w:hideMark/>
          </w:tcPr>
          <w:p w14:paraId="1CAB9B8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96" w:type="dxa"/>
            <w:tcBorders>
              <w:top w:val="nil"/>
              <w:left w:val="nil"/>
              <w:bottom w:val="nil"/>
              <w:right w:val="nil"/>
            </w:tcBorders>
            <w:noWrap/>
            <w:vAlign w:val="center"/>
            <w:hideMark/>
          </w:tcPr>
          <w:p w14:paraId="7E7A179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093" w:type="dxa"/>
            <w:tcBorders>
              <w:top w:val="nil"/>
              <w:left w:val="nil"/>
              <w:bottom w:val="nil"/>
              <w:right w:val="nil"/>
            </w:tcBorders>
            <w:noWrap/>
            <w:vAlign w:val="center"/>
            <w:hideMark/>
          </w:tcPr>
          <w:p w14:paraId="2CE86A6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240" w:type="dxa"/>
            <w:tcBorders>
              <w:top w:val="nil"/>
              <w:left w:val="nil"/>
              <w:bottom w:val="nil"/>
              <w:right w:val="nil"/>
            </w:tcBorders>
            <w:noWrap/>
            <w:vAlign w:val="center"/>
            <w:hideMark/>
          </w:tcPr>
          <w:p w14:paraId="6B47BE9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3A68D09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62175AB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28" w:type="dxa"/>
            <w:tcBorders>
              <w:top w:val="nil"/>
              <w:left w:val="nil"/>
              <w:bottom w:val="nil"/>
              <w:right w:val="nil"/>
            </w:tcBorders>
            <w:noWrap/>
            <w:vAlign w:val="center"/>
            <w:hideMark/>
          </w:tcPr>
          <w:p w14:paraId="3500163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39" w:type="dxa"/>
            <w:tcBorders>
              <w:top w:val="nil"/>
              <w:left w:val="nil"/>
              <w:bottom w:val="nil"/>
              <w:right w:val="nil"/>
            </w:tcBorders>
            <w:noWrap/>
            <w:vAlign w:val="center"/>
            <w:hideMark/>
          </w:tcPr>
          <w:p w14:paraId="5F611FD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35" w:type="dxa"/>
            <w:tcBorders>
              <w:top w:val="nil"/>
              <w:left w:val="nil"/>
              <w:bottom w:val="nil"/>
              <w:right w:val="nil"/>
            </w:tcBorders>
            <w:noWrap/>
            <w:vAlign w:val="center"/>
            <w:hideMark/>
          </w:tcPr>
          <w:p w14:paraId="2C1019A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28" w:type="dxa"/>
            <w:tcBorders>
              <w:top w:val="nil"/>
              <w:left w:val="nil"/>
              <w:bottom w:val="nil"/>
              <w:right w:val="nil"/>
            </w:tcBorders>
            <w:noWrap/>
            <w:vAlign w:val="center"/>
            <w:hideMark/>
          </w:tcPr>
          <w:p w14:paraId="00B4261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r>
      <w:tr w:rsidR="00AA100D" w:rsidRPr="00AA100D" w14:paraId="75C3133C" w14:textId="77777777" w:rsidTr="00AA100D">
        <w:trPr>
          <w:trHeight w:val="300"/>
        </w:trPr>
        <w:tc>
          <w:tcPr>
            <w:tcW w:w="599" w:type="dxa"/>
            <w:tcBorders>
              <w:top w:val="nil"/>
              <w:left w:val="nil"/>
              <w:bottom w:val="nil"/>
              <w:right w:val="nil"/>
            </w:tcBorders>
            <w:noWrap/>
            <w:vAlign w:val="center"/>
            <w:hideMark/>
          </w:tcPr>
          <w:p w14:paraId="59CF589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PH</w:t>
            </w:r>
          </w:p>
        </w:tc>
        <w:tc>
          <w:tcPr>
            <w:tcW w:w="1319" w:type="dxa"/>
            <w:tcBorders>
              <w:top w:val="nil"/>
              <w:left w:val="nil"/>
              <w:bottom w:val="nil"/>
              <w:right w:val="nil"/>
            </w:tcBorders>
            <w:noWrap/>
            <w:vAlign w:val="center"/>
            <w:hideMark/>
          </w:tcPr>
          <w:p w14:paraId="0286716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unadj</w:t>
            </w:r>
          </w:p>
        </w:tc>
        <w:tc>
          <w:tcPr>
            <w:tcW w:w="652" w:type="dxa"/>
            <w:tcBorders>
              <w:top w:val="nil"/>
              <w:left w:val="nil"/>
              <w:bottom w:val="nil"/>
              <w:right w:val="nil"/>
            </w:tcBorders>
            <w:noWrap/>
            <w:vAlign w:val="center"/>
            <w:hideMark/>
          </w:tcPr>
          <w:p w14:paraId="7AB89A8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0.49</w:t>
            </w:r>
          </w:p>
        </w:tc>
        <w:tc>
          <w:tcPr>
            <w:tcW w:w="916" w:type="dxa"/>
            <w:tcBorders>
              <w:top w:val="nil"/>
              <w:left w:val="nil"/>
              <w:bottom w:val="nil"/>
              <w:right w:val="nil"/>
            </w:tcBorders>
            <w:noWrap/>
            <w:vAlign w:val="center"/>
            <w:hideMark/>
          </w:tcPr>
          <w:p w14:paraId="170E579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0.67</w:t>
            </w:r>
          </w:p>
        </w:tc>
        <w:tc>
          <w:tcPr>
            <w:tcW w:w="796" w:type="dxa"/>
            <w:tcBorders>
              <w:top w:val="nil"/>
              <w:left w:val="nil"/>
              <w:bottom w:val="nil"/>
              <w:right w:val="nil"/>
            </w:tcBorders>
            <w:noWrap/>
            <w:vAlign w:val="center"/>
            <w:hideMark/>
          </w:tcPr>
          <w:p w14:paraId="1C43EF9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0.32</w:t>
            </w:r>
          </w:p>
        </w:tc>
        <w:tc>
          <w:tcPr>
            <w:tcW w:w="1093" w:type="dxa"/>
            <w:tcBorders>
              <w:top w:val="nil"/>
              <w:left w:val="nil"/>
              <w:bottom w:val="nil"/>
              <w:right w:val="nil"/>
            </w:tcBorders>
            <w:noWrap/>
            <w:vAlign w:val="center"/>
            <w:hideMark/>
          </w:tcPr>
          <w:p w14:paraId="754B274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0.69</w:t>
            </w:r>
          </w:p>
        </w:tc>
        <w:tc>
          <w:tcPr>
            <w:tcW w:w="1240" w:type="dxa"/>
            <w:tcBorders>
              <w:top w:val="nil"/>
              <w:left w:val="nil"/>
              <w:bottom w:val="nil"/>
              <w:right w:val="nil"/>
            </w:tcBorders>
            <w:noWrap/>
            <w:vAlign w:val="center"/>
            <w:hideMark/>
          </w:tcPr>
          <w:p w14:paraId="5F2DD9A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0.74</w:t>
            </w:r>
          </w:p>
        </w:tc>
        <w:tc>
          <w:tcPr>
            <w:tcW w:w="572" w:type="dxa"/>
            <w:tcBorders>
              <w:top w:val="nil"/>
              <w:left w:val="nil"/>
              <w:bottom w:val="nil"/>
              <w:right w:val="nil"/>
            </w:tcBorders>
            <w:noWrap/>
            <w:vAlign w:val="center"/>
            <w:hideMark/>
          </w:tcPr>
          <w:p w14:paraId="7D04C5C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2728</w:t>
            </w:r>
          </w:p>
        </w:tc>
        <w:tc>
          <w:tcPr>
            <w:tcW w:w="572" w:type="dxa"/>
            <w:tcBorders>
              <w:top w:val="nil"/>
              <w:left w:val="nil"/>
              <w:bottom w:val="nil"/>
              <w:right w:val="nil"/>
            </w:tcBorders>
            <w:noWrap/>
            <w:vAlign w:val="center"/>
            <w:hideMark/>
          </w:tcPr>
          <w:p w14:paraId="3B24F7E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4130</w:t>
            </w:r>
          </w:p>
        </w:tc>
        <w:tc>
          <w:tcPr>
            <w:tcW w:w="528" w:type="dxa"/>
            <w:tcBorders>
              <w:top w:val="nil"/>
              <w:left w:val="nil"/>
              <w:bottom w:val="nil"/>
              <w:right w:val="nil"/>
            </w:tcBorders>
            <w:noWrap/>
            <w:vAlign w:val="center"/>
            <w:hideMark/>
          </w:tcPr>
          <w:p w14:paraId="1448309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307DD7F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1.18</w:t>
            </w:r>
          </w:p>
        </w:tc>
        <w:tc>
          <w:tcPr>
            <w:tcW w:w="735" w:type="dxa"/>
            <w:tcBorders>
              <w:top w:val="nil"/>
              <w:left w:val="nil"/>
              <w:bottom w:val="nil"/>
              <w:right w:val="nil"/>
            </w:tcBorders>
            <w:noWrap/>
            <w:vAlign w:val="center"/>
            <w:hideMark/>
          </w:tcPr>
          <w:p w14:paraId="66D406C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0.10</w:t>
            </w:r>
          </w:p>
        </w:tc>
        <w:tc>
          <w:tcPr>
            <w:tcW w:w="628" w:type="dxa"/>
            <w:tcBorders>
              <w:top w:val="nil"/>
              <w:left w:val="nil"/>
              <w:bottom w:val="nil"/>
              <w:right w:val="nil"/>
            </w:tcBorders>
            <w:noWrap/>
            <w:vAlign w:val="center"/>
            <w:hideMark/>
          </w:tcPr>
          <w:p w14:paraId="6F14385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0.30</w:t>
            </w:r>
          </w:p>
        </w:tc>
      </w:tr>
      <w:tr w:rsidR="00AA100D" w:rsidRPr="00AA100D" w14:paraId="5A65D80C" w14:textId="77777777" w:rsidTr="00AA100D">
        <w:trPr>
          <w:trHeight w:val="300"/>
        </w:trPr>
        <w:tc>
          <w:tcPr>
            <w:tcW w:w="599" w:type="dxa"/>
            <w:tcBorders>
              <w:top w:val="nil"/>
              <w:left w:val="nil"/>
              <w:bottom w:val="nil"/>
              <w:right w:val="nil"/>
            </w:tcBorders>
            <w:noWrap/>
            <w:vAlign w:val="center"/>
            <w:hideMark/>
          </w:tcPr>
          <w:p w14:paraId="57C5E1B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PH</w:t>
            </w:r>
          </w:p>
        </w:tc>
        <w:tc>
          <w:tcPr>
            <w:tcW w:w="1319" w:type="dxa"/>
            <w:tcBorders>
              <w:top w:val="nil"/>
              <w:left w:val="nil"/>
              <w:bottom w:val="nil"/>
              <w:right w:val="nil"/>
            </w:tcBorders>
            <w:noWrap/>
            <w:vAlign w:val="center"/>
            <w:hideMark/>
          </w:tcPr>
          <w:p w14:paraId="5D70887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adjusted</w:t>
            </w:r>
          </w:p>
        </w:tc>
        <w:tc>
          <w:tcPr>
            <w:tcW w:w="652" w:type="dxa"/>
            <w:tcBorders>
              <w:top w:val="nil"/>
              <w:left w:val="nil"/>
              <w:bottom w:val="nil"/>
              <w:right w:val="nil"/>
            </w:tcBorders>
            <w:noWrap/>
            <w:vAlign w:val="center"/>
            <w:hideMark/>
          </w:tcPr>
          <w:p w14:paraId="412F068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0.49</w:t>
            </w:r>
          </w:p>
        </w:tc>
        <w:tc>
          <w:tcPr>
            <w:tcW w:w="916" w:type="dxa"/>
            <w:tcBorders>
              <w:top w:val="nil"/>
              <w:left w:val="nil"/>
              <w:bottom w:val="nil"/>
              <w:right w:val="nil"/>
            </w:tcBorders>
            <w:noWrap/>
            <w:vAlign w:val="center"/>
            <w:hideMark/>
          </w:tcPr>
          <w:p w14:paraId="441B559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0.66</w:t>
            </w:r>
          </w:p>
        </w:tc>
        <w:tc>
          <w:tcPr>
            <w:tcW w:w="796" w:type="dxa"/>
            <w:tcBorders>
              <w:top w:val="nil"/>
              <w:left w:val="nil"/>
              <w:bottom w:val="nil"/>
              <w:right w:val="nil"/>
            </w:tcBorders>
            <w:noWrap/>
            <w:vAlign w:val="center"/>
            <w:hideMark/>
          </w:tcPr>
          <w:p w14:paraId="67AE8FA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0.32</w:t>
            </w:r>
          </w:p>
        </w:tc>
        <w:tc>
          <w:tcPr>
            <w:tcW w:w="1093" w:type="dxa"/>
            <w:tcBorders>
              <w:top w:val="nil"/>
              <w:left w:val="nil"/>
              <w:bottom w:val="nil"/>
              <w:right w:val="nil"/>
            </w:tcBorders>
            <w:noWrap/>
            <w:vAlign w:val="center"/>
            <w:hideMark/>
          </w:tcPr>
          <w:p w14:paraId="2ECA4D7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0.70</w:t>
            </w:r>
          </w:p>
        </w:tc>
        <w:tc>
          <w:tcPr>
            <w:tcW w:w="1240" w:type="dxa"/>
            <w:tcBorders>
              <w:top w:val="nil"/>
              <w:left w:val="nil"/>
              <w:bottom w:val="nil"/>
              <w:right w:val="nil"/>
            </w:tcBorders>
            <w:noWrap/>
            <w:vAlign w:val="center"/>
            <w:hideMark/>
          </w:tcPr>
          <w:p w14:paraId="220BA15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0.73</w:t>
            </w:r>
          </w:p>
        </w:tc>
        <w:tc>
          <w:tcPr>
            <w:tcW w:w="572" w:type="dxa"/>
            <w:tcBorders>
              <w:top w:val="nil"/>
              <w:left w:val="nil"/>
              <w:bottom w:val="nil"/>
              <w:right w:val="nil"/>
            </w:tcBorders>
            <w:noWrap/>
            <w:vAlign w:val="center"/>
            <w:hideMark/>
          </w:tcPr>
          <w:p w14:paraId="3339FDF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2741</w:t>
            </w:r>
          </w:p>
        </w:tc>
        <w:tc>
          <w:tcPr>
            <w:tcW w:w="572" w:type="dxa"/>
            <w:tcBorders>
              <w:top w:val="nil"/>
              <w:left w:val="nil"/>
              <w:bottom w:val="nil"/>
              <w:right w:val="nil"/>
            </w:tcBorders>
            <w:noWrap/>
            <w:vAlign w:val="center"/>
            <w:hideMark/>
          </w:tcPr>
          <w:p w14:paraId="52CFF73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4147</w:t>
            </w:r>
          </w:p>
        </w:tc>
        <w:tc>
          <w:tcPr>
            <w:tcW w:w="528" w:type="dxa"/>
            <w:tcBorders>
              <w:top w:val="nil"/>
              <w:left w:val="nil"/>
              <w:bottom w:val="nil"/>
              <w:right w:val="nil"/>
            </w:tcBorders>
            <w:noWrap/>
            <w:vAlign w:val="center"/>
            <w:hideMark/>
          </w:tcPr>
          <w:p w14:paraId="0F4CE68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1435B80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1.16</w:t>
            </w:r>
          </w:p>
        </w:tc>
        <w:tc>
          <w:tcPr>
            <w:tcW w:w="735" w:type="dxa"/>
            <w:tcBorders>
              <w:top w:val="nil"/>
              <w:left w:val="nil"/>
              <w:bottom w:val="nil"/>
              <w:right w:val="nil"/>
            </w:tcBorders>
            <w:noWrap/>
            <w:vAlign w:val="center"/>
            <w:hideMark/>
          </w:tcPr>
          <w:p w14:paraId="6BE24B6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0.10</w:t>
            </w:r>
          </w:p>
        </w:tc>
        <w:tc>
          <w:tcPr>
            <w:tcW w:w="628" w:type="dxa"/>
            <w:tcBorders>
              <w:top w:val="nil"/>
              <w:left w:val="nil"/>
              <w:bottom w:val="nil"/>
              <w:right w:val="nil"/>
            </w:tcBorders>
            <w:noWrap/>
            <w:vAlign w:val="center"/>
            <w:hideMark/>
          </w:tcPr>
          <w:p w14:paraId="637353E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0.30</w:t>
            </w:r>
          </w:p>
        </w:tc>
      </w:tr>
      <w:tr w:rsidR="00AA100D" w:rsidRPr="00AA100D" w14:paraId="41BDF0DE" w14:textId="77777777" w:rsidTr="00AA100D">
        <w:trPr>
          <w:trHeight w:val="300"/>
        </w:trPr>
        <w:tc>
          <w:tcPr>
            <w:tcW w:w="599" w:type="dxa"/>
            <w:tcBorders>
              <w:top w:val="nil"/>
              <w:left w:val="nil"/>
              <w:bottom w:val="nil"/>
              <w:right w:val="nil"/>
            </w:tcBorders>
            <w:noWrap/>
            <w:vAlign w:val="center"/>
            <w:hideMark/>
          </w:tcPr>
          <w:p w14:paraId="101E212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PH</w:t>
            </w:r>
          </w:p>
        </w:tc>
        <w:tc>
          <w:tcPr>
            <w:tcW w:w="1319" w:type="dxa"/>
            <w:tcBorders>
              <w:top w:val="nil"/>
              <w:left w:val="nil"/>
              <w:bottom w:val="nil"/>
              <w:right w:val="nil"/>
            </w:tcBorders>
            <w:noWrap/>
            <w:vAlign w:val="center"/>
            <w:hideMark/>
          </w:tcPr>
          <w:p w14:paraId="6EE9772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reaction_norm</w:t>
            </w:r>
          </w:p>
        </w:tc>
        <w:tc>
          <w:tcPr>
            <w:tcW w:w="652" w:type="dxa"/>
            <w:tcBorders>
              <w:top w:val="nil"/>
              <w:left w:val="nil"/>
              <w:bottom w:val="nil"/>
              <w:right w:val="nil"/>
            </w:tcBorders>
            <w:noWrap/>
            <w:vAlign w:val="center"/>
            <w:hideMark/>
          </w:tcPr>
          <w:p w14:paraId="0D8D0BA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0.53</w:t>
            </w:r>
          </w:p>
        </w:tc>
        <w:tc>
          <w:tcPr>
            <w:tcW w:w="916" w:type="dxa"/>
            <w:tcBorders>
              <w:top w:val="nil"/>
              <w:left w:val="nil"/>
              <w:bottom w:val="nil"/>
              <w:right w:val="nil"/>
            </w:tcBorders>
            <w:noWrap/>
            <w:vAlign w:val="center"/>
            <w:hideMark/>
          </w:tcPr>
          <w:p w14:paraId="7704E28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0.64</w:t>
            </w:r>
          </w:p>
        </w:tc>
        <w:tc>
          <w:tcPr>
            <w:tcW w:w="796" w:type="dxa"/>
            <w:tcBorders>
              <w:top w:val="nil"/>
              <w:left w:val="nil"/>
              <w:bottom w:val="nil"/>
              <w:right w:val="nil"/>
            </w:tcBorders>
            <w:noWrap/>
            <w:vAlign w:val="center"/>
            <w:hideMark/>
          </w:tcPr>
          <w:p w14:paraId="11724AB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0.31</w:t>
            </w:r>
          </w:p>
        </w:tc>
        <w:tc>
          <w:tcPr>
            <w:tcW w:w="1093" w:type="dxa"/>
            <w:tcBorders>
              <w:top w:val="nil"/>
              <w:left w:val="nil"/>
              <w:bottom w:val="nil"/>
              <w:right w:val="nil"/>
            </w:tcBorders>
            <w:noWrap/>
            <w:vAlign w:val="center"/>
            <w:hideMark/>
          </w:tcPr>
          <w:p w14:paraId="68A98FB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0.69</w:t>
            </w:r>
          </w:p>
        </w:tc>
        <w:tc>
          <w:tcPr>
            <w:tcW w:w="1240" w:type="dxa"/>
            <w:tcBorders>
              <w:top w:val="nil"/>
              <w:left w:val="nil"/>
              <w:bottom w:val="nil"/>
              <w:right w:val="nil"/>
            </w:tcBorders>
            <w:noWrap/>
            <w:vAlign w:val="center"/>
            <w:hideMark/>
          </w:tcPr>
          <w:p w14:paraId="4BFB70F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0.75</w:t>
            </w:r>
          </w:p>
        </w:tc>
        <w:tc>
          <w:tcPr>
            <w:tcW w:w="572" w:type="dxa"/>
            <w:tcBorders>
              <w:top w:val="nil"/>
              <w:left w:val="nil"/>
              <w:bottom w:val="nil"/>
              <w:right w:val="nil"/>
            </w:tcBorders>
            <w:noWrap/>
            <w:vAlign w:val="center"/>
            <w:hideMark/>
          </w:tcPr>
          <w:p w14:paraId="082A906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2628</w:t>
            </w:r>
          </w:p>
        </w:tc>
        <w:tc>
          <w:tcPr>
            <w:tcW w:w="572" w:type="dxa"/>
            <w:tcBorders>
              <w:top w:val="nil"/>
              <w:left w:val="nil"/>
              <w:bottom w:val="nil"/>
              <w:right w:val="nil"/>
            </w:tcBorders>
            <w:noWrap/>
            <w:vAlign w:val="center"/>
            <w:hideMark/>
          </w:tcPr>
          <w:p w14:paraId="63F16D0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4469</w:t>
            </w:r>
          </w:p>
        </w:tc>
        <w:tc>
          <w:tcPr>
            <w:tcW w:w="528" w:type="dxa"/>
            <w:tcBorders>
              <w:top w:val="nil"/>
              <w:left w:val="nil"/>
              <w:bottom w:val="nil"/>
              <w:right w:val="nil"/>
            </w:tcBorders>
            <w:noWrap/>
            <w:vAlign w:val="center"/>
            <w:hideMark/>
          </w:tcPr>
          <w:p w14:paraId="3FF030D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7C8F2BC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1.07</w:t>
            </w:r>
          </w:p>
        </w:tc>
        <w:tc>
          <w:tcPr>
            <w:tcW w:w="735" w:type="dxa"/>
            <w:tcBorders>
              <w:top w:val="nil"/>
              <w:left w:val="nil"/>
              <w:bottom w:val="nil"/>
              <w:right w:val="nil"/>
            </w:tcBorders>
            <w:noWrap/>
            <w:vAlign w:val="center"/>
            <w:hideMark/>
          </w:tcPr>
          <w:p w14:paraId="1B906D6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0.09</w:t>
            </w:r>
          </w:p>
        </w:tc>
        <w:tc>
          <w:tcPr>
            <w:tcW w:w="628" w:type="dxa"/>
            <w:tcBorders>
              <w:top w:val="nil"/>
              <w:left w:val="nil"/>
              <w:bottom w:val="nil"/>
              <w:right w:val="nil"/>
            </w:tcBorders>
            <w:noWrap/>
            <w:vAlign w:val="center"/>
            <w:hideMark/>
          </w:tcPr>
          <w:p w14:paraId="0EC1F41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0.23</w:t>
            </w:r>
          </w:p>
        </w:tc>
      </w:tr>
      <w:tr w:rsidR="00AA100D" w:rsidRPr="00AA100D" w14:paraId="507C3E9C" w14:textId="77777777" w:rsidTr="00AA100D">
        <w:trPr>
          <w:trHeight w:val="300"/>
        </w:trPr>
        <w:tc>
          <w:tcPr>
            <w:tcW w:w="599" w:type="dxa"/>
            <w:tcBorders>
              <w:top w:val="nil"/>
              <w:left w:val="nil"/>
              <w:bottom w:val="nil"/>
              <w:right w:val="nil"/>
            </w:tcBorders>
            <w:noWrap/>
            <w:vAlign w:val="center"/>
            <w:hideMark/>
          </w:tcPr>
          <w:p w14:paraId="2ECE5EA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319" w:type="dxa"/>
            <w:tcBorders>
              <w:top w:val="nil"/>
              <w:left w:val="nil"/>
              <w:bottom w:val="nil"/>
              <w:right w:val="nil"/>
            </w:tcBorders>
            <w:noWrap/>
            <w:vAlign w:val="center"/>
            <w:hideMark/>
          </w:tcPr>
          <w:p w14:paraId="3E12C72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52" w:type="dxa"/>
            <w:tcBorders>
              <w:top w:val="nil"/>
              <w:left w:val="nil"/>
              <w:bottom w:val="nil"/>
              <w:right w:val="nil"/>
            </w:tcBorders>
            <w:noWrap/>
            <w:vAlign w:val="center"/>
            <w:hideMark/>
          </w:tcPr>
          <w:p w14:paraId="716ECE6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916" w:type="dxa"/>
            <w:tcBorders>
              <w:top w:val="nil"/>
              <w:left w:val="nil"/>
              <w:bottom w:val="nil"/>
              <w:right w:val="nil"/>
            </w:tcBorders>
            <w:noWrap/>
            <w:vAlign w:val="center"/>
            <w:hideMark/>
          </w:tcPr>
          <w:p w14:paraId="42F117D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96" w:type="dxa"/>
            <w:tcBorders>
              <w:top w:val="nil"/>
              <w:left w:val="nil"/>
              <w:bottom w:val="nil"/>
              <w:right w:val="nil"/>
            </w:tcBorders>
            <w:noWrap/>
            <w:vAlign w:val="center"/>
            <w:hideMark/>
          </w:tcPr>
          <w:p w14:paraId="362C657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093" w:type="dxa"/>
            <w:tcBorders>
              <w:top w:val="nil"/>
              <w:left w:val="nil"/>
              <w:bottom w:val="nil"/>
              <w:right w:val="nil"/>
            </w:tcBorders>
            <w:noWrap/>
            <w:vAlign w:val="center"/>
            <w:hideMark/>
          </w:tcPr>
          <w:p w14:paraId="603CDE8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240" w:type="dxa"/>
            <w:tcBorders>
              <w:top w:val="nil"/>
              <w:left w:val="nil"/>
              <w:bottom w:val="nil"/>
              <w:right w:val="nil"/>
            </w:tcBorders>
            <w:noWrap/>
            <w:vAlign w:val="center"/>
            <w:hideMark/>
          </w:tcPr>
          <w:p w14:paraId="1A3163D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73CF180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6ADA7D5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28" w:type="dxa"/>
            <w:tcBorders>
              <w:top w:val="nil"/>
              <w:left w:val="nil"/>
              <w:bottom w:val="nil"/>
              <w:right w:val="nil"/>
            </w:tcBorders>
            <w:noWrap/>
            <w:vAlign w:val="center"/>
            <w:hideMark/>
          </w:tcPr>
          <w:p w14:paraId="5B08667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39" w:type="dxa"/>
            <w:tcBorders>
              <w:top w:val="nil"/>
              <w:left w:val="nil"/>
              <w:bottom w:val="nil"/>
              <w:right w:val="nil"/>
            </w:tcBorders>
            <w:noWrap/>
            <w:vAlign w:val="center"/>
            <w:hideMark/>
          </w:tcPr>
          <w:p w14:paraId="6C501C6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35" w:type="dxa"/>
            <w:tcBorders>
              <w:top w:val="nil"/>
              <w:left w:val="nil"/>
              <w:bottom w:val="nil"/>
              <w:right w:val="nil"/>
            </w:tcBorders>
            <w:noWrap/>
            <w:vAlign w:val="center"/>
            <w:hideMark/>
          </w:tcPr>
          <w:p w14:paraId="585D88B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28" w:type="dxa"/>
            <w:tcBorders>
              <w:top w:val="nil"/>
              <w:left w:val="nil"/>
              <w:bottom w:val="nil"/>
              <w:right w:val="nil"/>
            </w:tcBorders>
            <w:noWrap/>
            <w:vAlign w:val="center"/>
            <w:hideMark/>
          </w:tcPr>
          <w:p w14:paraId="17526F1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r>
      <w:tr w:rsidR="00AA100D" w:rsidRPr="00AA100D" w14:paraId="17EF0711" w14:textId="77777777" w:rsidTr="00AA100D">
        <w:trPr>
          <w:trHeight w:val="300"/>
        </w:trPr>
        <w:tc>
          <w:tcPr>
            <w:tcW w:w="599" w:type="dxa"/>
            <w:tcBorders>
              <w:top w:val="nil"/>
              <w:left w:val="nil"/>
              <w:bottom w:val="nil"/>
              <w:right w:val="nil"/>
            </w:tcBorders>
            <w:noWrap/>
            <w:vAlign w:val="center"/>
            <w:hideMark/>
          </w:tcPr>
          <w:p w14:paraId="497AD98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NDVI</w:t>
            </w:r>
          </w:p>
        </w:tc>
        <w:tc>
          <w:tcPr>
            <w:tcW w:w="1319" w:type="dxa"/>
            <w:tcBorders>
              <w:top w:val="nil"/>
              <w:left w:val="nil"/>
              <w:bottom w:val="nil"/>
              <w:right w:val="nil"/>
            </w:tcBorders>
            <w:noWrap/>
            <w:vAlign w:val="center"/>
            <w:hideMark/>
          </w:tcPr>
          <w:p w14:paraId="08F8481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unadj</w:t>
            </w:r>
          </w:p>
        </w:tc>
        <w:tc>
          <w:tcPr>
            <w:tcW w:w="652" w:type="dxa"/>
            <w:tcBorders>
              <w:top w:val="nil"/>
              <w:left w:val="nil"/>
              <w:bottom w:val="nil"/>
              <w:right w:val="nil"/>
            </w:tcBorders>
            <w:noWrap/>
            <w:vAlign w:val="center"/>
            <w:hideMark/>
          </w:tcPr>
          <w:p w14:paraId="37F1923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0.55</w:t>
            </w:r>
          </w:p>
        </w:tc>
        <w:tc>
          <w:tcPr>
            <w:tcW w:w="916" w:type="dxa"/>
            <w:tcBorders>
              <w:top w:val="nil"/>
              <w:left w:val="nil"/>
              <w:bottom w:val="nil"/>
              <w:right w:val="nil"/>
            </w:tcBorders>
            <w:noWrap/>
            <w:vAlign w:val="center"/>
            <w:hideMark/>
          </w:tcPr>
          <w:p w14:paraId="4982F9E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0.45</w:t>
            </w:r>
          </w:p>
        </w:tc>
        <w:tc>
          <w:tcPr>
            <w:tcW w:w="796" w:type="dxa"/>
            <w:tcBorders>
              <w:top w:val="nil"/>
              <w:left w:val="nil"/>
              <w:bottom w:val="nil"/>
              <w:right w:val="nil"/>
            </w:tcBorders>
            <w:noWrap/>
            <w:vAlign w:val="center"/>
            <w:hideMark/>
          </w:tcPr>
          <w:p w14:paraId="40B92BE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0.07</w:t>
            </w:r>
          </w:p>
        </w:tc>
        <w:tc>
          <w:tcPr>
            <w:tcW w:w="1093" w:type="dxa"/>
            <w:tcBorders>
              <w:top w:val="nil"/>
              <w:left w:val="nil"/>
              <w:bottom w:val="nil"/>
              <w:right w:val="nil"/>
            </w:tcBorders>
            <w:noWrap/>
            <w:vAlign w:val="center"/>
            <w:hideMark/>
          </w:tcPr>
          <w:p w14:paraId="1AD5AD0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0.65</w:t>
            </w:r>
          </w:p>
        </w:tc>
        <w:tc>
          <w:tcPr>
            <w:tcW w:w="1240" w:type="dxa"/>
            <w:tcBorders>
              <w:top w:val="nil"/>
              <w:left w:val="nil"/>
              <w:bottom w:val="nil"/>
              <w:right w:val="nil"/>
            </w:tcBorders>
            <w:noWrap/>
            <w:vAlign w:val="center"/>
            <w:hideMark/>
          </w:tcPr>
          <w:p w14:paraId="125BF8A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0.52</w:t>
            </w:r>
          </w:p>
        </w:tc>
        <w:tc>
          <w:tcPr>
            <w:tcW w:w="572" w:type="dxa"/>
            <w:tcBorders>
              <w:top w:val="nil"/>
              <w:left w:val="nil"/>
              <w:bottom w:val="nil"/>
              <w:right w:val="nil"/>
            </w:tcBorders>
            <w:noWrap/>
            <w:vAlign w:val="center"/>
            <w:hideMark/>
          </w:tcPr>
          <w:p w14:paraId="6D5E017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753</w:t>
            </w:r>
          </w:p>
        </w:tc>
        <w:tc>
          <w:tcPr>
            <w:tcW w:w="572" w:type="dxa"/>
            <w:tcBorders>
              <w:top w:val="nil"/>
              <w:left w:val="nil"/>
              <w:bottom w:val="nil"/>
              <w:right w:val="nil"/>
            </w:tcBorders>
            <w:noWrap/>
            <w:vAlign w:val="center"/>
            <w:hideMark/>
          </w:tcPr>
          <w:p w14:paraId="4A6B2F4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1301</w:t>
            </w:r>
          </w:p>
        </w:tc>
        <w:tc>
          <w:tcPr>
            <w:tcW w:w="528" w:type="dxa"/>
            <w:tcBorders>
              <w:top w:val="nil"/>
              <w:left w:val="nil"/>
              <w:bottom w:val="nil"/>
              <w:right w:val="nil"/>
            </w:tcBorders>
            <w:noWrap/>
            <w:vAlign w:val="center"/>
            <w:hideMark/>
          </w:tcPr>
          <w:p w14:paraId="0D01E38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0.06</w:t>
            </w:r>
          </w:p>
        </w:tc>
        <w:tc>
          <w:tcPr>
            <w:tcW w:w="539" w:type="dxa"/>
            <w:tcBorders>
              <w:top w:val="nil"/>
              <w:left w:val="nil"/>
              <w:bottom w:val="nil"/>
              <w:right w:val="nil"/>
            </w:tcBorders>
            <w:noWrap/>
            <w:vAlign w:val="center"/>
            <w:hideMark/>
          </w:tcPr>
          <w:p w14:paraId="1C81997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0.21</w:t>
            </w:r>
          </w:p>
        </w:tc>
        <w:tc>
          <w:tcPr>
            <w:tcW w:w="735" w:type="dxa"/>
            <w:tcBorders>
              <w:top w:val="nil"/>
              <w:left w:val="nil"/>
              <w:bottom w:val="nil"/>
              <w:right w:val="nil"/>
            </w:tcBorders>
            <w:noWrap/>
            <w:vAlign w:val="center"/>
            <w:hideMark/>
          </w:tcPr>
          <w:p w14:paraId="32EA312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0.04</w:t>
            </w:r>
          </w:p>
        </w:tc>
        <w:tc>
          <w:tcPr>
            <w:tcW w:w="628" w:type="dxa"/>
            <w:tcBorders>
              <w:top w:val="nil"/>
              <w:left w:val="nil"/>
              <w:bottom w:val="nil"/>
              <w:right w:val="nil"/>
            </w:tcBorders>
            <w:noWrap/>
            <w:vAlign w:val="center"/>
            <w:hideMark/>
          </w:tcPr>
          <w:p w14:paraId="5D6C1F0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0.09</w:t>
            </w:r>
          </w:p>
        </w:tc>
      </w:tr>
      <w:tr w:rsidR="00AA100D" w:rsidRPr="00AA100D" w14:paraId="23F0C0B6" w14:textId="77777777" w:rsidTr="00AA100D">
        <w:trPr>
          <w:trHeight w:val="300"/>
        </w:trPr>
        <w:tc>
          <w:tcPr>
            <w:tcW w:w="599" w:type="dxa"/>
            <w:tcBorders>
              <w:top w:val="nil"/>
              <w:left w:val="nil"/>
              <w:bottom w:val="nil"/>
              <w:right w:val="nil"/>
            </w:tcBorders>
            <w:noWrap/>
            <w:vAlign w:val="center"/>
            <w:hideMark/>
          </w:tcPr>
          <w:p w14:paraId="47EEE18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NDVI</w:t>
            </w:r>
          </w:p>
        </w:tc>
        <w:tc>
          <w:tcPr>
            <w:tcW w:w="1319" w:type="dxa"/>
            <w:tcBorders>
              <w:top w:val="nil"/>
              <w:left w:val="nil"/>
              <w:bottom w:val="nil"/>
              <w:right w:val="nil"/>
            </w:tcBorders>
            <w:noWrap/>
            <w:vAlign w:val="center"/>
            <w:hideMark/>
          </w:tcPr>
          <w:p w14:paraId="324DF2E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adjusted</w:t>
            </w:r>
          </w:p>
        </w:tc>
        <w:tc>
          <w:tcPr>
            <w:tcW w:w="652" w:type="dxa"/>
            <w:tcBorders>
              <w:top w:val="nil"/>
              <w:left w:val="nil"/>
              <w:bottom w:val="nil"/>
              <w:right w:val="nil"/>
            </w:tcBorders>
            <w:noWrap/>
            <w:vAlign w:val="center"/>
            <w:hideMark/>
          </w:tcPr>
          <w:p w14:paraId="736C1DA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0.37</w:t>
            </w:r>
          </w:p>
        </w:tc>
        <w:tc>
          <w:tcPr>
            <w:tcW w:w="916" w:type="dxa"/>
            <w:tcBorders>
              <w:top w:val="nil"/>
              <w:left w:val="nil"/>
              <w:bottom w:val="nil"/>
              <w:right w:val="nil"/>
            </w:tcBorders>
            <w:noWrap/>
            <w:vAlign w:val="center"/>
            <w:hideMark/>
          </w:tcPr>
          <w:p w14:paraId="15BA36B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0.39</w:t>
            </w:r>
          </w:p>
        </w:tc>
        <w:tc>
          <w:tcPr>
            <w:tcW w:w="796" w:type="dxa"/>
            <w:tcBorders>
              <w:top w:val="nil"/>
              <w:left w:val="nil"/>
              <w:bottom w:val="nil"/>
              <w:right w:val="nil"/>
            </w:tcBorders>
            <w:noWrap/>
            <w:vAlign w:val="center"/>
            <w:hideMark/>
          </w:tcPr>
          <w:p w14:paraId="23D189A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0.06</w:t>
            </w:r>
          </w:p>
        </w:tc>
        <w:tc>
          <w:tcPr>
            <w:tcW w:w="1093" w:type="dxa"/>
            <w:tcBorders>
              <w:top w:val="nil"/>
              <w:left w:val="nil"/>
              <w:bottom w:val="nil"/>
              <w:right w:val="nil"/>
            </w:tcBorders>
            <w:noWrap/>
            <w:vAlign w:val="center"/>
            <w:hideMark/>
          </w:tcPr>
          <w:p w14:paraId="389ACBF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0.63</w:t>
            </w:r>
          </w:p>
        </w:tc>
        <w:tc>
          <w:tcPr>
            <w:tcW w:w="1240" w:type="dxa"/>
            <w:tcBorders>
              <w:top w:val="nil"/>
              <w:left w:val="nil"/>
              <w:bottom w:val="nil"/>
              <w:right w:val="nil"/>
            </w:tcBorders>
            <w:noWrap/>
            <w:vAlign w:val="center"/>
            <w:hideMark/>
          </w:tcPr>
          <w:p w14:paraId="258EDB8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0.66</w:t>
            </w:r>
          </w:p>
        </w:tc>
        <w:tc>
          <w:tcPr>
            <w:tcW w:w="572" w:type="dxa"/>
            <w:tcBorders>
              <w:top w:val="nil"/>
              <w:left w:val="nil"/>
              <w:bottom w:val="nil"/>
              <w:right w:val="nil"/>
            </w:tcBorders>
            <w:noWrap/>
            <w:vAlign w:val="center"/>
            <w:hideMark/>
          </w:tcPr>
          <w:p w14:paraId="7489ABD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743</w:t>
            </w:r>
          </w:p>
        </w:tc>
        <w:tc>
          <w:tcPr>
            <w:tcW w:w="572" w:type="dxa"/>
            <w:tcBorders>
              <w:top w:val="nil"/>
              <w:left w:val="nil"/>
              <w:bottom w:val="nil"/>
              <w:right w:val="nil"/>
            </w:tcBorders>
            <w:noWrap/>
            <w:vAlign w:val="center"/>
            <w:hideMark/>
          </w:tcPr>
          <w:p w14:paraId="6092BF2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1264</w:t>
            </w:r>
          </w:p>
        </w:tc>
        <w:tc>
          <w:tcPr>
            <w:tcW w:w="528" w:type="dxa"/>
            <w:tcBorders>
              <w:top w:val="nil"/>
              <w:left w:val="nil"/>
              <w:bottom w:val="nil"/>
              <w:right w:val="nil"/>
            </w:tcBorders>
            <w:noWrap/>
            <w:vAlign w:val="center"/>
            <w:hideMark/>
          </w:tcPr>
          <w:p w14:paraId="78BC503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0.01</w:t>
            </w:r>
          </w:p>
        </w:tc>
        <w:tc>
          <w:tcPr>
            <w:tcW w:w="539" w:type="dxa"/>
            <w:tcBorders>
              <w:top w:val="nil"/>
              <w:left w:val="nil"/>
              <w:bottom w:val="nil"/>
              <w:right w:val="nil"/>
            </w:tcBorders>
            <w:noWrap/>
            <w:vAlign w:val="center"/>
            <w:hideMark/>
          </w:tcPr>
          <w:p w14:paraId="6B5D993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0.24</w:t>
            </w:r>
          </w:p>
        </w:tc>
        <w:tc>
          <w:tcPr>
            <w:tcW w:w="735" w:type="dxa"/>
            <w:tcBorders>
              <w:top w:val="nil"/>
              <w:left w:val="nil"/>
              <w:bottom w:val="nil"/>
              <w:right w:val="nil"/>
            </w:tcBorders>
            <w:noWrap/>
            <w:vAlign w:val="center"/>
            <w:hideMark/>
          </w:tcPr>
          <w:p w14:paraId="00CC4B1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0.02</w:t>
            </w:r>
          </w:p>
        </w:tc>
        <w:tc>
          <w:tcPr>
            <w:tcW w:w="628" w:type="dxa"/>
            <w:tcBorders>
              <w:top w:val="nil"/>
              <w:left w:val="nil"/>
              <w:bottom w:val="nil"/>
              <w:right w:val="nil"/>
            </w:tcBorders>
            <w:noWrap/>
            <w:vAlign w:val="center"/>
            <w:hideMark/>
          </w:tcPr>
          <w:p w14:paraId="3868B4E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0.09</w:t>
            </w:r>
          </w:p>
        </w:tc>
      </w:tr>
      <w:tr w:rsidR="00AA100D" w:rsidRPr="00AA100D" w14:paraId="5AF60254" w14:textId="77777777" w:rsidTr="00AA100D">
        <w:trPr>
          <w:trHeight w:val="300"/>
        </w:trPr>
        <w:tc>
          <w:tcPr>
            <w:tcW w:w="599" w:type="dxa"/>
            <w:tcBorders>
              <w:top w:val="nil"/>
              <w:left w:val="nil"/>
              <w:bottom w:val="nil"/>
              <w:right w:val="nil"/>
            </w:tcBorders>
            <w:noWrap/>
            <w:vAlign w:val="center"/>
            <w:hideMark/>
          </w:tcPr>
          <w:p w14:paraId="661DCD4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NDVI</w:t>
            </w:r>
          </w:p>
        </w:tc>
        <w:tc>
          <w:tcPr>
            <w:tcW w:w="1319" w:type="dxa"/>
            <w:tcBorders>
              <w:top w:val="nil"/>
              <w:left w:val="nil"/>
              <w:bottom w:val="nil"/>
              <w:right w:val="nil"/>
            </w:tcBorders>
            <w:noWrap/>
            <w:vAlign w:val="center"/>
            <w:hideMark/>
          </w:tcPr>
          <w:p w14:paraId="2059CBE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reaction_norm</w:t>
            </w:r>
          </w:p>
        </w:tc>
        <w:tc>
          <w:tcPr>
            <w:tcW w:w="652" w:type="dxa"/>
            <w:tcBorders>
              <w:top w:val="nil"/>
              <w:left w:val="nil"/>
              <w:bottom w:val="nil"/>
              <w:right w:val="nil"/>
            </w:tcBorders>
            <w:noWrap/>
            <w:vAlign w:val="center"/>
            <w:hideMark/>
          </w:tcPr>
          <w:p w14:paraId="2FEF467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0.62</w:t>
            </w:r>
          </w:p>
        </w:tc>
        <w:tc>
          <w:tcPr>
            <w:tcW w:w="916" w:type="dxa"/>
            <w:tcBorders>
              <w:top w:val="nil"/>
              <w:left w:val="nil"/>
              <w:bottom w:val="nil"/>
              <w:right w:val="nil"/>
            </w:tcBorders>
            <w:noWrap/>
            <w:vAlign w:val="center"/>
            <w:hideMark/>
          </w:tcPr>
          <w:p w14:paraId="096F00E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0.42</w:t>
            </w:r>
          </w:p>
        </w:tc>
        <w:tc>
          <w:tcPr>
            <w:tcW w:w="796" w:type="dxa"/>
            <w:tcBorders>
              <w:top w:val="nil"/>
              <w:left w:val="nil"/>
              <w:bottom w:val="nil"/>
              <w:right w:val="nil"/>
            </w:tcBorders>
            <w:noWrap/>
            <w:vAlign w:val="center"/>
            <w:hideMark/>
          </w:tcPr>
          <w:p w14:paraId="02823DD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0.05</w:t>
            </w:r>
          </w:p>
        </w:tc>
        <w:tc>
          <w:tcPr>
            <w:tcW w:w="1093" w:type="dxa"/>
            <w:tcBorders>
              <w:top w:val="nil"/>
              <w:left w:val="nil"/>
              <w:bottom w:val="nil"/>
              <w:right w:val="nil"/>
            </w:tcBorders>
            <w:noWrap/>
            <w:vAlign w:val="center"/>
            <w:hideMark/>
          </w:tcPr>
          <w:p w14:paraId="598B231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0.85</w:t>
            </w:r>
          </w:p>
        </w:tc>
        <w:tc>
          <w:tcPr>
            <w:tcW w:w="1240" w:type="dxa"/>
            <w:tcBorders>
              <w:top w:val="nil"/>
              <w:left w:val="nil"/>
              <w:bottom w:val="nil"/>
              <w:right w:val="nil"/>
            </w:tcBorders>
            <w:noWrap/>
            <w:vAlign w:val="center"/>
            <w:hideMark/>
          </w:tcPr>
          <w:p w14:paraId="49CF10B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0.44</w:t>
            </w:r>
          </w:p>
        </w:tc>
        <w:tc>
          <w:tcPr>
            <w:tcW w:w="572" w:type="dxa"/>
            <w:tcBorders>
              <w:top w:val="nil"/>
              <w:left w:val="nil"/>
              <w:bottom w:val="nil"/>
              <w:right w:val="nil"/>
            </w:tcBorders>
            <w:noWrap/>
            <w:vAlign w:val="center"/>
            <w:hideMark/>
          </w:tcPr>
          <w:p w14:paraId="27C10CA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657</w:t>
            </w:r>
          </w:p>
        </w:tc>
        <w:tc>
          <w:tcPr>
            <w:tcW w:w="572" w:type="dxa"/>
            <w:tcBorders>
              <w:top w:val="nil"/>
              <w:left w:val="nil"/>
              <w:bottom w:val="nil"/>
              <w:right w:val="nil"/>
            </w:tcBorders>
            <w:noWrap/>
            <w:vAlign w:val="center"/>
            <w:hideMark/>
          </w:tcPr>
          <w:p w14:paraId="340F4A2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1547</w:t>
            </w:r>
          </w:p>
        </w:tc>
        <w:tc>
          <w:tcPr>
            <w:tcW w:w="528" w:type="dxa"/>
            <w:tcBorders>
              <w:top w:val="nil"/>
              <w:left w:val="nil"/>
              <w:bottom w:val="nil"/>
              <w:right w:val="nil"/>
            </w:tcBorders>
            <w:noWrap/>
            <w:vAlign w:val="center"/>
            <w:hideMark/>
          </w:tcPr>
          <w:p w14:paraId="499C415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0.04</w:t>
            </w:r>
          </w:p>
        </w:tc>
        <w:tc>
          <w:tcPr>
            <w:tcW w:w="539" w:type="dxa"/>
            <w:tcBorders>
              <w:top w:val="nil"/>
              <w:left w:val="nil"/>
              <w:bottom w:val="nil"/>
              <w:right w:val="nil"/>
            </w:tcBorders>
            <w:noWrap/>
            <w:vAlign w:val="center"/>
            <w:hideMark/>
          </w:tcPr>
          <w:p w14:paraId="0A84510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0.15</w:t>
            </w:r>
          </w:p>
        </w:tc>
        <w:tc>
          <w:tcPr>
            <w:tcW w:w="735" w:type="dxa"/>
            <w:tcBorders>
              <w:top w:val="nil"/>
              <w:left w:val="nil"/>
              <w:bottom w:val="nil"/>
              <w:right w:val="nil"/>
            </w:tcBorders>
            <w:noWrap/>
            <w:vAlign w:val="center"/>
            <w:hideMark/>
          </w:tcPr>
          <w:p w14:paraId="1125FF0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0.09</w:t>
            </w:r>
          </w:p>
        </w:tc>
        <w:tc>
          <w:tcPr>
            <w:tcW w:w="628" w:type="dxa"/>
            <w:tcBorders>
              <w:top w:val="nil"/>
              <w:left w:val="nil"/>
              <w:bottom w:val="nil"/>
              <w:right w:val="nil"/>
            </w:tcBorders>
            <w:noWrap/>
            <w:vAlign w:val="center"/>
            <w:hideMark/>
          </w:tcPr>
          <w:p w14:paraId="79B61FF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0.05</w:t>
            </w:r>
          </w:p>
        </w:tc>
      </w:tr>
      <w:tr w:rsidR="00AA100D" w:rsidRPr="00AA100D" w14:paraId="493922EA" w14:textId="77777777" w:rsidTr="00AA100D">
        <w:trPr>
          <w:trHeight w:val="300"/>
        </w:trPr>
        <w:tc>
          <w:tcPr>
            <w:tcW w:w="599" w:type="dxa"/>
            <w:tcBorders>
              <w:top w:val="nil"/>
              <w:left w:val="nil"/>
              <w:bottom w:val="nil"/>
              <w:right w:val="nil"/>
            </w:tcBorders>
            <w:noWrap/>
            <w:vAlign w:val="center"/>
            <w:hideMark/>
          </w:tcPr>
          <w:p w14:paraId="2AC42D0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319" w:type="dxa"/>
            <w:tcBorders>
              <w:top w:val="nil"/>
              <w:left w:val="nil"/>
              <w:bottom w:val="nil"/>
              <w:right w:val="nil"/>
            </w:tcBorders>
            <w:noWrap/>
            <w:vAlign w:val="center"/>
            <w:hideMark/>
          </w:tcPr>
          <w:p w14:paraId="4301321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52" w:type="dxa"/>
            <w:tcBorders>
              <w:top w:val="nil"/>
              <w:left w:val="nil"/>
              <w:bottom w:val="nil"/>
              <w:right w:val="nil"/>
            </w:tcBorders>
            <w:noWrap/>
            <w:vAlign w:val="center"/>
            <w:hideMark/>
          </w:tcPr>
          <w:p w14:paraId="1FEAE16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916" w:type="dxa"/>
            <w:tcBorders>
              <w:top w:val="nil"/>
              <w:left w:val="nil"/>
              <w:bottom w:val="nil"/>
              <w:right w:val="nil"/>
            </w:tcBorders>
            <w:noWrap/>
            <w:vAlign w:val="center"/>
            <w:hideMark/>
          </w:tcPr>
          <w:p w14:paraId="10D56EA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96" w:type="dxa"/>
            <w:tcBorders>
              <w:top w:val="nil"/>
              <w:left w:val="nil"/>
              <w:bottom w:val="nil"/>
              <w:right w:val="nil"/>
            </w:tcBorders>
            <w:noWrap/>
            <w:vAlign w:val="center"/>
            <w:hideMark/>
          </w:tcPr>
          <w:p w14:paraId="6703C94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093" w:type="dxa"/>
            <w:tcBorders>
              <w:top w:val="nil"/>
              <w:left w:val="nil"/>
              <w:bottom w:val="nil"/>
              <w:right w:val="nil"/>
            </w:tcBorders>
            <w:noWrap/>
            <w:vAlign w:val="center"/>
            <w:hideMark/>
          </w:tcPr>
          <w:p w14:paraId="174D67E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240" w:type="dxa"/>
            <w:tcBorders>
              <w:top w:val="nil"/>
              <w:left w:val="nil"/>
              <w:bottom w:val="nil"/>
              <w:right w:val="nil"/>
            </w:tcBorders>
            <w:noWrap/>
            <w:vAlign w:val="center"/>
            <w:hideMark/>
          </w:tcPr>
          <w:p w14:paraId="0F9720B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33CE0D1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02D9806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28" w:type="dxa"/>
            <w:tcBorders>
              <w:top w:val="nil"/>
              <w:left w:val="nil"/>
              <w:bottom w:val="nil"/>
              <w:right w:val="nil"/>
            </w:tcBorders>
            <w:noWrap/>
            <w:vAlign w:val="center"/>
            <w:hideMark/>
          </w:tcPr>
          <w:p w14:paraId="6D1ECC3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39" w:type="dxa"/>
            <w:tcBorders>
              <w:top w:val="nil"/>
              <w:left w:val="nil"/>
              <w:bottom w:val="nil"/>
              <w:right w:val="nil"/>
            </w:tcBorders>
            <w:noWrap/>
            <w:vAlign w:val="center"/>
            <w:hideMark/>
          </w:tcPr>
          <w:p w14:paraId="518D8F6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35" w:type="dxa"/>
            <w:tcBorders>
              <w:top w:val="nil"/>
              <w:left w:val="nil"/>
              <w:bottom w:val="nil"/>
              <w:right w:val="nil"/>
            </w:tcBorders>
            <w:noWrap/>
            <w:vAlign w:val="center"/>
            <w:hideMark/>
          </w:tcPr>
          <w:p w14:paraId="3EC289E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28" w:type="dxa"/>
            <w:tcBorders>
              <w:top w:val="nil"/>
              <w:left w:val="nil"/>
              <w:bottom w:val="nil"/>
              <w:right w:val="nil"/>
            </w:tcBorders>
            <w:noWrap/>
            <w:vAlign w:val="center"/>
            <w:hideMark/>
          </w:tcPr>
          <w:p w14:paraId="4832357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r>
      <w:tr w:rsidR="00AA100D" w:rsidRPr="00AA100D" w14:paraId="58A1E0B0" w14:textId="77777777" w:rsidTr="00AA100D">
        <w:trPr>
          <w:trHeight w:val="300"/>
        </w:trPr>
        <w:tc>
          <w:tcPr>
            <w:tcW w:w="599" w:type="dxa"/>
            <w:tcBorders>
              <w:top w:val="nil"/>
              <w:left w:val="nil"/>
              <w:bottom w:val="nil"/>
              <w:right w:val="nil"/>
            </w:tcBorders>
            <w:noWrap/>
            <w:vAlign w:val="center"/>
            <w:hideMark/>
          </w:tcPr>
          <w:p w14:paraId="2FFD564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GR</w:t>
            </w:r>
          </w:p>
        </w:tc>
        <w:tc>
          <w:tcPr>
            <w:tcW w:w="1319" w:type="dxa"/>
            <w:tcBorders>
              <w:top w:val="nil"/>
              <w:left w:val="nil"/>
              <w:bottom w:val="nil"/>
              <w:right w:val="nil"/>
            </w:tcBorders>
            <w:noWrap/>
            <w:vAlign w:val="center"/>
            <w:hideMark/>
          </w:tcPr>
          <w:p w14:paraId="24E4CC5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unadj</w:t>
            </w:r>
          </w:p>
        </w:tc>
        <w:tc>
          <w:tcPr>
            <w:tcW w:w="652" w:type="dxa"/>
            <w:tcBorders>
              <w:top w:val="nil"/>
              <w:left w:val="nil"/>
              <w:bottom w:val="nil"/>
              <w:right w:val="nil"/>
            </w:tcBorders>
            <w:noWrap/>
            <w:vAlign w:val="center"/>
            <w:hideMark/>
          </w:tcPr>
          <w:p w14:paraId="788130C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0.36</w:t>
            </w:r>
          </w:p>
        </w:tc>
        <w:tc>
          <w:tcPr>
            <w:tcW w:w="916" w:type="dxa"/>
            <w:tcBorders>
              <w:top w:val="nil"/>
              <w:left w:val="nil"/>
              <w:bottom w:val="nil"/>
              <w:right w:val="nil"/>
            </w:tcBorders>
            <w:noWrap/>
            <w:vAlign w:val="center"/>
            <w:hideMark/>
          </w:tcPr>
          <w:p w14:paraId="0F391B1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0.50</w:t>
            </w:r>
          </w:p>
        </w:tc>
        <w:tc>
          <w:tcPr>
            <w:tcW w:w="796" w:type="dxa"/>
            <w:tcBorders>
              <w:top w:val="nil"/>
              <w:left w:val="nil"/>
              <w:bottom w:val="nil"/>
              <w:right w:val="nil"/>
            </w:tcBorders>
            <w:noWrap/>
            <w:vAlign w:val="center"/>
            <w:hideMark/>
          </w:tcPr>
          <w:p w14:paraId="1CD0D7E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0.25</w:t>
            </w:r>
          </w:p>
        </w:tc>
        <w:tc>
          <w:tcPr>
            <w:tcW w:w="1093" w:type="dxa"/>
            <w:tcBorders>
              <w:top w:val="nil"/>
              <w:left w:val="nil"/>
              <w:bottom w:val="nil"/>
              <w:right w:val="nil"/>
            </w:tcBorders>
            <w:noWrap/>
            <w:vAlign w:val="center"/>
            <w:hideMark/>
          </w:tcPr>
          <w:p w14:paraId="12F7D2F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0.43</w:t>
            </w:r>
          </w:p>
        </w:tc>
        <w:tc>
          <w:tcPr>
            <w:tcW w:w="1240" w:type="dxa"/>
            <w:tcBorders>
              <w:top w:val="nil"/>
              <w:left w:val="nil"/>
              <w:bottom w:val="nil"/>
              <w:right w:val="nil"/>
            </w:tcBorders>
            <w:noWrap/>
            <w:vAlign w:val="center"/>
            <w:hideMark/>
          </w:tcPr>
          <w:p w14:paraId="48655F5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0.76</w:t>
            </w:r>
          </w:p>
        </w:tc>
        <w:tc>
          <w:tcPr>
            <w:tcW w:w="572" w:type="dxa"/>
            <w:tcBorders>
              <w:top w:val="nil"/>
              <w:left w:val="nil"/>
              <w:bottom w:val="nil"/>
              <w:right w:val="nil"/>
            </w:tcBorders>
            <w:noWrap/>
            <w:vAlign w:val="center"/>
            <w:hideMark/>
          </w:tcPr>
          <w:p w14:paraId="74067D7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806</w:t>
            </w:r>
          </w:p>
        </w:tc>
        <w:tc>
          <w:tcPr>
            <w:tcW w:w="572" w:type="dxa"/>
            <w:tcBorders>
              <w:top w:val="nil"/>
              <w:left w:val="nil"/>
              <w:bottom w:val="nil"/>
              <w:right w:val="nil"/>
            </w:tcBorders>
            <w:noWrap/>
            <w:vAlign w:val="center"/>
            <w:hideMark/>
          </w:tcPr>
          <w:p w14:paraId="3809272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1423</w:t>
            </w:r>
          </w:p>
        </w:tc>
        <w:tc>
          <w:tcPr>
            <w:tcW w:w="528" w:type="dxa"/>
            <w:tcBorders>
              <w:top w:val="nil"/>
              <w:left w:val="nil"/>
              <w:bottom w:val="nil"/>
              <w:right w:val="nil"/>
            </w:tcBorders>
            <w:noWrap/>
            <w:vAlign w:val="center"/>
            <w:hideMark/>
          </w:tcPr>
          <w:p w14:paraId="5230286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1C8A254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0.36</w:t>
            </w:r>
          </w:p>
        </w:tc>
        <w:tc>
          <w:tcPr>
            <w:tcW w:w="735" w:type="dxa"/>
            <w:tcBorders>
              <w:top w:val="nil"/>
              <w:left w:val="nil"/>
              <w:bottom w:val="nil"/>
              <w:right w:val="nil"/>
            </w:tcBorders>
            <w:noWrap/>
            <w:vAlign w:val="center"/>
            <w:hideMark/>
          </w:tcPr>
          <w:p w14:paraId="7AC5AB7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0.01</w:t>
            </w:r>
          </w:p>
        </w:tc>
        <w:tc>
          <w:tcPr>
            <w:tcW w:w="628" w:type="dxa"/>
            <w:tcBorders>
              <w:top w:val="nil"/>
              <w:left w:val="nil"/>
              <w:bottom w:val="nil"/>
              <w:right w:val="nil"/>
            </w:tcBorders>
            <w:noWrap/>
            <w:vAlign w:val="center"/>
            <w:hideMark/>
          </w:tcPr>
          <w:p w14:paraId="0C4F48A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0.07</w:t>
            </w:r>
          </w:p>
        </w:tc>
      </w:tr>
      <w:tr w:rsidR="00AA100D" w:rsidRPr="00AA100D" w14:paraId="20F5EE51" w14:textId="77777777" w:rsidTr="00AA100D">
        <w:trPr>
          <w:trHeight w:val="300"/>
        </w:trPr>
        <w:tc>
          <w:tcPr>
            <w:tcW w:w="599" w:type="dxa"/>
            <w:tcBorders>
              <w:top w:val="nil"/>
              <w:left w:val="nil"/>
              <w:bottom w:val="nil"/>
              <w:right w:val="nil"/>
            </w:tcBorders>
            <w:noWrap/>
            <w:vAlign w:val="center"/>
            <w:hideMark/>
          </w:tcPr>
          <w:p w14:paraId="5535B37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GR</w:t>
            </w:r>
          </w:p>
        </w:tc>
        <w:tc>
          <w:tcPr>
            <w:tcW w:w="1319" w:type="dxa"/>
            <w:tcBorders>
              <w:top w:val="nil"/>
              <w:left w:val="nil"/>
              <w:bottom w:val="nil"/>
              <w:right w:val="nil"/>
            </w:tcBorders>
            <w:noWrap/>
            <w:vAlign w:val="center"/>
            <w:hideMark/>
          </w:tcPr>
          <w:p w14:paraId="08332C9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adjusted</w:t>
            </w:r>
          </w:p>
        </w:tc>
        <w:tc>
          <w:tcPr>
            <w:tcW w:w="652" w:type="dxa"/>
            <w:tcBorders>
              <w:top w:val="nil"/>
              <w:left w:val="nil"/>
              <w:bottom w:val="nil"/>
              <w:right w:val="nil"/>
            </w:tcBorders>
            <w:noWrap/>
            <w:vAlign w:val="center"/>
            <w:hideMark/>
          </w:tcPr>
          <w:p w14:paraId="2E43159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0.30</w:t>
            </w:r>
          </w:p>
        </w:tc>
        <w:tc>
          <w:tcPr>
            <w:tcW w:w="916" w:type="dxa"/>
            <w:tcBorders>
              <w:top w:val="nil"/>
              <w:left w:val="nil"/>
              <w:bottom w:val="nil"/>
              <w:right w:val="nil"/>
            </w:tcBorders>
            <w:noWrap/>
            <w:vAlign w:val="center"/>
            <w:hideMark/>
          </w:tcPr>
          <w:p w14:paraId="5EA12A0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0.47</w:t>
            </w:r>
          </w:p>
        </w:tc>
        <w:tc>
          <w:tcPr>
            <w:tcW w:w="796" w:type="dxa"/>
            <w:tcBorders>
              <w:top w:val="nil"/>
              <w:left w:val="nil"/>
              <w:bottom w:val="nil"/>
              <w:right w:val="nil"/>
            </w:tcBorders>
            <w:noWrap/>
            <w:vAlign w:val="center"/>
            <w:hideMark/>
          </w:tcPr>
          <w:p w14:paraId="67D67AB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0.25</w:t>
            </w:r>
          </w:p>
        </w:tc>
        <w:tc>
          <w:tcPr>
            <w:tcW w:w="1093" w:type="dxa"/>
            <w:tcBorders>
              <w:top w:val="nil"/>
              <w:left w:val="nil"/>
              <w:bottom w:val="nil"/>
              <w:right w:val="nil"/>
            </w:tcBorders>
            <w:noWrap/>
            <w:vAlign w:val="center"/>
            <w:hideMark/>
          </w:tcPr>
          <w:p w14:paraId="2A2F1B2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0.43</w:t>
            </w:r>
          </w:p>
        </w:tc>
        <w:tc>
          <w:tcPr>
            <w:tcW w:w="1240" w:type="dxa"/>
            <w:tcBorders>
              <w:top w:val="nil"/>
              <w:left w:val="nil"/>
              <w:bottom w:val="nil"/>
              <w:right w:val="nil"/>
            </w:tcBorders>
            <w:noWrap/>
            <w:vAlign w:val="center"/>
            <w:hideMark/>
          </w:tcPr>
          <w:p w14:paraId="6C3131A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0.79</w:t>
            </w:r>
          </w:p>
        </w:tc>
        <w:tc>
          <w:tcPr>
            <w:tcW w:w="572" w:type="dxa"/>
            <w:tcBorders>
              <w:top w:val="nil"/>
              <w:left w:val="nil"/>
              <w:bottom w:val="nil"/>
              <w:right w:val="nil"/>
            </w:tcBorders>
            <w:noWrap/>
            <w:vAlign w:val="center"/>
            <w:hideMark/>
          </w:tcPr>
          <w:p w14:paraId="364AE45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805</w:t>
            </w:r>
          </w:p>
        </w:tc>
        <w:tc>
          <w:tcPr>
            <w:tcW w:w="572" w:type="dxa"/>
            <w:tcBorders>
              <w:top w:val="nil"/>
              <w:left w:val="nil"/>
              <w:bottom w:val="nil"/>
              <w:right w:val="nil"/>
            </w:tcBorders>
            <w:noWrap/>
            <w:vAlign w:val="center"/>
            <w:hideMark/>
          </w:tcPr>
          <w:p w14:paraId="7227474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1417</w:t>
            </w:r>
          </w:p>
        </w:tc>
        <w:tc>
          <w:tcPr>
            <w:tcW w:w="528" w:type="dxa"/>
            <w:tcBorders>
              <w:top w:val="nil"/>
              <w:left w:val="nil"/>
              <w:bottom w:val="nil"/>
              <w:right w:val="nil"/>
            </w:tcBorders>
            <w:noWrap/>
            <w:vAlign w:val="center"/>
            <w:hideMark/>
          </w:tcPr>
          <w:p w14:paraId="67E769C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0.01</w:t>
            </w:r>
          </w:p>
        </w:tc>
        <w:tc>
          <w:tcPr>
            <w:tcW w:w="539" w:type="dxa"/>
            <w:tcBorders>
              <w:top w:val="nil"/>
              <w:left w:val="nil"/>
              <w:bottom w:val="nil"/>
              <w:right w:val="nil"/>
            </w:tcBorders>
            <w:noWrap/>
            <w:vAlign w:val="center"/>
            <w:hideMark/>
          </w:tcPr>
          <w:p w14:paraId="33D1ED9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0.36</w:t>
            </w:r>
          </w:p>
        </w:tc>
        <w:tc>
          <w:tcPr>
            <w:tcW w:w="735" w:type="dxa"/>
            <w:tcBorders>
              <w:top w:val="nil"/>
              <w:left w:val="nil"/>
              <w:bottom w:val="nil"/>
              <w:right w:val="nil"/>
            </w:tcBorders>
            <w:noWrap/>
            <w:vAlign w:val="center"/>
            <w:hideMark/>
          </w:tcPr>
          <w:p w14:paraId="179525E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0.01</w:t>
            </w:r>
          </w:p>
        </w:tc>
        <w:tc>
          <w:tcPr>
            <w:tcW w:w="628" w:type="dxa"/>
            <w:tcBorders>
              <w:top w:val="nil"/>
              <w:left w:val="nil"/>
              <w:bottom w:val="nil"/>
              <w:right w:val="nil"/>
            </w:tcBorders>
            <w:noWrap/>
            <w:vAlign w:val="center"/>
            <w:hideMark/>
          </w:tcPr>
          <w:p w14:paraId="4FDB090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0.07</w:t>
            </w:r>
          </w:p>
        </w:tc>
      </w:tr>
      <w:tr w:rsidR="00AA100D" w:rsidRPr="00AA100D" w14:paraId="5CA2BC92" w14:textId="77777777" w:rsidTr="00AA100D">
        <w:trPr>
          <w:trHeight w:val="300"/>
        </w:trPr>
        <w:tc>
          <w:tcPr>
            <w:tcW w:w="599" w:type="dxa"/>
            <w:tcBorders>
              <w:top w:val="nil"/>
              <w:left w:val="nil"/>
              <w:bottom w:val="nil"/>
              <w:right w:val="nil"/>
            </w:tcBorders>
            <w:noWrap/>
            <w:vAlign w:val="center"/>
            <w:hideMark/>
          </w:tcPr>
          <w:p w14:paraId="15C469A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GR</w:t>
            </w:r>
          </w:p>
        </w:tc>
        <w:tc>
          <w:tcPr>
            <w:tcW w:w="1319" w:type="dxa"/>
            <w:tcBorders>
              <w:top w:val="nil"/>
              <w:left w:val="nil"/>
              <w:bottom w:val="nil"/>
              <w:right w:val="nil"/>
            </w:tcBorders>
            <w:noWrap/>
            <w:vAlign w:val="center"/>
            <w:hideMark/>
          </w:tcPr>
          <w:p w14:paraId="2B16D9E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reaction_norm</w:t>
            </w:r>
          </w:p>
        </w:tc>
        <w:tc>
          <w:tcPr>
            <w:tcW w:w="652" w:type="dxa"/>
            <w:tcBorders>
              <w:top w:val="nil"/>
              <w:left w:val="nil"/>
              <w:bottom w:val="nil"/>
              <w:right w:val="nil"/>
            </w:tcBorders>
            <w:noWrap/>
            <w:vAlign w:val="center"/>
            <w:hideMark/>
          </w:tcPr>
          <w:p w14:paraId="26B34F4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0.40</w:t>
            </w:r>
          </w:p>
        </w:tc>
        <w:tc>
          <w:tcPr>
            <w:tcW w:w="916" w:type="dxa"/>
            <w:tcBorders>
              <w:top w:val="nil"/>
              <w:left w:val="nil"/>
              <w:bottom w:val="nil"/>
              <w:right w:val="nil"/>
            </w:tcBorders>
            <w:noWrap/>
            <w:vAlign w:val="center"/>
            <w:hideMark/>
          </w:tcPr>
          <w:p w14:paraId="47F481F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0.51</w:t>
            </w:r>
          </w:p>
        </w:tc>
        <w:tc>
          <w:tcPr>
            <w:tcW w:w="796" w:type="dxa"/>
            <w:tcBorders>
              <w:top w:val="nil"/>
              <w:left w:val="nil"/>
              <w:bottom w:val="nil"/>
              <w:right w:val="nil"/>
            </w:tcBorders>
            <w:noWrap/>
            <w:vAlign w:val="center"/>
            <w:hideMark/>
          </w:tcPr>
          <w:p w14:paraId="0A2B15F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0.30</w:t>
            </w:r>
          </w:p>
        </w:tc>
        <w:tc>
          <w:tcPr>
            <w:tcW w:w="1093" w:type="dxa"/>
            <w:tcBorders>
              <w:top w:val="nil"/>
              <w:left w:val="nil"/>
              <w:bottom w:val="nil"/>
              <w:right w:val="nil"/>
            </w:tcBorders>
            <w:noWrap/>
            <w:vAlign w:val="center"/>
            <w:hideMark/>
          </w:tcPr>
          <w:p w14:paraId="31F726E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0.41</w:t>
            </w:r>
          </w:p>
        </w:tc>
        <w:tc>
          <w:tcPr>
            <w:tcW w:w="1240" w:type="dxa"/>
            <w:tcBorders>
              <w:top w:val="nil"/>
              <w:left w:val="nil"/>
              <w:bottom w:val="nil"/>
              <w:right w:val="nil"/>
            </w:tcBorders>
            <w:noWrap/>
            <w:vAlign w:val="center"/>
            <w:hideMark/>
          </w:tcPr>
          <w:p w14:paraId="719D761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0.87</w:t>
            </w:r>
          </w:p>
        </w:tc>
        <w:tc>
          <w:tcPr>
            <w:tcW w:w="572" w:type="dxa"/>
            <w:tcBorders>
              <w:top w:val="nil"/>
              <w:left w:val="nil"/>
              <w:bottom w:val="nil"/>
              <w:right w:val="nil"/>
            </w:tcBorders>
            <w:noWrap/>
            <w:vAlign w:val="center"/>
            <w:hideMark/>
          </w:tcPr>
          <w:p w14:paraId="40C927D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260</w:t>
            </w:r>
          </w:p>
        </w:tc>
        <w:tc>
          <w:tcPr>
            <w:tcW w:w="572" w:type="dxa"/>
            <w:tcBorders>
              <w:top w:val="nil"/>
              <w:left w:val="nil"/>
              <w:bottom w:val="nil"/>
              <w:right w:val="nil"/>
            </w:tcBorders>
            <w:noWrap/>
            <w:vAlign w:val="center"/>
            <w:hideMark/>
          </w:tcPr>
          <w:p w14:paraId="0009BC1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1301</w:t>
            </w:r>
          </w:p>
        </w:tc>
        <w:tc>
          <w:tcPr>
            <w:tcW w:w="528" w:type="dxa"/>
            <w:tcBorders>
              <w:top w:val="nil"/>
              <w:left w:val="nil"/>
              <w:bottom w:val="nil"/>
              <w:right w:val="nil"/>
            </w:tcBorders>
            <w:noWrap/>
            <w:vAlign w:val="center"/>
            <w:hideMark/>
          </w:tcPr>
          <w:p w14:paraId="1080C00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36539CF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0.36</w:t>
            </w:r>
          </w:p>
        </w:tc>
        <w:tc>
          <w:tcPr>
            <w:tcW w:w="735" w:type="dxa"/>
            <w:tcBorders>
              <w:top w:val="nil"/>
              <w:left w:val="nil"/>
              <w:bottom w:val="nil"/>
              <w:right w:val="nil"/>
            </w:tcBorders>
            <w:noWrap/>
            <w:vAlign w:val="center"/>
            <w:hideMark/>
          </w:tcPr>
          <w:p w14:paraId="40B8AD3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0.01</w:t>
            </w:r>
          </w:p>
        </w:tc>
        <w:tc>
          <w:tcPr>
            <w:tcW w:w="628" w:type="dxa"/>
            <w:tcBorders>
              <w:top w:val="nil"/>
              <w:left w:val="nil"/>
              <w:bottom w:val="nil"/>
              <w:right w:val="nil"/>
            </w:tcBorders>
            <w:noWrap/>
            <w:vAlign w:val="center"/>
            <w:hideMark/>
          </w:tcPr>
          <w:p w14:paraId="07DA4C0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0.02</w:t>
            </w:r>
          </w:p>
        </w:tc>
      </w:tr>
      <w:tr w:rsidR="00AA100D" w:rsidRPr="00AA100D" w14:paraId="4C97E3A2" w14:textId="77777777" w:rsidTr="00AA100D">
        <w:trPr>
          <w:trHeight w:val="300"/>
        </w:trPr>
        <w:tc>
          <w:tcPr>
            <w:tcW w:w="599" w:type="dxa"/>
            <w:tcBorders>
              <w:top w:val="nil"/>
              <w:left w:val="nil"/>
              <w:bottom w:val="nil"/>
              <w:right w:val="nil"/>
            </w:tcBorders>
            <w:noWrap/>
            <w:vAlign w:val="center"/>
            <w:hideMark/>
          </w:tcPr>
          <w:p w14:paraId="6A2910B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319" w:type="dxa"/>
            <w:tcBorders>
              <w:top w:val="nil"/>
              <w:left w:val="nil"/>
              <w:bottom w:val="nil"/>
              <w:right w:val="nil"/>
            </w:tcBorders>
            <w:noWrap/>
            <w:vAlign w:val="center"/>
            <w:hideMark/>
          </w:tcPr>
          <w:p w14:paraId="4472467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52" w:type="dxa"/>
            <w:tcBorders>
              <w:top w:val="nil"/>
              <w:left w:val="nil"/>
              <w:bottom w:val="nil"/>
              <w:right w:val="nil"/>
            </w:tcBorders>
            <w:noWrap/>
            <w:vAlign w:val="center"/>
            <w:hideMark/>
          </w:tcPr>
          <w:p w14:paraId="6F06403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916" w:type="dxa"/>
            <w:tcBorders>
              <w:top w:val="nil"/>
              <w:left w:val="nil"/>
              <w:bottom w:val="nil"/>
              <w:right w:val="nil"/>
            </w:tcBorders>
            <w:noWrap/>
            <w:vAlign w:val="center"/>
            <w:hideMark/>
          </w:tcPr>
          <w:p w14:paraId="5DDA308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96" w:type="dxa"/>
            <w:tcBorders>
              <w:top w:val="nil"/>
              <w:left w:val="nil"/>
              <w:bottom w:val="nil"/>
              <w:right w:val="nil"/>
            </w:tcBorders>
            <w:noWrap/>
            <w:vAlign w:val="center"/>
            <w:hideMark/>
          </w:tcPr>
          <w:p w14:paraId="1685A8C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093" w:type="dxa"/>
            <w:tcBorders>
              <w:top w:val="nil"/>
              <w:left w:val="nil"/>
              <w:bottom w:val="nil"/>
              <w:right w:val="nil"/>
            </w:tcBorders>
            <w:noWrap/>
            <w:vAlign w:val="center"/>
            <w:hideMark/>
          </w:tcPr>
          <w:p w14:paraId="20A9ABE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240" w:type="dxa"/>
            <w:tcBorders>
              <w:top w:val="nil"/>
              <w:left w:val="nil"/>
              <w:bottom w:val="nil"/>
              <w:right w:val="nil"/>
            </w:tcBorders>
            <w:noWrap/>
            <w:vAlign w:val="center"/>
            <w:hideMark/>
          </w:tcPr>
          <w:p w14:paraId="2835425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1E3EF9F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71095EC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28" w:type="dxa"/>
            <w:tcBorders>
              <w:top w:val="nil"/>
              <w:left w:val="nil"/>
              <w:bottom w:val="nil"/>
              <w:right w:val="nil"/>
            </w:tcBorders>
            <w:noWrap/>
            <w:vAlign w:val="center"/>
            <w:hideMark/>
          </w:tcPr>
          <w:p w14:paraId="0F872DB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39" w:type="dxa"/>
            <w:tcBorders>
              <w:top w:val="nil"/>
              <w:left w:val="nil"/>
              <w:bottom w:val="nil"/>
              <w:right w:val="nil"/>
            </w:tcBorders>
            <w:noWrap/>
            <w:vAlign w:val="center"/>
            <w:hideMark/>
          </w:tcPr>
          <w:p w14:paraId="4FF1FC3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35" w:type="dxa"/>
            <w:tcBorders>
              <w:top w:val="nil"/>
              <w:left w:val="nil"/>
              <w:bottom w:val="nil"/>
              <w:right w:val="nil"/>
            </w:tcBorders>
            <w:noWrap/>
            <w:vAlign w:val="center"/>
            <w:hideMark/>
          </w:tcPr>
          <w:p w14:paraId="11663E1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28" w:type="dxa"/>
            <w:tcBorders>
              <w:top w:val="nil"/>
              <w:left w:val="nil"/>
              <w:bottom w:val="nil"/>
              <w:right w:val="nil"/>
            </w:tcBorders>
            <w:noWrap/>
            <w:vAlign w:val="center"/>
            <w:hideMark/>
          </w:tcPr>
          <w:p w14:paraId="1A6916A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r>
      <w:tr w:rsidR="00AA100D" w:rsidRPr="00AA100D" w14:paraId="64B2E6D6" w14:textId="77777777" w:rsidTr="00AA100D">
        <w:trPr>
          <w:trHeight w:val="300"/>
        </w:trPr>
        <w:tc>
          <w:tcPr>
            <w:tcW w:w="599" w:type="dxa"/>
            <w:tcBorders>
              <w:top w:val="nil"/>
              <w:left w:val="nil"/>
              <w:bottom w:val="nil"/>
              <w:right w:val="nil"/>
            </w:tcBorders>
            <w:noWrap/>
            <w:vAlign w:val="center"/>
            <w:hideMark/>
          </w:tcPr>
          <w:p w14:paraId="7A04903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GY</w:t>
            </w:r>
          </w:p>
        </w:tc>
        <w:tc>
          <w:tcPr>
            <w:tcW w:w="1319" w:type="dxa"/>
            <w:tcBorders>
              <w:top w:val="nil"/>
              <w:left w:val="nil"/>
              <w:bottom w:val="nil"/>
              <w:right w:val="nil"/>
            </w:tcBorders>
            <w:noWrap/>
            <w:vAlign w:val="center"/>
            <w:hideMark/>
          </w:tcPr>
          <w:p w14:paraId="1C1CBFE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unadj</w:t>
            </w:r>
          </w:p>
        </w:tc>
        <w:tc>
          <w:tcPr>
            <w:tcW w:w="652" w:type="dxa"/>
            <w:tcBorders>
              <w:top w:val="nil"/>
              <w:left w:val="nil"/>
              <w:bottom w:val="nil"/>
              <w:right w:val="nil"/>
            </w:tcBorders>
            <w:noWrap/>
            <w:vAlign w:val="center"/>
            <w:hideMark/>
          </w:tcPr>
          <w:p w14:paraId="15FAF6E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0.51</w:t>
            </w:r>
          </w:p>
        </w:tc>
        <w:tc>
          <w:tcPr>
            <w:tcW w:w="916" w:type="dxa"/>
            <w:tcBorders>
              <w:top w:val="nil"/>
              <w:left w:val="nil"/>
              <w:bottom w:val="nil"/>
              <w:right w:val="nil"/>
            </w:tcBorders>
            <w:noWrap/>
            <w:vAlign w:val="center"/>
            <w:hideMark/>
          </w:tcPr>
          <w:p w14:paraId="57DFE58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0.67</w:t>
            </w:r>
          </w:p>
        </w:tc>
        <w:tc>
          <w:tcPr>
            <w:tcW w:w="796" w:type="dxa"/>
            <w:tcBorders>
              <w:top w:val="nil"/>
              <w:left w:val="nil"/>
              <w:bottom w:val="nil"/>
              <w:right w:val="nil"/>
            </w:tcBorders>
            <w:noWrap/>
            <w:vAlign w:val="center"/>
            <w:hideMark/>
          </w:tcPr>
          <w:p w14:paraId="4375101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0.41</w:t>
            </w:r>
          </w:p>
        </w:tc>
        <w:tc>
          <w:tcPr>
            <w:tcW w:w="1093" w:type="dxa"/>
            <w:tcBorders>
              <w:top w:val="nil"/>
              <w:left w:val="nil"/>
              <w:bottom w:val="nil"/>
              <w:right w:val="nil"/>
            </w:tcBorders>
            <w:noWrap/>
            <w:vAlign w:val="center"/>
            <w:hideMark/>
          </w:tcPr>
          <w:p w14:paraId="7CF6DDA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0.72</w:t>
            </w:r>
          </w:p>
        </w:tc>
        <w:tc>
          <w:tcPr>
            <w:tcW w:w="1240" w:type="dxa"/>
            <w:tcBorders>
              <w:top w:val="nil"/>
              <w:left w:val="nil"/>
              <w:bottom w:val="nil"/>
              <w:right w:val="nil"/>
            </w:tcBorders>
            <w:noWrap/>
            <w:vAlign w:val="center"/>
            <w:hideMark/>
          </w:tcPr>
          <w:p w14:paraId="25A147D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0.78</w:t>
            </w:r>
          </w:p>
        </w:tc>
        <w:tc>
          <w:tcPr>
            <w:tcW w:w="572" w:type="dxa"/>
            <w:tcBorders>
              <w:top w:val="nil"/>
              <w:left w:val="nil"/>
              <w:bottom w:val="nil"/>
              <w:right w:val="nil"/>
            </w:tcBorders>
            <w:noWrap/>
            <w:vAlign w:val="center"/>
            <w:hideMark/>
          </w:tcPr>
          <w:p w14:paraId="374D378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2838</w:t>
            </w:r>
          </w:p>
        </w:tc>
        <w:tc>
          <w:tcPr>
            <w:tcW w:w="572" w:type="dxa"/>
            <w:tcBorders>
              <w:top w:val="nil"/>
              <w:left w:val="nil"/>
              <w:bottom w:val="nil"/>
              <w:right w:val="nil"/>
            </w:tcBorders>
            <w:noWrap/>
            <w:vAlign w:val="center"/>
            <w:hideMark/>
          </w:tcPr>
          <w:p w14:paraId="28571F2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4031</w:t>
            </w:r>
          </w:p>
        </w:tc>
        <w:tc>
          <w:tcPr>
            <w:tcW w:w="528" w:type="dxa"/>
            <w:tcBorders>
              <w:top w:val="nil"/>
              <w:left w:val="nil"/>
              <w:bottom w:val="nil"/>
              <w:right w:val="nil"/>
            </w:tcBorders>
            <w:noWrap/>
            <w:vAlign w:val="center"/>
            <w:hideMark/>
          </w:tcPr>
          <w:p w14:paraId="3152624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0.04</w:t>
            </w:r>
          </w:p>
        </w:tc>
        <w:tc>
          <w:tcPr>
            <w:tcW w:w="539" w:type="dxa"/>
            <w:tcBorders>
              <w:top w:val="nil"/>
              <w:left w:val="nil"/>
              <w:bottom w:val="nil"/>
              <w:right w:val="nil"/>
            </w:tcBorders>
            <w:noWrap/>
            <w:vAlign w:val="center"/>
            <w:hideMark/>
          </w:tcPr>
          <w:p w14:paraId="4091DC9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1.62</w:t>
            </w:r>
          </w:p>
        </w:tc>
        <w:tc>
          <w:tcPr>
            <w:tcW w:w="735" w:type="dxa"/>
            <w:tcBorders>
              <w:top w:val="nil"/>
              <w:left w:val="nil"/>
              <w:bottom w:val="nil"/>
              <w:right w:val="nil"/>
            </w:tcBorders>
            <w:noWrap/>
            <w:vAlign w:val="center"/>
            <w:hideMark/>
          </w:tcPr>
          <w:p w14:paraId="36C97F8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0.06</w:t>
            </w:r>
          </w:p>
        </w:tc>
        <w:tc>
          <w:tcPr>
            <w:tcW w:w="628" w:type="dxa"/>
            <w:tcBorders>
              <w:top w:val="nil"/>
              <w:left w:val="nil"/>
              <w:bottom w:val="nil"/>
              <w:right w:val="nil"/>
            </w:tcBorders>
            <w:noWrap/>
            <w:vAlign w:val="center"/>
            <w:hideMark/>
          </w:tcPr>
          <w:p w14:paraId="6B2E279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0.35</w:t>
            </w:r>
          </w:p>
        </w:tc>
      </w:tr>
      <w:tr w:rsidR="00AA100D" w:rsidRPr="00AA100D" w14:paraId="515C9837" w14:textId="77777777" w:rsidTr="00AA100D">
        <w:trPr>
          <w:trHeight w:val="300"/>
        </w:trPr>
        <w:tc>
          <w:tcPr>
            <w:tcW w:w="599" w:type="dxa"/>
            <w:tcBorders>
              <w:top w:val="nil"/>
              <w:left w:val="nil"/>
              <w:bottom w:val="nil"/>
              <w:right w:val="nil"/>
            </w:tcBorders>
            <w:noWrap/>
            <w:vAlign w:val="center"/>
            <w:hideMark/>
          </w:tcPr>
          <w:p w14:paraId="3E4E851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GY</w:t>
            </w:r>
          </w:p>
        </w:tc>
        <w:tc>
          <w:tcPr>
            <w:tcW w:w="1319" w:type="dxa"/>
            <w:tcBorders>
              <w:top w:val="nil"/>
              <w:left w:val="nil"/>
              <w:bottom w:val="nil"/>
              <w:right w:val="nil"/>
            </w:tcBorders>
            <w:noWrap/>
            <w:vAlign w:val="center"/>
            <w:hideMark/>
          </w:tcPr>
          <w:p w14:paraId="6555C6E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adjusted</w:t>
            </w:r>
          </w:p>
        </w:tc>
        <w:tc>
          <w:tcPr>
            <w:tcW w:w="652" w:type="dxa"/>
            <w:tcBorders>
              <w:top w:val="nil"/>
              <w:left w:val="nil"/>
              <w:bottom w:val="nil"/>
              <w:right w:val="nil"/>
            </w:tcBorders>
            <w:noWrap/>
            <w:vAlign w:val="center"/>
            <w:hideMark/>
          </w:tcPr>
          <w:p w14:paraId="26BBB70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0.63</w:t>
            </w:r>
          </w:p>
        </w:tc>
        <w:tc>
          <w:tcPr>
            <w:tcW w:w="916" w:type="dxa"/>
            <w:tcBorders>
              <w:top w:val="nil"/>
              <w:left w:val="nil"/>
              <w:bottom w:val="nil"/>
              <w:right w:val="nil"/>
            </w:tcBorders>
            <w:noWrap/>
            <w:vAlign w:val="center"/>
            <w:hideMark/>
          </w:tcPr>
          <w:p w14:paraId="0A6942B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0.52</w:t>
            </w:r>
          </w:p>
        </w:tc>
        <w:tc>
          <w:tcPr>
            <w:tcW w:w="796" w:type="dxa"/>
            <w:tcBorders>
              <w:top w:val="nil"/>
              <w:left w:val="nil"/>
              <w:bottom w:val="nil"/>
              <w:right w:val="nil"/>
            </w:tcBorders>
            <w:noWrap/>
            <w:vAlign w:val="center"/>
            <w:hideMark/>
          </w:tcPr>
          <w:p w14:paraId="0332132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0.30</w:t>
            </w:r>
          </w:p>
        </w:tc>
        <w:tc>
          <w:tcPr>
            <w:tcW w:w="1093" w:type="dxa"/>
            <w:tcBorders>
              <w:top w:val="nil"/>
              <w:left w:val="nil"/>
              <w:bottom w:val="nil"/>
              <w:right w:val="nil"/>
            </w:tcBorders>
            <w:noWrap/>
            <w:vAlign w:val="center"/>
            <w:hideMark/>
          </w:tcPr>
          <w:p w14:paraId="33162F8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0.74</w:t>
            </w:r>
          </w:p>
        </w:tc>
        <w:tc>
          <w:tcPr>
            <w:tcW w:w="1240" w:type="dxa"/>
            <w:tcBorders>
              <w:top w:val="nil"/>
              <w:left w:val="nil"/>
              <w:bottom w:val="nil"/>
              <w:right w:val="nil"/>
            </w:tcBorders>
            <w:noWrap/>
            <w:vAlign w:val="center"/>
            <w:hideMark/>
          </w:tcPr>
          <w:p w14:paraId="752A8F9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0.91</w:t>
            </w:r>
          </w:p>
        </w:tc>
        <w:tc>
          <w:tcPr>
            <w:tcW w:w="572" w:type="dxa"/>
            <w:tcBorders>
              <w:top w:val="nil"/>
              <w:left w:val="nil"/>
              <w:bottom w:val="nil"/>
              <w:right w:val="nil"/>
            </w:tcBorders>
            <w:noWrap/>
            <w:vAlign w:val="center"/>
            <w:hideMark/>
          </w:tcPr>
          <w:p w14:paraId="7CD33EC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1890</w:t>
            </w:r>
          </w:p>
        </w:tc>
        <w:tc>
          <w:tcPr>
            <w:tcW w:w="572" w:type="dxa"/>
            <w:tcBorders>
              <w:top w:val="nil"/>
              <w:left w:val="nil"/>
              <w:bottom w:val="nil"/>
              <w:right w:val="nil"/>
            </w:tcBorders>
            <w:noWrap/>
            <w:vAlign w:val="center"/>
            <w:hideMark/>
          </w:tcPr>
          <w:p w14:paraId="4F1CA85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2951</w:t>
            </w:r>
          </w:p>
        </w:tc>
        <w:tc>
          <w:tcPr>
            <w:tcW w:w="528" w:type="dxa"/>
            <w:tcBorders>
              <w:top w:val="nil"/>
              <w:left w:val="nil"/>
              <w:bottom w:val="nil"/>
              <w:right w:val="nil"/>
            </w:tcBorders>
            <w:noWrap/>
            <w:vAlign w:val="center"/>
            <w:hideMark/>
          </w:tcPr>
          <w:p w14:paraId="1974080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13649AE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2.14</w:t>
            </w:r>
          </w:p>
        </w:tc>
        <w:tc>
          <w:tcPr>
            <w:tcW w:w="735" w:type="dxa"/>
            <w:tcBorders>
              <w:top w:val="nil"/>
              <w:left w:val="nil"/>
              <w:bottom w:val="nil"/>
              <w:right w:val="nil"/>
            </w:tcBorders>
            <w:noWrap/>
            <w:vAlign w:val="center"/>
            <w:hideMark/>
          </w:tcPr>
          <w:p w14:paraId="1597902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0.01</w:t>
            </w:r>
          </w:p>
        </w:tc>
        <w:tc>
          <w:tcPr>
            <w:tcW w:w="628" w:type="dxa"/>
            <w:tcBorders>
              <w:top w:val="nil"/>
              <w:left w:val="nil"/>
              <w:bottom w:val="nil"/>
              <w:right w:val="nil"/>
            </w:tcBorders>
            <w:noWrap/>
            <w:vAlign w:val="center"/>
            <w:hideMark/>
          </w:tcPr>
          <w:p w14:paraId="7280C6E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0.17</w:t>
            </w:r>
          </w:p>
        </w:tc>
      </w:tr>
      <w:tr w:rsidR="00AA100D" w:rsidRPr="00AA100D" w14:paraId="2324A065" w14:textId="77777777" w:rsidTr="00AA100D">
        <w:trPr>
          <w:trHeight w:val="300"/>
        </w:trPr>
        <w:tc>
          <w:tcPr>
            <w:tcW w:w="599" w:type="dxa"/>
            <w:tcBorders>
              <w:top w:val="nil"/>
              <w:left w:val="nil"/>
              <w:bottom w:val="nil"/>
              <w:right w:val="nil"/>
            </w:tcBorders>
            <w:noWrap/>
            <w:vAlign w:val="center"/>
            <w:hideMark/>
          </w:tcPr>
          <w:p w14:paraId="6848444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GY</w:t>
            </w:r>
          </w:p>
        </w:tc>
        <w:tc>
          <w:tcPr>
            <w:tcW w:w="1319" w:type="dxa"/>
            <w:tcBorders>
              <w:top w:val="nil"/>
              <w:left w:val="nil"/>
              <w:bottom w:val="nil"/>
              <w:right w:val="nil"/>
            </w:tcBorders>
            <w:noWrap/>
            <w:vAlign w:val="center"/>
            <w:hideMark/>
          </w:tcPr>
          <w:p w14:paraId="377050E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reaction_norm</w:t>
            </w:r>
          </w:p>
        </w:tc>
        <w:tc>
          <w:tcPr>
            <w:tcW w:w="652" w:type="dxa"/>
            <w:tcBorders>
              <w:top w:val="nil"/>
              <w:left w:val="nil"/>
              <w:bottom w:val="nil"/>
              <w:right w:val="nil"/>
            </w:tcBorders>
            <w:noWrap/>
            <w:vAlign w:val="center"/>
            <w:hideMark/>
          </w:tcPr>
          <w:p w14:paraId="6ADB8F9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0.69</w:t>
            </w:r>
          </w:p>
        </w:tc>
        <w:tc>
          <w:tcPr>
            <w:tcW w:w="916" w:type="dxa"/>
            <w:tcBorders>
              <w:top w:val="nil"/>
              <w:left w:val="nil"/>
              <w:bottom w:val="nil"/>
              <w:right w:val="nil"/>
            </w:tcBorders>
            <w:noWrap/>
            <w:vAlign w:val="center"/>
            <w:hideMark/>
          </w:tcPr>
          <w:p w14:paraId="04209B7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0.59</w:t>
            </w:r>
          </w:p>
        </w:tc>
        <w:tc>
          <w:tcPr>
            <w:tcW w:w="796" w:type="dxa"/>
            <w:tcBorders>
              <w:top w:val="nil"/>
              <w:left w:val="nil"/>
              <w:bottom w:val="nil"/>
              <w:right w:val="nil"/>
            </w:tcBorders>
            <w:noWrap/>
            <w:vAlign w:val="center"/>
            <w:hideMark/>
          </w:tcPr>
          <w:p w14:paraId="71F9687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0.21</w:t>
            </w:r>
          </w:p>
        </w:tc>
        <w:tc>
          <w:tcPr>
            <w:tcW w:w="1093" w:type="dxa"/>
            <w:tcBorders>
              <w:top w:val="nil"/>
              <w:left w:val="nil"/>
              <w:bottom w:val="nil"/>
              <w:right w:val="nil"/>
            </w:tcBorders>
            <w:noWrap/>
            <w:vAlign w:val="center"/>
            <w:hideMark/>
          </w:tcPr>
          <w:p w14:paraId="0829929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0.78</w:t>
            </w:r>
          </w:p>
        </w:tc>
        <w:tc>
          <w:tcPr>
            <w:tcW w:w="1240" w:type="dxa"/>
            <w:tcBorders>
              <w:top w:val="nil"/>
              <w:left w:val="nil"/>
              <w:bottom w:val="nil"/>
              <w:right w:val="nil"/>
            </w:tcBorders>
            <w:noWrap/>
            <w:vAlign w:val="center"/>
            <w:hideMark/>
          </w:tcPr>
          <w:p w14:paraId="3DE8AFE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0.96</w:t>
            </w:r>
          </w:p>
        </w:tc>
        <w:tc>
          <w:tcPr>
            <w:tcW w:w="572" w:type="dxa"/>
            <w:tcBorders>
              <w:top w:val="nil"/>
              <w:left w:val="nil"/>
              <w:bottom w:val="nil"/>
              <w:right w:val="nil"/>
            </w:tcBorders>
            <w:noWrap/>
            <w:vAlign w:val="center"/>
            <w:hideMark/>
          </w:tcPr>
          <w:p w14:paraId="22B0E1A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1136</w:t>
            </w:r>
          </w:p>
        </w:tc>
        <w:tc>
          <w:tcPr>
            <w:tcW w:w="572" w:type="dxa"/>
            <w:tcBorders>
              <w:top w:val="nil"/>
              <w:left w:val="nil"/>
              <w:bottom w:val="nil"/>
              <w:right w:val="nil"/>
            </w:tcBorders>
            <w:noWrap/>
            <w:vAlign w:val="center"/>
            <w:hideMark/>
          </w:tcPr>
          <w:p w14:paraId="76CC6D2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3349</w:t>
            </w:r>
          </w:p>
        </w:tc>
        <w:tc>
          <w:tcPr>
            <w:tcW w:w="528" w:type="dxa"/>
            <w:tcBorders>
              <w:top w:val="nil"/>
              <w:left w:val="nil"/>
              <w:bottom w:val="nil"/>
              <w:right w:val="nil"/>
            </w:tcBorders>
            <w:noWrap/>
            <w:vAlign w:val="center"/>
            <w:hideMark/>
          </w:tcPr>
          <w:p w14:paraId="1B84233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3748021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2.37</w:t>
            </w:r>
          </w:p>
        </w:tc>
        <w:tc>
          <w:tcPr>
            <w:tcW w:w="735" w:type="dxa"/>
            <w:tcBorders>
              <w:top w:val="nil"/>
              <w:left w:val="nil"/>
              <w:bottom w:val="nil"/>
              <w:right w:val="nil"/>
            </w:tcBorders>
            <w:noWrap/>
            <w:vAlign w:val="center"/>
            <w:hideMark/>
          </w:tcPr>
          <w:p w14:paraId="6084478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0.01</w:t>
            </w:r>
          </w:p>
        </w:tc>
        <w:tc>
          <w:tcPr>
            <w:tcW w:w="628" w:type="dxa"/>
            <w:tcBorders>
              <w:top w:val="nil"/>
              <w:left w:val="nil"/>
              <w:bottom w:val="nil"/>
              <w:right w:val="nil"/>
            </w:tcBorders>
            <w:noWrap/>
            <w:vAlign w:val="center"/>
            <w:hideMark/>
          </w:tcPr>
          <w:p w14:paraId="4DB7E6F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0.06</w:t>
            </w:r>
          </w:p>
        </w:tc>
      </w:tr>
      <w:tr w:rsidR="00AA100D" w:rsidRPr="00AA100D" w14:paraId="5F69B503" w14:textId="77777777" w:rsidTr="00AA100D">
        <w:trPr>
          <w:trHeight w:val="300"/>
        </w:trPr>
        <w:tc>
          <w:tcPr>
            <w:tcW w:w="599" w:type="dxa"/>
            <w:tcBorders>
              <w:top w:val="nil"/>
              <w:left w:val="nil"/>
              <w:bottom w:val="nil"/>
              <w:right w:val="nil"/>
            </w:tcBorders>
            <w:noWrap/>
            <w:vAlign w:val="center"/>
            <w:hideMark/>
          </w:tcPr>
          <w:p w14:paraId="4F2A168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319" w:type="dxa"/>
            <w:tcBorders>
              <w:top w:val="nil"/>
              <w:left w:val="nil"/>
              <w:bottom w:val="nil"/>
              <w:right w:val="nil"/>
            </w:tcBorders>
            <w:noWrap/>
            <w:vAlign w:val="center"/>
            <w:hideMark/>
          </w:tcPr>
          <w:p w14:paraId="1CAF696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52" w:type="dxa"/>
            <w:tcBorders>
              <w:top w:val="nil"/>
              <w:left w:val="nil"/>
              <w:bottom w:val="nil"/>
              <w:right w:val="nil"/>
            </w:tcBorders>
            <w:noWrap/>
            <w:vAlign w:val="center"/>
            <w:hideMark/>
          </w:tcPr>
          <w:p w14:paraId="106C446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916" w:type="dxa"/>
            <w:tcBorders>
              <w:top w:val="nil"/>
              <w:left w:val="nil"/>
              <w:bottom w:val="nil"/>
              <w:right w:val="nil"/>
            </w:tcBorders>
            <w:noWrap/>
            <w:vAlign w:val="center"/>
            <w:hideMark/>
          </w:tcPr>
          <w:p w14:paraId="2488FA0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96" w:type="dxa"/>
            <w:tcBorders>
              <w:top w:val="nil"/>
              <w:left w:val="nil"/>
              <w:bottom w:val="nil"/>
              <w:right w:val="nil"/>
            </w:tcBorders>
            <w:noWrap/>
            <w:vAlign w:val="center"/>
            <w:hideMark/>
          </w:tcPr>
          <w:p w14:paraId="35ED043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093" w:type="dxa"/>
            <w:tcBorders>
              <w:top w:val="nil"/>
              <w:left w:val="nil"/>
              <w:bottom w:val="nil"/>
              <w:right w:val="nil"/>
            </w:tcBorders>
            <w:noWrap/>
            <w:vAlign w:val="center"/>
            <w:hideMark/>
          </w:tcPr>
          <w:p w14:paraId="60C7566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240" w:type="dxa"/>
            <w:tcBorders>
              <w:top w:val="nil"/>
              <w:left w:val="nil"/>
              <w:bottom w:val="nil"/>
              <w:right w:val="nil"/>
            </w:tcBorders>
            <w:noWrap/>
            <w:vAlign w:val="center"/>
            <w:hideMark/>
          </w:tcPr>
          <w:p w14:paraId="5A4A452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6E4C72B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05D9A62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28" w:type="dxa"/>
            <w:tcBorders>
              <w:top w:val="nil"/>
              <w:left w:val="nil"/>
              <w:bottom w:val="nil"/>
              <w:right w:val="nil"/>
            </w:tcBorders>
            <w:noWrap/>
            <w:vAlign w:val="center"/>
            <w:hideMark/>
          </w:tcPr>
          <w:p w14:paraId="09C71D2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39" w:type="dxa"/>
            <w:tcBorders>
              <w:top w:val="nil"/>
              <w:left w:val="nil"/>
              <w:bottom w:val="nil"/>
              <w:right w:val="nil"/>
            </w:tcBorders>
            <w:noWrap/>
            <w:vAlign w:val="center"/>
            <w:hideMark/>
          </w:tcPr>
          <w:p w14:paraId="36B525F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35" w:type="dxa"/>
            <w:tcBorders>
              <w:top w:val="nil"/>
              <w:left w:val="nil"/>
              <w:bottom w:val="nil"/>
              <w:right w:val="nil"/>
            </w:tcBorders>
            <w:noWrap/>
            <w:vAlign w:val="center"/>
            <w:hideMark/>
          </w:tcPr>
          <w:p w14:paraId="5E7F8B8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28" w:type="dxa"/>
            <w:tcBorders>
              <w:top w:val="nil"/>
              <w:left w:val="nil"/>
              <w:bottom w:val="nil"/>
              <w:right w:val="nil"/>
            </w:tcBorders>
            <w:noWrap/>
            <w:vAlign w:val="center"/>
            <w:hideMark/>
          </w:tcPr>
          <w:p w14:paraId="5E1825A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r>
      <w:tr w:rsidR="00AA100D" w:rsidRPr="00AA100D" w14:paraId="50F534CC" w14:textId="77777777" w:rsidTr="00AA100D">
        <w:trPr>
          <w:trHeight w:val="300"/>
        </w:trPr>
        <w:tc>
          <w:tcPr>
            <w:tcW w:w="599" w:type="dxa"/>
            <w:tcBorders>
              <w:top w:val="nil"/>
              <w:left w:val="nil"/>
              <w:bottom w:val="nil"/>
              <w:right w:val="nil"/>
            </w:tcBorders>
            <w:noWrap/>
            <w:vAlign w:val="center"/>
            <w:hideMark/>
          </w:tcPr>
          <w:p w14:paraId="75520E2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TKW</w:t>
            </w:r>
          </w:p>
        </w:tc>
        <w:tc>
          <w:tcPr>
            <w:tcW w:w="1319" w:type="dxa"/>
            <w:tcBorders>
              <w:top w:val="nil"/>
              <w:left w:val="nil"/>
              <w:bottom w:val="nil"/>
              <w:right w:val="nil"/>
            </w:tcBorders>
            <w:noWrap/>
            <w:vAlign w:val="center"/>
            <w:hideMark/>
          </w:tcPr>
          <w:p w14:paraId="67F5D4B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unadj</w:t>
            </w:r>
          </w:p>
        </w:tc>
        <w:tc>
          <w:tcPr>
            <w:tcW w:w="652" w:type="dxa"/>
            <w:tcBorders>
              <w:top w:val="nil"/>
              <w:left w:val="nil"/>
              <w:bottom w:val="nil"/>
              <w:right w:val="nil"/>
            </w:tcBorders>
            <w:noWrap/>
            <w:vAlign w:val="center"/>
            <w:hideMark/>
          </w:tcPr>
          <w:p w14:paraId="5CEF707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0.60</w:t>
            </w:r>
          </w:p>
        </w:tc>
        <w:tc>
          <w:tcPr>
            <w:tcW w:w="916" w:type="dxa"/>
            <w:tcBorders>
              <w:top w:val="nil"/>
              <w:left w:val="nil"/>
              <w:bottom w:val="nil"/>
              <w:right w:val="nil"/>
            </w:tcBorders>
            <w:noWrap/>
            <w:vAlign w:val="center"/>
            <w:hideMark/>
          </w:tcPr>
          <w:p w14:paraId="68BB41B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0.57</w:t>
            </w:r>
          </w:p>
        </w:tc>
        <w:tc>
          <w:tcPr>
            <w:tcW w:w="796" w:type="dxa"/>
            <w:tcBorders>
              <w:top w:val="nil"/>
              <w:left w:val="nil"/>
              <w:bottom w:val="nil"/>
              <w:right w:val="nil"/>
            </w:tcBorders>
            <w:noWrap/>
            <w:vAlign w:val="center"/>
            <w:hideMark/>
          </w:tcPr>
          <w:p w14:paraId="72D55FF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0.64</w:t>
            </w:r>
          </w:p>
        </w:tc>
        <w:tc>
          <w:tcPr>
            <w:tcW w:w="1093" w:type="dxa"/>
            <w:tcBorders>
              <w:top w:val="nil"/>
              <w:left w:val="nil"/>
              <w:bottom w:val="nil"/>
              <w:right w:val="nil"/>
            </w:tcBorders>
            <w:noWrap/>
            <w:vAlign w:val="center"/>
            <w:hideMark/>
          </w:tcPr>
          <w:p w14:paraId="7ED0BB4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0.58</w:t>
            </w:r>
          </w:p>
        </w:tc>
        <w:tc>
          <w:tcPr>
            <w:tcW w:w="1240" w:type="dxa"/>
            <w:tcBorders>
              <w:top w:val="nil"/>
              <w:left w:val="nil"/>
              <w:bottom w:val="nil"/>
              <w:right w:val="nil"/>
            </w:tcBorders>
            <w:noWrap/>
            <w:vAlign w:val="center"/>
            <w:hideMark/>
          </w:tcPr>
          <w:p w14:paraId="28ACDC7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0.80</w:t>
            </w:r>
          </w:p>
        </w:tc>
        <w:tc>
          <w:tcPr>
            <w:tcW w:w="572" w:type="dxa"/>
            <w:tcBorders>
              <w:top w:val="nil"/>
              <w:left w:val="nil"/>
              <w:bottom w:val="nil"/>
              <w:right w:val="nil"/>
            </w:tcBorders>
            <w:noWrap/>
            <w:vAlign w:val="center"/>
            <w:hideMark/>
          </w:tcPr>
          <w:p w14:paraId="0A92CD6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2418</w:t>
            </w:r>
          </w:p>
        </w:tc>
        <w:tc>
          <w:tcPr>
            <w:tcW w:w="572" w:type="dxa"/>
            <w:tcBorders>
              <w:top w:val="nil"/>
              <w:left w:val="nil"/>
              <w:bottom w:val="nil"/>
              <w:right w:val="nil"/>
            </w:tcBorders>
            <w:noWrap/>
            <w:vAlign w:val="center"/>
            <w:hideMark/>
          </w:tcPr>
          <w:p w14:paraId="3CDF7C4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3664</w:t>
            </w:r>
          </w:p>
        </w:tc>
        <w:tc>
          <w:tcPr>
            <w:tcW w:w="528" w:type="dxa"/>
            <w:tcBorders>
              <w:top w:val="nil"/>
              <w:left w:val="nil"/>
              <w:bottom w:val="nil"/>
              <w:right w:val="nil"/>
            </w:tcBorders>
            <w:noWrap/>
            <w:vAlign w:val="center"/>
            <w:hideMark/>
          </w:tcPr>
          <w:p w14:paraId="64B08E8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6458DB3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1.23</w:t>
            </w:r>
          </w:p>
        </w:tc>
        <w:tc>
          <w:tcPr>
            <w:tcW w:w="735" w:type="dxa"/>
            <w:tcBorders>
              <w:top w:val="nil"/>
              <w:left w:val="nil"/>
              <w:bottom w:val="nil"/>
              <w:right w:val="nil"/>
            </w:tcBorders>
            <w:noWrap/>
            <w:vAlign w:val="center"/>
            <w:hideMark/>
          </w:tcPr>
          <w:p w14:paraId="3FDE7E5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0.04</w:t>
            </w:r>
          </w:p>
        </w:tc>
        <w:tc>
          <w:tcPr>
            <w:tcW w:w="628" w:type="dxa"/>
            <w:tcBorders>
              <w:top w:val="nil"/>
              <w:left w:val="nil"/>
              <w:bottom w:val="nil"/>
              <w:right w:val="nil"/>
            </w:tcBorders>
            <w:noWrap/>
            <w:vAlign w:val="center"/>
            <w:hideMark/>
          </w:tcPr>
          <w:p w14:paraId="55A25DC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0.25</w:t>
            </w:r>
          </w:p>
        </w:tc>
      </w:tr>
      <w:tr w:rsidR="00AA100D" w:rsidRPr="00AA100D" w14:paraId="040EE30B" w14:textId="77777777" w:rsidTr="00AA100D">
        <w:trPr>
          <w:trHeight w:val="300"/>
        </w:trPr>
        <w:tc>
          <w:tcPr>
            <w:tcW w:w="599" w:type="dxa"/>
            <w:tcBorders>
              <w:top w:val="nil"/>
              <w:left w:val="nil"/>
              <w:bottom w:val="nil"/>
              <w:right w:val="nil"/>
            </w:tcBorders>
            <w:noWrap/>
            <w:vAlign w:val="center"/>
            <w:hideMark/>
          </w:tcPr>
          <w:p w14:paraId="69F7603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TKW</w:t>
            </w:r>
          </w:p>
        </w:tc>
        <w:tc>
          <w:tcPr>
            <w:tcW w:w="1319" w:type="dxa"/>
            <w:tcBorders>
              <w:top w:val="nil"/>
              <w:left w:val="nil"/>
              <w:bottom w:val="nil"/>
              <w:right w:val="nil"/>
            </w:tcBorders>
            <w:noWrap/>
            <w:vAlign w:val="center"/>
            <w:hideMark/>
          </w:tcPr>
          <w:p w14:paraId="5232B2E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adjusted</w:t>
            </w:r>
          </w:p>
        </w:tc>
        <w:tc>
          <w:tcPr>
            <w:tcW w:w="652" w:type="dxa"/>
            <w:tcBorders>
              <w:top w:val="nil"/>
              <w:left w:val="nil"/>
              <w:bottom w:val="nil"/>
              <w:right w:val="nil"/>
            </w:tcBorders>
            <w:noWrap/>
            <w:vAlign w:val="center"/>
            <w:hideMark/>
          </w:tcPr>
          <w:p w14:paraId="7E057BF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0.59</w:t>
            </w:r>
          </w:p>
        </w:tc>
        <w:tc>
          <w:tcPr>
            <w:tcW w:w="916" w:type="dxa"/>
            <w:tcBorders>
              <w:top w:val="nil"/>
              <w:left w:val="nil"/>
              <w:bottom w:val="nil"/>
              <w:right w:val="nil"/>
            </w:tcBorders>
            <w:noWrap/>
            <w:vAlign w:val="center"/>
            <w:hideMark/>
          </w:tcPr>
          <w:p w14:paraId="33709F5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0.57</w:t>
            </w:r>
          </w:p>
        </w:tc>
        <w:tc>
          <w:tcPr>
            <w:tcW w:w="796" w:type="dxa"/>
            <w:tcBorders>
              <w:top w:val="nil"/>
              <w:left w:val="nil"/>
              <w:bottom w:val="nil"/>
              <w:right w:val="nil"/>
            </w:tcBorders>
            <w:noWrap/>
            <w:vAlign w:val="center"/>
            <w:hideMark/>
          </w:tcPr>
          <w:p w14:paraId="029DE83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0.64</w:t>
            </w:r>
          </w:p>
        </w:tc>
        <w:tc>
          <w:tcPr>
            <w:tcW w:w="1093" w:type="dxa"/>
            <w:tcBorders>
              <w:top w:val="nil"/>
              <w:left w:val="nil"/>
              <w:bottom w:val="nil"/>
              <w:right w:val="nil"/>
            </w:tcBorders>
            <w:noWrap/>
            <w:vAlign w:val="center"/>
            <w:hideMark/>
          </w:tcPr>
          <w:p w14:paraId="7EE3038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0.59</w:t>
            </w:r>
          </w:p>
        </w:tc>
        <w:tc>
          <w:tcPr>
            <w:tcW w:w="1240" w:type="dxa"/>
            <w:tcBorders>
              <w:top w:val="nil"/>
              <w:left w:val="nil"/>
              <w:bottom w:val="nil"/>
              <w:right w:val="nil"/>
            </w:tcBorders>
            <w:noWrap/>
            <w:vAlign w:val="center"/>
            <w:hideMark/>
          </w:tcPr>
          <w:p w14:paraId="660B926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0.80</w:t>
            </w:r>
          </w:p>
        </w:tc>
        <w:tc>
          <w:tcPr>
            <w:tcW w:w="572" w:type="dxa"/>
            <w:tcBorders>
              <w:top w:val="nil"/>
              <w:left w:val="nil"/>
              <w:bottom w:val="nil"/>
              <w:right w:val="nil"/>
            </w:tcBorders>
            <w:noWrap/>
            <w:vAlign w:val="center"/>
            <w:hideMark/>
          </w:tcPr>
          <w:p w14:paraId="64FBB4D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2417</w:t>
            </w:r>
          </w:p>
        </w:tc>
        <w:tc>
          <w:tcPr>
            <w:tcW w:w="572" w:type="dxa"/>
            <w:tcBorders>
              <w:top w:val="nil"/>
              <w:left w:val="nil"/>
              <w:bottom w:val="nil"/>
              <w:right w:val="nil"/>
            </w:tcBorders>
            <w:noWrap/>
            <w:vAlign w:val="center"/>
            <w:hideMark/>
          </w:tcPr>
          <w:p w14:paraId="27562E0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3657</w:t>
            </w:r>
          </w:p>
        </w:tc>
        <w:tc>
          <w:tcPr>
            <w:tcW w:w="528" w:type="dxa"/>
            <w:tcBorders>
              <w:top w:val="nil"/>
              <w:left w:val="nil"/>
              <w:bottom w:val="nil"/>
              <w:right w:val="nil"/>
            </w:tcBorders>
            <w:noWrap/>
            <w:vAlign w:val="center"/>
            <w:hideMark/>
          </w:tcPr>
          <w:p w14:paraId="303138D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6B5E1F3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1.24</w:t>
            </w:r>
          </w:p>
        </w:tc>
        <w:tc>
          <w:tcPr>
            <w:tcW w:w="735" w:type="dxa"/>
            <w:tcBorders>
              <w:top w:val="nil"/>
              <w:left w:val="nil"/>
              <w:bottom w:val="nil"/>
              <w:right w:val="nil"/>
            </w:tcBorders>
            <w:noWrap/>
            <w:vAlign w:val="center"/>
            <w:hideMark/>
          </w:tcPr>
          <w:p w14:paraId="14E15B8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0.04</w:t>
            </w:r>
          </w:p>
        </w:tc>
        <w:tc>
          <w:tcPr>
            <w:tcW w:w="628" w:type="dxa"/>
            <w:tcBorders>
              <w:top w:val="nil"/>
              <w:left w:val="nil"/>
              <w:bottom w:val="nil"/>
              <w:right w:val="nil"/>
            </w:tcBorders>
            <w:noWrap/>
            <w:vAlign w:val="center"/>
            <w:hideMark/>
          </w:tcPr>
          <w:p w14:paraId="248100F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0.25</w:t>
            </w:r>
          </w:p>
        </w:tc>
      </w:tr>
      <w:tr w:rsidR="00AA100D" w:rsidRPr="00AA100D" w14:paraId="424CC633" w14:textId="77777777" w:rsidTr="00AA100D">
        <w:trPr>
          <w:trHeight w:val="300"/>
        </w:trPr>
        <w:tc>
          <w:tcPr>
            <w:tcW w:w="599" w:type="dxa"/>
            <w:tcBorders>
              <w:top w:val="nil"/>
              <w:left w:val="nil"/>
              <w:bottom w:val="nil"/>
              <w:right w:val="nil"/>
            </w:tcBorders>
            <w:noWrap/>
            <w:vAlign w:val="center"/>
            <w:hideMark/>
          </w:tcPr>
          <w:p w14:paraId="4A28D24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TKW</w:t>
            </w:r>
          </w:p>
        </w:tc>
        <w:tc>
          <w:tcPr>
            <w:tcW w:w="1319" w:type="dxa"/>
            <w:tcBorders>
              <w:top w:val="nil"/>
              <w:left w:val="nil"/>
              <w:bottom w:val="nil"/>
              <w:right w:val="nil"/>
            </w:tcBorders>
            <w:noWrap/>
            <w:vAlign w:val="center"/>
            <w:hideMark/>
          </w:tcPr>
          <w:p w14:paraId="1B17808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reaction_norm</w:t>
            </w:r>
          </w:p>
        </w:tc>
        <w:tc>
          <w:tcPr>
            <w:tcW w:w="652" w:type="dxa"/>
            <w:tcBorders>
              <w:top w:val="nil"/>
              <w:left w:val="nil"/>
              <w:bottom w:val="nil"/>
              <w:right w:val="nil"/>
            </w:tcBorders>
            <w:noWrap/>
            <w:vAlign w:val="center"/>
            <w:hideMark/>
          </w:tcPr>
          <w:p w14:paraId="6FAA7E4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0.67</w:t>
            </w:r>
          </w:p>
        </w:tc>
        <w:tc>
          <w:tcPr>
            <w:tcW w:w="916" w:type="dxa"/>
            <w:tcBorders>
              <w:top w:val="nil"/>
              <w:left w:val="nil"/>
              <w:bottom w:val="nil"/>
              <w:right w:val="nil"/>
            </w:tcBorders>
            <w:noWrap/>
            <w:vAlign w:val="center"/>
            <w:hideMark/>
          </w:tcPr>
          <w:p w14:paraId="7ABA5AD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0.52</w:t>
            </w:r>
          </w:p>
        </w:tc>
        <w:tc>
          <w:tcPr>
            <w:tcW w:w="796" w:type="dxa"/>
            <w:tcBorders>
              <w:top w:val="nil"/>
              <w:left w:val="nil"/>
              <w:bottom w:val="nil"/>
              <w:right w:val="nil"/>
            </w:tcBorders>
            <w:noWrap/>
            <w:vAlign w:val="center"/>
            <w:hideMark/>
          </w:tcPr>
          <w:p w14:paraId="5A3B615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0.60</w:t>
            </w:r>
          </w:p>
        </w:tc>
        <w:tc>
          <w:tcPr>
            <w:tcW w:w="1093" w:type="dxa"/>
            <w:tcBorders>
              <w:top w:val="nil"/>
              <w:left w:val="nil"/>
              <w:bottom w:val="nil"/>
              <w:right w:val="nil"/>
            </w:tcBorders>
            <w:noWrap/>
            <w:vAlign w:val="center"/>
            <w:hideMark/>
          </w:tcPr>
          <w:p w14:paraId="331216D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0.60</w:t>
            </w:r>
          </w:p>
        </w:tc>
        <w:tc>
          <w:tcPr>
            <w:tcW w:w="1240" w:type="dxa"/>
            <w:tcBorders>
              <w:top w:val="nil"/>
              <w:left w:val="nil"/>
              <w:bottom w:val="nil"/>
              <w:right w:val="nil"/>
            </w:tcBorders>
            <w:noWrap/>
            <w:vAlign w:val="center"/>
            <w:hideMark/>
          </w:tcPr>
          <w:p w14:paraId="580397A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0.84</w:t>
            </w:r>
          </w:p>
        </w:tc>
        <w:tc>
          <w:tcPr>
            <w:tcW w:w="572" w:type="dxa"/>
            <w:tcBorders>
              <w:top w:val="nil"/>
              <w:left w:val="nil"/>
              <w:bottom w:val="nil"/>
              <w:right w:val="nil"/>
            </w:tcBorders>
            <w:noWrap/>
            <w:vAlign w:val="center"/>
            <w:hideMark/>
          </w:tcPr>
          <w:p w14:paraId="1CDD3E6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2098</w:t>
            </w:r>
          </w:p>
        </w:tc>
        <w:tc>
          <w:tcPr>
            <w:tcW w:w="572" w:type="dxa"/>
            <w:tcBorders>
              <w:top w:val="nil"/>
              <w:left w:val="nil"/>
              <w:bottom w:val="nil"/>
              <w:right w:val="nil"/>
            </w:tcBorders>
            <w:noWrap/>
            <w:vAlign w:val="center"/>
            <w:hideMark/>
          </w:tcPr>
          <w:p w14:paraId="6EAED3D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4290</w:t>
            </w:r>
          </w:p>
        </w:tc>
        <w:tc>
          <w:tcPr>
            <w:tcW w:w="528" w:type="dxa"/>
            <w:tcBorders>
              <w:top w:val="nil"/>
              <w:left w:val="nil"/>
              <w:bottom w:val="nil"/>
              <w:right w:val="nil"/>
            </w:tcBorders>
            <w:noWrap/>
            <w:vAlign w:val="center"/>
            <w:hideMark/>
          </w:tcPr>
          <w:p w14:paraId="4402FA8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4152429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1.32</w:t>
            </w:r>
          </w:p>
        </w:tc>
        <w:tc>
          <w:tcPr>
            <w:tcW w:w="735" w:type="dxa"/>
            <w:tcBorders>
              <w:top w:val="nil"/>
              <w:left w:val="nil"/>
              <w:bottom w:val="nil"/>
              <w:right w:val="nil"/>
            </w:tcBorders>
            <w:noWrap/>
            <w:vAlign w:val="center"/>
            <w:hideMark/>
          </w:tcPr>
          <w:p w14:paraId="0BD19F7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0.08</w:t>
            </w:r>
          </w:p>
        </w:tc>
        <w:tc>
          <w:tcPr>
            <w:tcW w:w="628" w:type="dxa"/>
            <w:tcBorders>
              <w:top w:val="nil"/>
              <w:left w:val="nil"/>
              <w:bottom w:val="nil"/>
              <w:right w:val="nil"/>
            </w:tcBorders>
            <w:noWrap/>
            <w:vAlign w:val="center"/>
            <w:hideMark/>
          </w:tcPr>
          <w:p w14:paraId="03DFF87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0.14</w:t>
            </w:r>
          </w:p>
        </w:tc>
      </w:tr>
      <w:tr w:rsidR="00AA100D" w:rsidRPr="00AA100D" w14:paraId="77EDAD27" w14:textId="77777777" w:rsidTr="00AA100D">
        <w:trPr>
          <w:trHeight w:val="300"/>
        </w:trPr>
        <w:tc>
          <w:tcPr>
            <w:tcW w:w="599" w:type="dxa"/>
            <w:tcBorders>
              <w:top w:val="nil"/>
              <w:left w:val="nil"/>
              <w:bottom w:val="nil"/>
              <w:right w:val="nil"/>
            </w:tcBorders>
            <w:noWrap/>
            <w:vAlign w:val="center"/>
            <w:hideMark/>
          </w:tcPr>
          <w:p w14:paraId="165C76D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319" w:type="dxa"/>
            <w:tcBorders>
              <w:top w:val="nil"/>
              <w:left w:val="nil"/>
              <w:bottom w:val="nil"/>
              <w:right w:val="nil"/>
            </w:tcBorders>
            <w:noWrap/>
            <w:vAlign w:val="center"/>
            <w:hideMark/>
          </w:tcPr>
          <w:p w14:paraId="744891B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52" w:type="dxa"/>
            <w:tcBorders>
              <w:top w:val="nil"/>
              <w:left w:val="nil"/>
              <w:bottom w:val="nil"/>
              <w:right w:val="nil"/>
            </w:tcBorders>
            <w:noWrap/>
            <w:vAlign w:val="center"/>
            <w:hideMark/>
          </w:tcPr>
          <w:p w14:paraId="1F0AF16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916" w:type="dxa"/>
            <w:tcBorders>
              <w:top w:val="nil"/>
              <w:left w:val="nil"/>
              <w:bottom w:val="nil"/>
              <w:right w:val="nil"/>
            </w:tcBorders>
            <w:noWrap/>
            <w:vAlign w:val="center"/>
            <w:hideMark/>
          </w:tcPr>
          <w:p w14:paraId="01DAA5E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96" w:type="dxa"/>
            <w:tcBorders>
              <w:top w:val="nil"/>
              <w:left w:val="nil"/>
              <w:bottom w:val="nil"/>
              <w:right w:val="nil"/>
            </w:tcBorders>
            <w:noWrap/>
            <w:vAlign w:val="center"/>
            <w:hideMark/>
          </w:tcPr>
          <w:p w14:paraId="3C1B40F8"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093" w:type="dxa"/>
            <w:tcBorders>
              <w:top w:val="nil"/>
              <w:left w:val="nil"/>
              <w:bottom w:val="nil"/>
              <w:right w:val="nil"/>
            </w:tcBorders>
            <w:noWrap/>
            <w:vAlign w:val="center"/>
            <w:hideMark/>
          </w:tcPr>
          <w:p w14:paraId="7C9850D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1240" w:type="dxa"/>
            <w:tcBorders>
              <w:top w:val="nil"/>
              <w:left w:val="nil"/>
              <w:bottom w:val="nil"/>
              <w:right w:val="nil"/>
            </w:tcBorders>
            <w:noWrap/>
            <w:vAlign w:val="center"/>
            <w:hideMark/>
          </w:tcPr>
          <w:p w14:paraId="7A617A4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089BF41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72" w:type="dxa"/>
            <w:tcBorders>
              <w:top w:val="nil"/>
              <w:left w:val="nil"/>
              <w:bottom w:val="nil"/>
              <w:right w:val="nil"/>
            </w:tcBorders>
            <w:noWrap/>
            <w:vAlign w:val="center"/>
            <w:hideMark/>
          </w:tcPr>
          <w:p w14:paraId="61F0068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28" w:type="dxa"/>
            <w:tcBorders>
              <w:top w:val="nil"/>
              <w:left w:val="nil"/>
              <w:bottom w:val="nil"/>
              <w:right w:val="nil"/>
            </w:tcBorders>
            <w:noWrap/>
            <w:vAlign w:val="center"/>
            <w:hideMark/>
          </w:tcPr>
          <w:p w14:paraId="5037194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539" w:type="dxa"/>
            <w:tcBorders>
              <w:top w:val="nil"/>
              <w:left w:val="nil"/>
              <w:bottom w:val="nil"/>
              <w:right w:val="nil"/>
            </w:tcBorders>
            <w:noWrap/>
            <w:vAlign w:val="center"/>
            <w:hideMark/>
          </w:tcPr>
          <w:p w14:paraId="6CD2518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735" w:type="dxa"/>
            <w:tcBorders>
              <w:top w:val="nil"/>
              <w:left w:val="nil"/>
              <w:bottom w:val="nil"/>
              <w:right w:val="nil"/>
            </w:tcBorders>
            <w:noWrap/>
            <w:vAlign w:val="center"/>
            <w:hideMark/>
          </w:tcPr>
          <w:p w14:paraId="5B8F590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c>
          <w:tcPr>
            <w:tcW w:w="628" w:type="dxa"/>
            <w:tcBorders>
              <w:top w:val="nil"/>
              <w:left w:val="nil"/>
              <w:bottom w:val="nil"/>
              <w:right w:val="nil"/>
            </w:tcBorders>
            <w:noWrap/>
            <w:vAlign w:val="center"/>
            <w:hideMark/>
          </w:tcPr>
          <w:p w14:paraId="255639A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p>
        </w:tc>
      </w:tr>
      <w:tr w:rsidR="00AA100D" w:rsidRPr="00AA100D" w14:paraId="4D63E3AD" w14:textId="77777777" w:rsidTr="00AA100D">
        <w:trPr>
          <w:trHeight w:val="300"/>
        </w:trPr>
        <w:tc>
          <w:tcPr>
            <w:tcW w:w="599" w:type="dxa"/>
            <w:tcBorders>
              <w:top w:val="nil"/>
              <w:left w:val="nil"/>
              <w:bottom w:val="nil"/>
              <w:right w:val="nil"/>
            </w:tcBorders>
            <w:noWrap/>
            <w:vAlign w:val="center"/>
            <w:hideMark/>
          </w:tcPr>
          <w:p w14:paraId="74189EE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TW</w:t>
            </w:r>
          </w:p>
        </w:tc>
        <w:tc>
          <w:tcPr>
            <w:tcW w:w="1319" w:type="dxa"/>
            <w:tcBorders>
              <w:top w:val="nil"/>
              <w:left w:val="nil"/>
              <w:bottom w:val="nil"/>
              <w:right w:val="nil"/>
            </w:tcBorders>
            <w:noWrap/>
            <w:vAlign w:val="center"/>
            <w:hideMark/>
          </w:tcPr>
          <w:p w14:paraId="6F963B1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unadj</w:t>
            </w:r>
          </w:p>
        </w:tc>
        <w:tc>
          <w:tcPr>
            <w:tcW w:w="652" w:type="dxa"/>
            <w:tcBorders>
              <w:top w:val="nil"/>
              <w:left w:val="nil"/>
              <w:bottom w:val="nil"/>
              <w:right w:val="nil"/>
            </w:tcBorders>
            <w:noWrap/>
            <w:vAlign w:val="center"/>
            <w:hideMark/>
          </w:tcPr>
          <w:p w14:paraId="7165124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0.56</w:t>
            </w:r>
          </w:p>
        </w:tc>
        <w:tc>
          <w:tcPr>
            <w:tcW w:w="916" w:type="dxa"/>
            <w:tcBorders>
              <w:top w:val="nil"/>
              <w:left w:val="nil"/>
              <w:bottom w:val="nil"/>
              <w:right w:val="nil"/>
            </w:tcBorders>
            <w:noWrap/>
            <w:vAlign w:val="center"/>
            <w:hideMark/>
          </w:tcPr>
          <w:p w14:paraId="4D7C226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0.62</w:t>
            </w:r>
          </w:p>
        </w:tc>
        <w:tc>
          <w:tcPr>
            <w:tcW w:w="796" w:type="dxa"/>
            <w:tcBorders>
              <w:top w:val="nil"/>
              <w:left w:val="nil"/>
              <w:bottom w:val="nil"/>
              <w:right w:val="nil"/>
            </w:tcBorders>
            <w:noWrap/>
            <w:vAlign w:val="center"/>
            <w:hideMark/>
          </w:tcPr>
          <w:p w14:paraId="2E40FB8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0.58</w:t>
            </w:r>
          </w:p>
        </w:tc>
        <w:tc>
          <w:tcPr>
            <w:tcW w:w="1093" w:type="dxa"/>
            <w:tcBorders>
              <w:top w:val="nil"/>
              <w:left w:val="nil"/>
              <w:bottom w:val="nil"/>
              <w:right w:val="nil"/>
            </w:tcBorders>
            <w:noWrap/>
            <w:vAlign w:val="center"/>
            <w:hideMark/>
          </w:tcPr>
          <w:p w14:paraId="0DFE144E"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0.71</w:t>
            </w:r>
          </w:p>
        </w:tc>
        <w:tc>
          <w:tcPr>
            <w:tcW w:w="1240" w:type="dxa"/>
            <w:tcBorders>
              <w:top w:val="nil"/>
              <w:left w:val="nil"/>
              <w:bottom w:val="nil"/>
              <w:right w:val="nil"/>
            </w:tcBorders>
            <w:noWrap/>
            <w:vAlign w:val="center"/>
            <w:hideMark/>
          </w:tcPr>
          <w:p w14:paraId="675DB8E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0.80</w:t>
            </w:r>
          </w:p>
        </w:tc>
        <w:tc>
          <w:tcPr>
            <w:tcW w:w="572" w:type="dxa"/>
            <w:tcBorders>
              <w:top w:val="nil"/>
              <w:left w:val="nil"/>
              <w:bottom w:val="nil"/>
              <w:right w:val="nil"/>
            </w:tcBorders>
            <w:noWrap/>
            <w:vAlign w:val="center"/>
            <w:hideMark/>
          </w:tcPr>
          <w:p w14:paraId="118B0AC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2747</w:t>
            </w:r>
          </w:p>
        </w:tc>
        <w:tc>
          <w:tcPr>
            <w:tcW w:w="572" w:type="dxa"/>
            <w:tcBorders>
              <w:top w:val="nil"/>
              <w:left w:val="nil"/>
              <w:bottom w:val="nil"/>
              <w:right w:val="nil"/>
            </w:tcBorders>
            <w:noWrap/>
            <w:vAlign w:val="center"/>
            <w:hideMark/>
          </w:tcPr>
          <w:p w14:paraId="1E282E4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3948</w:t>
            </w:r>
          </w:p>
        </w:tc>
        <w:tc>
          <w:tcPr>
            <w:tcW w:w="528" w:type="dxa"/>
            <w:tcBorders>
              <w:top w:val="nil"/>
              <w:left w:val="nil"/>
              <w:bottom w:val="nil"/>
              <w:right w:val="nil"/>
            </w:tcBorders>
            <w:noWrap/>
            <w:vAlign w:val="center"/>
            <w:hideMark/>
          </w:tcPr>
          <w:p w14:paraId="068370E6"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7B8ECFA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1.76</w:t>
            </w:r>
          </w:p>
        </w:tc>
        <w:tc>
          <w:tcPr>
            <w:tcW w:w="735" w:type="dxa"/>
            <w:tcBorders>
              <w:top w:val="nil"/>
              <w:left w:val="nil"/>
              <w:bottom w:val="nil"/>
              <w:right w:val="nil"/>
            </w:tcBorders>
            <w:noWrap/>
            <w:vAlign w:val="center"/>
            <w:hideMark/>
          </w:tcPr>
          <w:p w14:paraId="30C0A73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0.05</w:t>
            </w:r>
          </w:p>
        </w:tc>
        <w:tc>
          <w:tcPr>
            <w:tcW w:w="628" w:type="dxa"/>
            <w:tcBorders>
              <w:top w:val="nil"/>
              <w:left w:val="nil"/>
              <w:bottom w:val="nil"/>
              <w:right w:val="nil"/>
            </w:tcBorders>
            <w:noWrap/>
            <w:vAlign w:val="center"/>
            <w:hideMark/>
          </w:tcPr>
          <w:p w14:paraId="69DC8EE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0.35</w:t>
            </w:r>
          </w:p>
        </w:tc>
      </w:tr>
      <w:tr w:rsidR="00AA100D" w:rsidRPr="00AA100D" w14:paraId="42D58B43" w14:textId="77777777" w:rsidTr="00AA100D">
        <w:trPr>
          <w:trHeight w:val="300"/>
        </w:trPr>
        <w:tc>
          <w:tcPr>
            <w:tcW w:w="599" w:type="dxa"/>
            <w:tcBorders>
              <w:top w:val="nil"/>
              <w:left w:val="nil"/>
              <w:bottom w:val="nil"/>
              <w:right w:val="nil"/>
            </w:tcBorders>
            <w:noWrap/>
            <w:vAlign w:val="center"/>
            <w:hideMark/>
          </w:tcPr>
          <w:p w14:paraId="0C224BED"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TW</w:t>
            </w:r>
          </w:p>
        </w:tc>
        <w:tc>
          <w:tcPr>
            <w:tcW w:w="1319" w:type="dxa"/>
            <w:tcBorders>
              <w:top w:val="nil"/>
              <w:left w:val="nil"/>
              <w:bottom w:val="nil"/>
              <w:right w:val="nil"/>
            </w:tcBorders>
            <w:noWrap/>
            <w:vAlign w:val="center"/>
            <w:hideMark/>
          </w:tcPr>
          <w:p w14:paraId="1AC7820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adjusted</w:t>
            </w:r>
          </w:p>
        </w:tc>
        <w:tc>
          <w:tcPr>
            <w:tcW w:w="652" w:type="dxa"/>
            <w:tcBorders>
              <w:top w:val="nil"/>
              <w:left w:val="nil"/>
              <w:bottom w:val="nil"/>
              <w:right w:val="nil"/>
            </w:tcBorders>
            <w:noWrap/>
            <w:vAlign w:val="center"/>
            <w:hideMark/>
          </w:tcPr>
          <w:p w14:paraId="72D4834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0.56</w:t>
            </w:r>
          </w:p>
        </w:tc>
        <w:tc>
          <w:tcPr>
            <w:tcW w:w="916" w:type="dxa"/>
            <w:tcBorders>
              <w:top w:val="nil"/>
              <w:left w:val="nil"/>
              <w:bottom w:val="nil"/>
              <w:right w:val="nil"/>
            </w:tcBorders>
            <w:noWrap/>
            <w:vAlign w:val="center"/>
            <w:hideMark/>
          </w:tcPr>
          <w:p w14:paraId="5DBD769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0.61</w:t>
            </w:r>
          </w:p>
        </w:tc>
        <w:tc>
          <w:tcPr>
            <w:tcW w:w="796" w:type="dxa"/>
            <w:tcBorders>
              <w:top w:val="nil"/>
              <w:left w:val="nil"/>
              <w:bottom w:val="nil"/>
              <w:right w:val="nil"/>
            </w:tcBorders>
            <w:noWrap/>
            <w:vAlign w:val="center"/>
            <w:hideMark/>
          </w:tcPr>
          <w:p w14:paraId="487A53A5"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0.57</w:t>
            </w:r>
          </w:p>
        </w:tc>
        <w:tc>
          <w:tcPr>
            <w:tcW w:w="1093" w:type="dxa"/>
            <w:tcBorders>
              <w:top w:val="nil"/>
              <w:left w:val="nil"/>
              <w:bottom w:val="nil"/>
              <w:right w:val="nil"/>
            </w:tcBorders>
            <w:noWrap/>
            <w:vAlign w:val="center"/>
            <w:hideMark/>
          </w:tcPr>
          <w:p w14:paraId="17E7B8E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0.72</w:t>
            </w:r>
          </w:p>
        </w:tc>
        <w:tc>
          <w:tcPr>
            <w:tcW w:w="1240" w:type="dxa"/>
            <w:tcBorders>
              <w:top w:val="nil"/>
              <w:left w:val="nil"/>
              <w:bottom w:val="nil"/>
              <w:right w:val="nil"/>
            </w:tcBorders>
            <w:noWrap/>
            <w:vAlign w:val="center"/>
            <w:hideMark/>
          </w:tcPr>
          <w:p w14:paraId="2FAD7F9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0.80</w:t>
            </w:r>
          </w:p>
        </w:tc>
        <w:tc>
          <w:tcPr>
            <w:tcW w:w="572" w:type="dxa"/>
            <w:tcBorders>
              <w:top w:val="nil"/>
              <w:left w:val="nil"/>
              <w:bottom w:val="nil"/>
              <w:right w:val="nil"/>
            </w:tcBorders>
            <w:noWrap/>
            <w:vAlign w:val="center"/>
            <w:hideMark/>
          </w:tcPr>
          <w:p w14:paraId="2E0384A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2718</w:t>
            </w:r>
          </w:p>
        </w:tc>
        <w:tc>
          <w:tcPr>
            <w:tcW w:w="572" w:type="dxa"/>
            <w:tcBorders>
              <w:top w:val="nil"/>
              <w:left w:val="nil"/>
              <w:bottom w:val="nil"/>
              <w:right w:val="nil"/>
            </w:tcBorders>
            <w:noWrap/>
            <w:vAlign w:val="center"/>
            <w:hideMark/>
          </w:tcPr>
          <w:p w14:paraId="58044C7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3910</w:t>
            </w:r>
          </w:p>
        </w:tc>
        <w:tc>
          <w:tcPr>
            <w:tcW w:w="528" w:type="dxa"/>
            <w:tcBorders>
              <w:top w:val="nil"/>
              <w:left w:val="nil"/>
              <w:bottom w:val="nil"/>
              <w:right w:val="nil"/>
            </w:tcBorders>
            <w:noWrap/>
            <w:vAlign w:val="center"/>
            <w:hideMark/>
          </w:tcPr>
          <w:p w14:paraId="37F53BC1"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nil"/>
              <w:right w:val="nil"/>
            </w:tcBorders>
            <w:noWrap/>
            <w:vAlign w:val="center"/>
            <w:hideMark/>
          </w:tcPr>
          <w:p w14:paraId="56023780"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1.65</w:t>
            </w:r>
          </w:p>
        </w:tc>
        <w:tc>
          <w:tcPr>
            <w:tcW w:w="735" w:type="dxa"/>
            <w:tcBorders>
              <w:top w:val="nil"/>
              <w:left w:val="nil"/>
              <w:bottom w:val="nil"/>
              <w:right w:val="nil"/>
            </w:tcBorders>
            <w:noWrap/>
            <w:vAlign w:val="center"/>
            <w:hideMark/>
          </w:tcPr>
          <w:p w14:paraId="2E1801E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0.05</w:t>
            </w:r>
          </w:p>
        </w:tc>
        <w:tc>
          <w:tcPr>
            <w:tcW w:w="628" w:type="dxa"/>
            <w:tcBorders>
              <w:top w:val="nil"/>
              <w:left w:val="nil"/>
              <w:bottom w:val="nil"/>
              <w:right w:val="nil"/>
            </w:tcBorders>
            <w:noWrap/>
            <w:vAlign w:val="center"/>
            <w:hideMark/>
          </w:tcPr>
          <w:p w14:paraId="6A0E54BB"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0.34</w:t>
            </w:r>
          </w:p>
        </w:tc>
      </w:tr>
      <w:tr w:rsidR="00AA100D" w:rsidRPr="00AA100D" w14:paraId="4CED46D2" w14:textId="77777777" w:rsidTr="00AA100D">
        <w:trPr>
          <w:trHeight w:val="300"/>
        </w:trPr>
        <w:tc>
          <w:tcPr>
            <w:tcW w:w="599" w:type="dxa"/>
            <w:tcBorders>
              <w:top w:val="nil"/>
              <w:left w:val="nil"/>
              <w:bottom w:val="single" w:sz="4" w:space="0" w:color="auto"/>
              <w:right w:val="nil"/>
            </w:tcBorders>
            <w:noWrap/>
            <w:vAlign w:val="center"/>
            <w:hideMark/>
          </w:tcPr>
          <w:p w14:paraId="154C5073"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TW</w:t>
            </w:r>
          </w:p>
        </w:tc>
        <w:tc>
          <w:tcPr>
            <w:tcW w:w="1319" w:type="dxa"/>
            <w:tcBorders>
              <w:top w:val="nil"/>
              <w:left w:val="nil"/>
              <w:bottom w:val="single" w:sz="4" w:space="0" w:color="auto"/>
              <w:right w:val="nil"/>
            </w:tcBorders>
            <w:noWrap/>
            <w:vAlign w:val="center"/>
            <w:hideMark/>
          </w:tcPr>
          <w:p w14:paraId="2BB70DB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reaction_norm</w:t>
            </w:r>
          </w:p>
        </w:tc>
        <w:tc>
          <w:tcPr>
            <w:tcW w:w="652" w:type="dxa"/>
            <w:tcBorders>
              <w:top w:val="nil"/>
              <w:left w:val="nil"/>
              <w:bottom w:val="single" w:sz="4" w:space="0" w:color="auto"/>
              <w:right w:val="nil"/>
            </w:tcBorders>
            <w:noWrap/>
            <w:vAlign w:val="center"/>
            <w:hideMark/>
          </w:tcPr>
          <w:p w14:paraId="2895F954"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0.64</w:t>
            </w:r>
          </w:p>
        </w:tc>
        <w:tc>
          <w:tcPr>
            <w:tcW w:w="916" w:type="dxa"/>
            <w:tcBorders>
              <w:top w:val="nil"/>
              <w:left w:val="nil"/>
              <w:bottom w:val="single" w:sz="4" w:space="0" w:color="auto"/>
              <w:right w:val="nil"/>
            </w:tcBorders>
            <w:noWrap/>
            <w:vAlign w:val="center"/>
            <w:hideMark/>
          </w:tcPr>
          <w:p w14:paraId="1C8AC8C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0.58</w:t>
            </w:r>
          </w:p>
        </w:tc>
        <w:tc>
          <w:tcPr>
            <w:tcW w:w="796" w:type="dxa"/>
            <w:tcBorders>
              <w:top w:val="nil"/>
              <w:left w:val="nil"/>
              <w:bottom w:val="single" w:sz="4" w:space="0" w:color="auto"/>
              <w:right w:val="nil"/>
            </w:tcBorders>
            <w:noWrap/>
            <w:vAlign w:val="center"/>
            <w:hideMark/>
          </w:tcPr>
          <w:p w14:paraId="13467702"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0.54</w:t>
            </w:r>
          </w:p>
        </w:tc>
        <w:tc>
          <w:tcPr>
            <w:tcW w:w="1093" w:type="dxa"/>
            <w:tcBorders>
              <w:top w:val="nil"/>
              <w:left w:val="nil"/>
              <w:bottom w:val="single" w:sz="4" w:space="0" w:color="auto"/>
              <w:right w:val="nil"/>
            </w:tcBorders>
            <w:noWrap/>
            <w:vAlign w:val="center"/>
            <w:hideMark/>
          </w:tcPr>
          <w:p w14:paraId="115037F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0.74</w:t>
            </w:r>
          </w:p>
        </w:tc>
        <w:tc>
          <w:tcPr>
            <w:tcW w:w="1240" w:type="dxa"/>
            <w:tcBorders>
              <w:top w:val="nil"/>
              <w:left w:val="nil"/>
              <w:bottom w:val="single" w:sz="4" w:space="0" w:color="auto"/>
              <w:right w:val="nil"/>
            </w:tcBorders>
            <w:noWrap/>
            <w:vAlign w:val="center"/>
            <w:hideMark/>
          </w:tcPr>
          <w:p w14:paraId="4D80711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0.85</w:t>
            </w:r>
          </w:p>
        </w:tc>
        <w:tc>
          <w:tcPr>
            <w:tcW w:w="572" w:type="dxa"/>
            <w:tcBorders>
              <w:top w:val="nil"/>
              <w:left w:val="nil"/>
              <w:bottom w:val="single" w:sz="4" w:space="0" w:color="auto"/>
              <w:right w:val="nil"/>
            </w:tcBorders>
            <w:noWrap/>
            <w:vAlign w:val="center"/>
            <w:hideMark/>
          </w:tcPr>
          <w:p w14:paraId="5380A36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2422</w:t>
            </w:r>
          </w:p>
        </w:tc>
        <w:tc>
          <w:tcPr>
            <w:tcW w:w="572" w:type="dxa"/>
            <w:tcBorders>
              <w:top w:val="nil"/>
              <w:left w:val="nil"/>
              <w:bottom w:val="single" w:sz="4" w:space="0" w:color="auto"/>
              <w:right w:val="nil"/>
            </w:tcBorders>
            <w:noWrap/>
            <w:vAlign w:val="center"/>
            <w:hideMark/>
          </w:tcPr>
          <w:p w14:paraId="09098AE7"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4413</w:t>
            </w:r>
          </w:p>
        </w:tc>
        <w:tc>
          <w:tcPr>
            <w:tcW w:w="528" w:type="dxa"/>
            <w:tcBorders>
              <w:top w:val="nil"/>
              <w:left w:val="nil"/>
              <w:bottom w:val="single" w:sz="4" w:space="0" w:color="auto"/>
              <w:right w:val="nil"/>
            </w:tcBorders>
            <w:noWrap/>
            <w:vAlign w:val="center"/>
            <w:hideMark/>
          </w:tcPr>
          <w:p w14:paraId="4E226349"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0.03</w:t>
            </w:r>
          </w:p>
        </w:tc>
        <w:tc>
          <w:tcPr>
            <w:tcW w:w="539" w:type="dxa"/>
            <w:tcBorders>
              <w:top w:val="nil"/>
              <w:left w:val="nil"/>
              <w:bottom w:val="single" w:sz="4" w:space="0" w:color="auto"/>
              <w:right w:val="nil"/>
            </w:tcBorders>
            <w:noWrap/>
            <w:vAlign w:val="center"/>
            <w:hideMark/>
          </w:tcPr>
          <w:p w14:paraId="1847B72C"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1.63</w:t>
            </w:r>
          </w:p>
        </w:tc>
        <w:tc>
          <w:tcPr>
            <w:tcW w:w="735" w:type="dxa"/>
            <w:tcBorders>
              <w:top w:val="nil"/>
              <w:left w:val="nil"/>
              <w:bottom w:val="single" w:sz="4" w:space="0" w:color="auto"/>
              <w:right w:val="nil"/>
            </w:tcBorders>
            <w:noWrap/>
            <w:vAlign w:val="center"/>
            <w:hideMark/>
          </w:tcPr>
          <w:p w14:paraId="124AC9AF"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0.06</w:t>
            </w:r>
          </w:p>
        </w:tc>
        <w:tc>
          <w:tcPr>
            <w:tcW w:w="628" w:type="dxa"/>
            <w:tcBorders>
              <w:top w:val="nil"/>
              <w:left w:val="nil"/>
              <w:bottom w:val="single" w:sz="4" w:space="0" w:color="auto"/>
              <w:right w:val="nil"/>
            </w:tcBorders>
            <w:noWrap/>
            <w:vAlign w:val="center"/>
            <w:hideMark/>
          </w:tcPr>
          <w:p w14:paraId="5A2808FA" w14:textId="77777777" w:rsidR="00AA100D" w:rsidRPr="00AA100D" w:rsidRDefault="00AA100D" w:rsidP="00AA100D">
            <w:pPr>
              <w:spacing w:after="0" w:line="240" w:lineRule="auto"/>
              <w:jc w:val="center"/>
              <w:rPr>
                <w:rFonts w:ascii="Arial" w:eastAsia="Times New Roman" w:hAnsi="Arial" w:cs="Arial"/>
                <w:kern w:val="0"/>
                <w:sz w:val="16"/>
                <w:szCs w:val="16"/>
                <w14:ligatures w14:val="none"/>
              </w:rPr>
            </w:pPr>
            <w:r w:rsidRPr="00AA100D">
              <w:rPr>
                <w:rFonts w:ascii="Arial" w:eastAsia="Times New Roman" w:hAnsi="Arial" w:cs="Arial"/>
                <w:kern w:val="0"/>
                <w:sz w:val="16"/>
                <w:szCs w:val="16"/>
                <w14:ligatures w14:val="none"/>
              </w:rPr>
              <w:t>0.20</w:t>
            </w:r>
          </w:p>
        </w:tc>
      </w:tr>
    </w:tbl>
    <w:p w14:paraId="702E84AE" w14:textId="77777777" w:rsidR="00AA100D" w:rsidRDefault="00AA100D" w:rsidP="00894E04">
      <w:pPr>
        <w:spacing w:line="240" w:lineRule="auto"/>
        <w:rPr>
          <w:rFonts w:ascii="Arial" w:hAnsi="Arial" w:cs="Arial"/>
          <w:sz w:val="22"/>
          <w:szCs w:val="22"/>
        </w:rPr>
      </w:pPr>
    </w:p>
    <w:p w14:paraId="46AC8EC6" w14:textId="1D1335B8" w:rsidR="00703176" w:rsidRDefault="00FA04CE">
      <w:pPr>
        <w:rPr>
          <w:rFonts w:ascii="Arial" w:hAnsi="Arial" w:cs="Arial"/>
          <w:b/>
          <w:bCs/>
          <w:sz w:val="16"/>
          <w:szCs w:val="16"/>
        </w:rPr>
      </w:pPr>
      <w:r>
        <w:rPr>
          <w:noProof/>
        </w:rPr>
        <w:lastRenderedPageBreak/>
        <w:drawing>
          <wp:inline distT="0" distB="0" distL="0" distR="0" wp14:anchorId="1909845C" wp14:editId="651D857D">
            <wp:extent cx="3200400" cy="3200400"/>
            <wp:effectExtent l="0" t="0" r="0" b="0"/>
            <wp:docPr id="1969040785" name="Picture 1" descr="A graph of data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42157" name="Picture 1" descr="A graph of data with different colored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r w:rsidR="002622B1">
        <w:rPr>
          <w:noProof/>
        </w:rPr>
        <w:drawing>
          <wp:inline distT="0" distB="0" distL="0" distR="0" wp14:anchorId="05009BB4" wp14:editId="63DB0A0D">
            <wp:extent cx="3200400" cy="3200400"/>
            <wp:effectExtent l="0" t="0" r="0" b="0"/>
            <wp:docPr id="925584116" name="Picture 2" descr="A graph of multiple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84116" name="Picture 2" descr="A graph of multiple colored lin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12589672" w14:textId="1D0B5262" w:rsidR="002622B1" w:rsidRDefault="002622B1">
      <w:pPr>
        <w:rPr>
          <w:rFonts w:ascii="Arial" w:hAnsi="Arial" w:cs="Arial"/>
          <w:sz w:val="16"/>
          <w:szCs w:val="16"/>
        </w:rPr>
      </w:pPr>
      <w:r>
        <w:rPr>
          <w:rFonts w:ascii="Arial" w:hAnsi="Arial" w:cs="Arial"/>
          <w:b/>
          <w:bCs/>
          <w:sz w:val="16"/>
          <w:szCs w:val="16"/>
        </w:rPr>
        <w:t xml:space="preserve">Figure 2. </w:t>
      </w:r>
      <w:r w:rsidR="00C235B5">
        <w:rPr>
          <w:rFonts w:ascii="Arial" w:hAnsi="Arial" w:cs="Arial"/>
          <w:sz w:val="16"/>
          <w:szCs w:val="16"/>
        </w:rPr>
        <w:t xml:space="preserve">Comparative predictive performance of three modeling approaches – drought adjusted (green), reaction norm (orange), and unadjusted (purple) – across </w:t>
      </w:r>
      <w:r w:rsidR="00B21D7C">
        <w:rPr>
          <w:rFonts w:ascii="Arial" w:hAnsi="Arial" w:cs="Arial"/>
          <w:sz w:val="16"/>
          <w:szCs w:val="16"/>
        </w:rPr>
        <w:t>seven traits. Left panels show out-of-sample and in-sample R</w:t>
      </w:r>
      <w:r w:rsidR="00B21D7C">
        <w:rPr>
          <w:rFonts w:ascii="Arial" w:hAnsi="Arial" w:cs="Arial"/>
          <w:sz w:val="16"/>
          <w:szCs w:val="16"/>
          <w:vertAlign w:val="superscript"/>
        </w:rPr>
        <w:t>2</w:t>
      </w:r>
      <w:r w:rsidR="00B21D7C">
        <w:rPr>
          <w:rFonts w:ascii="Arial" w:hAnsi="Arial" w:cs="Arial"/>
          <w:sz w:val="16"/>
          <w:szCs w:val="16"/>
        </w:rPr>
        <w:t xml:space="preserve">; right panels show corresponding RMSE values. Traits include </w:t>
      </w:r>
      <w:r w:rsidR="00B21D7C" w:rsidRPr="001C175C">
        <w:rPr>
          <w:rFonts w:ascii="Arial" w:hAnsi="Arial" w:cs="Arial"/>
          <w:sz w:val="16"/>
          <w:szCs w:val="16"/>
        </w:rPr>
        <w:t>grain yield (</w:t>
      </w:r>
      <w:r w:rsidR="00B21D7C" w:rsidRPr="001C175C">
        <w:rPr>
          <w:rFonts w:ascii="Arial" w:hAnsi="Arial" w:cs="Arial"/>
          <w:b/>
          <w:bCs/>
          <w:sz w:val="16"/>
          <w:szCs w:val="16"/>
        </w:rPr>
        <w:t>GY</w:t>
      </w:r>
      <w:r w:rsidR="00B21D7C" w:rsidRPr="001C175C">
        <w:rPr>
          <w:rFonts w:ascii="Arial" w:hAnsi="Arial" w:cs="Arial"/>
          <w:sz w:val="16"/>
          <w:szCs w:val="16"/>
        </w:rPr>
        <w:t>), senescence date (</w:t>
      </w:r>
      <w:r w:rsidR="00B21D7C" w:rsidRPr="001C175C">
        <w:rPr>
          <w:rFonts w:ascii="Arial" w:hAnsi="Arial" w:cs="Arial"/>
          <w:b/>
          <w:bCs/>
          <w:sz w:val="16"/>
          <w:szCs w:val="16"/>
        </w:rPr>
        <w:t>SD</w:t>
      </w:r>
      <w:r w:rsidR="00B21D7C" w:rsidRPr="001C175C">
        <w:rPr>
          <w:rFonts w:ascii="Arial" w:hAnsi="Arial" w:cs="Arial"/>
          <w:sz w:val="16"/>
          <w:szCs w:val="16"/>
        </w:rPr>
        <w:t>), plant height (</w:t>
      </w:r>
      <w:r w:rsidR="00B21D7C" w:rsidRPr="001C175C">
        <w:rPr>
          <w:rFonts w:ascii="Arial" w:hAnsi="Arial" w:cs="Arial"/>
          <w:b/>
          <w:bCs/>
          <w:sz w:val="16"/>
          <w:szCs w:val="16"/>
        </w:rPr>
        <w:t>PH</w:t>
      </w:r>
      <w:r w:rsidR="00B21D7C" w:rsidRPr="001C175C">
        <w:rPr>
          <w:rFonts w:ascii="Arial" w:hAnsi="Arial" w:cs="Arial"/>
          <w:sz w:val="16"/>
          <w:szCs w:val="16"/>
        </w:rPr>
        <w:t>), normalized difference vegetation index (</w:t>
      </w:r>
      <w:r w:rsidR="00B21D7C" w:rsidRPr="001C175C">
        <w:rPr>
          <w:rFonts w:ascii="Arial" w:hAnsi="Arial" w:cs="Arial"/>
          <w:b/>
          <w:bCs/>
          <w:sz w:val="16"/>
          <w:szCs w:val="16"/>
        </w:rPr>
        <w:t>NDVI</w:t>
      </w:r>
      <w:r w:rsidR="00B21D7C" w:rsidRPr="001C175C">
        <w:rPr>
          <w:rFonts w:ascii="Arial" w:hAnsi="Arial" w:cs="Arial"/>
          <w:sz w:val="16"/>
          <w:szCs w:val="16"/>
        </w:rPr>
        <w:t>), green reflectance (</w:t>
      </w:r>
      <w:r w:rsidR="00B21D7C" w:rsidRPr="001C175C">
        <w:rPr>
          <w:rFonts w:ascii="Arial" w:hAnsi="Arial" w:cs="Arial"/>
          <w:b/>
          <w:bCs/>
          <w:sz w:val="16"/>
          <w:szCs w:val="16"/>
        </w:rPr>
        <w:t>GR</w:t>
      </w:r>
      <w:r w:rsidR="00B21D7C" w:rsidRPr="001C175C">
        <w:rPr>
          <w:rFonts w:ascii="Arial" w:hAnsi="Arial" w:cs="Arial"/>
          <w:sz w:val="16"/>
          <w:szCs w:val="16"/>
        </w:rPr>
        <w:t>), thousand kernel weight (</w:t>
      </w:r>
      <w:r w:rsidR="00B21D7C" w:rsidRPr="001C175C">
        <w:rPr>
          <w:rFonts w:ascii="Arial" w:hAnsi="Arial" w:cs="Arial"/>
          <w:b/>
          <w:bCs/>
          <w:sz w:val="16"/>
          <w:szCs w:val="16"/>
        </w:rPr>
        <w:t>TKW</w:t>
      </w:r>
      <w:r w:rsidR="00B21D7C" w:rsidRPr="001C175C">
        <w:rPr>
          <w:rFonts w:ascii="Arial" w:hAnsi="Arial" w:cs="Arial"/>
          <w:sz w:val="16"/>
          <w:szCs w:val="16"/>
        </w:rPr>
        <w:t>), and test weight (</w:t>
      </w:r>
      <w:r w:rsidR="00B21D7C" w:rsidRPr="001C175C">
        <w:rPr>
          <w:rFonts w:ascii="Arial" w:hAnsi="Arial" w:cs="Arial"/>
          <w:b/>
          <w:bCs/>
          <w:sz w:val="16"/>
          <w:szCs w:val="16"/>
        </w:rPr>
        <w:t>TW</w:t>
      </w:r>
      <w:r w:rsidR="00B21D7C" w:rsidRPr="001C175C">
        <w:rPr>
          <w:rFonts w:ascii="Arial" w:hAnsi="Arial" w:cs="Arial"/>
          <w:sz w:val="16"/>
          <w:szCs w:val="16"/>
        </w:rPr>
        <w:t>)</w:t>
      </w:r>
      <w:r w:rsidR="00B21D7C">
        <w:rPr>
          <w:rFonts w:ascii="Arial" w:hAnsi="Arial" w:cs="Arial"/>
          <w:sz w:val="16"/>
          <w:szCs w:val="16"/>
        </w:rPr>
        <w:t>. Higher R</w:t>
      </w:r>
      <w:r w:rsidR="00B21D7C">
        <w:rPr>
          <w:rFonts w:ascii="Arial" w:hAnsi="Arial" w:cs="Arial"/>
          <w:sz w:val="16"/>
          <w:szCs w:val="16"/>
          <w:vertAlign w:val="superscript"/>
        </w:rPr>
        <w:t>2</w:t>
      </w:r>
      <w:r w:rsidR="00B21D7C">
        <w:rPr>
          <w:rFonts w:ascii="Arial" w:hAnsi="Arial" w:cs="Arial"/>
          <w:sz w:val="16"/>
          <w:szCs w:val="16"/>
        </w:rPr>
        <w:t xml:space="preserve"> and lower RMSE indicate better model performance.</w:t>
      </w:r>
    </w:p>
    <w:p w14:paraId="552418CB" w14:textId="77777777" w:rsidR="000C3328" w:rsidRPr="00894E04" w:rsidRDefault="000C3328" w:rsidP="000C3328">
      <w:pPr>
        <w:spacing w:line="240" w:lineRule="auto"/>
        <w:rPr>
          <w:rFonts w:ascii="Arial" w:hAnsi="Arial" w:cs="Arial"/>
          <w:i/>
          <w:iCs/>
          <w:sz w:val="22"/>
          <w:szCs w:val="22"/>
        </w:rPr>
      </w:pPr>
      <w:r w:rsidRPr="00894E04">
        <w:rPr>
          <w:rFonts w:ascii="Arial" w:hAnsi="Arial" w:cs="Arial"/>
          <w:i/>
          <w:iCs/>
          <w:sz w:val="22"/>
          <w:szCs w:val="22"/>
        </w:rPr>
        <w:t>NDVI &amp; Green Reflectance (GR)</w:t>
      </w:r>
    </w:p>
    <w:p w14:paraId="64D81137" w14:textId="77777777" w:rsidR="000C3328" w:rsidRPr="00894E04" w:rsidRDefault="000C3328" w:rsidP="000C3328">
      <w:pPr>
        <w:spacing w:line="240" w:lineRule="auto"/>
        <w:rPr>
          <w:rFonts w:ascii="Arial" w:hAnsi="Arial" w:cs="Arial"/>
          <w:sz w:val="22"/>
          <w:szCs w:val="22"/>
        </w:rPr>
      </w:pPr>
      <w:r w:rsidRPr="00894E04">
        <w:rPr>
          <w:rFonts w:ascii="Arial" w:hAnsi="Arial" w:cs="Arial"/>
          <w:sz w:val="22"/>
          <w:szCs w:val="22"/>
        </w:rPr>
        <w:t>High GxE for NDVI led to mixed outcomes. Reaction norm achieved the highest in</w:t>
      </w:r>
      <w:r w:rsidRPr="00894E04">
        <w:rPr>
          <w:rFonts w:ascii="Cambria Math" w:hAnsi="Cambria Math" w:cs="Cambria Math"/>
          <w:sz w:val="22"/>
          <w:szCs w:val="22"/>
        </w:rPr>
        <w:t>‑</w:t>
      </w:r>
      <w:r w:rsidRPr="00894E04">
        <w:rPr>
          <w:rFonts w:ascii="Arial" w:hAnsi="Arial" w:cs="Arial"/>
          <w:sz w:val="22"/>
          <w:szCs w:val="22"/>
        </w:rPr>
        <w:t>sample R</w:t>
      </w:r>
      <w:r w:rsidRPr="00894E04">
        <w:rPr>
          <w:rFonts w:ascii="Arial" w:hAnsi="Arial" w:cs="Arial"/>
          <w:sz w:val="22"/>
          <w:szCs w:val="22"/>
          <w:vertAlign w:val="superscript"/>
        </w:rPr>
        <w:t>2</w:t>
      </w:r>
      <w:r w:rsidRPr="00894E04">
        <w:rPr>
          <w:rFonts w:ascii="Arial" w:hAnsi="Arial" w:cs="Arial"/>
          <w:sz w:val="22"/>
          <w:szCs w:val="22"/>
        </w:rPr>
        <w:t xml:space="preserve"> and best AIC but performed worst for test RMSE and repeatability. Pre</w:t>
      </w:r>
      <w:r w:rsidRPr="00894E04">
        <w:rPr>
          <w:rFonts w:ascii="Cambria Math" w:hAnsi="Cambria Math" w:cs="Cambria Math"/>
          <w:sz w:val="22"/>
          <w:szCs w:val="22"/>
        </w:rPr>
        <w:t>‑</w:t>
      </w:r>
      <w:r w:rsidRPr="00894E04">
        <w:rPr>
          <w:rFonts w:ascii="Arial" w:hAnsi="Arial" w:cs="Arial"/>
          <w:sz w:val="22"/>
          <w:szCs w:val="22"/>
        </w:rPr>
        <w:t>adjustment scored best on BIC, training RMSE, and test RMSE. In GWAS, baseline BLUPs showed strong yet diffuse signals, with pre-adjustment sharpening known peaks on 2D, 5A, and 5B most cleanly, while reaction norm dampened the 2D locus and elevated new candidates on 1A, 4A, and 4B.</w:t>
      </w:r>
      <w:r>
        <w:rPr>
          <w:rFonts w:ascii="Arial" w:hAnsi="Arial" w:cs="Arial"/>
          <w:sz w:val="22"/>
          <w:szCs w:val="22"/>
        </w:rPr>
        <w:t xml:space="preserve"> Figure 6 visually summarizes NDVI modeling results.</w:t>
      </w:r>
    </w:p>
    <w:p w14:paraId="50195348" w14:textId="77777777" w:rsidR="000C3328" w:rsidRDefault="000C3328" w:rsidP="000C3328">
      <w:pPr>
        <w:spacing w:line="240" w:lineRule="auto"/>
        <w:rPr>
          <w:rFonts w:ascii="Arial" w:hAnsi="Arial" w:cs="Arial"/>
          <w:sz w:val="22"/>
          <w:szCs w:val="22"/>
        </w:rPr>
      </w:pPr>
      <w:r w:rsidRPr="00894E04">
        <w:rPr>
          <w:rFonts w:ascii="Arial" w:hAnsi="Arial" w:cs="Arial"/>
          <w:sz w:val="22"/>
          <w:szCs w:val="22"/>
        </w:rPr>
        <w:t>Reaction norm modeling delivered the strongest overall performance for GR, yielding the highest repeatability, best AIC/BIC, and lowest test RMSE. Pre</w:t>
      </w:r>
      <w:r w:rsidRPr="00894E04">
        <w:rPr>
          <w:rFonts w:ascii="Arial" w:hAnsi="Arial" w:cs="Arial"/>
          <w:sz w:val="22"/>
          <w:szCs w:val="22"/>
        </w:rPr>
        <w:noBreakHyphen/>
        <w:t>adjustment gave the lowest training RMSE, but reaction norm minimized prediction error on the hold</w:t>
      </w:r>
      <w:r w:rsidRPr="00894E04">
        <w:rPr>
          <w:rFonts w:ascii="Arial" w:hAnsi="Arial" w:cs="Arial"/>
          <w:sz w:val="22"/>
          <w:szCs w:val="22"/>
        </w:rPr>
        <w:noBreakHyphen/>
        <w:t>out. In GWAS, reaction norm attenuated major associations on 1A, 2B, and 5A – especially the 5B locus – redistributing signal intensity across the genome. Pre</w:t>
      </w:r>
      <w:r w:rsidRPr="00894E04">
        <w:rPr>
          <w:rFonts w:ascii="Arial" w:hAnsi="Arial" w:cs="Arial"/>
          <w:sz w:val="22"/>
          <w:szCs w:val="22"/>
        </w:rPr>
        <w:noBreakHyphen/>
        <w:t>adjustment maintained the 1A peak while reducing the 5B signal relative to baseline.</w:t>
      </w:r>
      <w:r>
        <w:rPr>
          <w:rFonts w:ascii="Arial" w:hAnsi="Arial" w:cs="Arial"/>
          <w:sz w:val="22"/>
          <w:szCs w:val="22"/>
        </w:rPr>
        <w:t xml:space="preserve"> Figure 7 visually summarizes GR modeling results.</w:t>
      </w:r>
    </w:p>
    <w:p w14:paraId="64E3DA16" w14:textId="77777777" w:rsidR="00277805" w:rsidRPr="00894E04" w:rsidRDefault="00277805" w:rsidP="00277805">
      <w:pPr>
        <w:spacing w:line="240" w:lineRule="auto"/>
        <w:rPr>
          <w:rFonts w:ascii="Arial" w:hAnsi="Arial" w:cs="Arial"/>
          <w:i/>
          <w:iCs/>
          <w:sz w:val="22"/>
          <w:szCs w:val="22"/>
        </w:rPr>
      </w:pPr>
      <w:r w:rsidRPr="00894E04">
        <w:rPr>
          <w:rFonts w:ascii="Arial" w:hAnsi="Arial" w:cs="Arial"/>
          <w:i/>
          <w:iCs/>
          <w:sz w:val="22"/>
          <w:szCs w:val="22"/>
        </w:rPr>
        <w:t>Kernel Traits (TKW, TW)</w:t>
      </w:r>
    </w:p>
    <w:p w14:paraId="14326CB4" w14:textId="01D99A5F" w:rsidR="00277805" w:rsidRPr="00894E04" w:rsidRDefault="00277805" w:rsidP="00277805">
      <w:pPr>
        <w:spacing w:line="240" w:lineRule="auto"/>
        <w:rPr>
          <w:rFonts w:ascii="Arial" w:hAnsi="Arial" w:cs="Arial"/>
          <w:iCs/>
          <w:sz w:val="22"/>
          <w:szCs w:val="22"/>
        </w:rPr>
      </w:pPr>
      <w:r w:rsidRPr="00894E04">
        <w:rPr>
          <w:rFonts w:ascii="Arial" w:hAnsi="Arial" w:cs="Arial"/>
          <w:iCs/>
          <w:sz w:val="22"/>
          <w:szCs w:val="22"/>
        </w:rPr>
        <w:t>Differences among models for TKW were minimal. Reaction norm slightly outperformed in</w:t>
      </w:r>
      <w:r w:rsidRPr="00894E04">
        <w:rPr>
          <w:rFonts w:ascii="Arial" w:hAnsi="Arial" w:cs="Arial"/>
          <w:iCs/>
          <w:sz w:val="22"/>
          <w:szCs w:val="22"/>
        </w:rPr>
        <w:noBreakHyphen/>
        <w:t>sample but underperformed on the test set despite the highest repeatability. AIC favored reaction norm, whereas BIC ranked it lowest. Baseline GWAS highlighted a strong 4B peak that reaction norm nearly eliminated; pre</w:t>
      </w:r>
      <w:r w:rsidRPr="00894E04">
        <w:rPr>
          <w:rFonts w:ascii="Arial" w:hAnsi="Arial" w:cs="Arial"/>
          <w:iCs/>
          <w:sz w:val="22"/>
          <w:szCs w:val="22"/>
        </w:rPr>
        <w:noBreakHyphen/>
        <w:t>adjustment elevated a 4A locus above 4B, and reaction norm further strengthened a 5A association. Known 3D and 6B associations remained stable across all approaches.</w:t>
      </w:r>
      <w:r w:rsidR="00F24B7B">
        <w:rPr>
          <w:rFonts w:ascii="Arial" w:hAnsi="Arial" w:cs="Arial"/>
          <w:iCs/>
          <w:sz w:val="22"/>
          <w:szCs w:val="22"/>
        </w:rPr>
        <w:t xml:space="preserve"> Figure 8 visually summarizes TKW modeling results.</w:t>
      </w:r>
    </w:p>
    <w:p w14:paraId="6D80E3FE" w14:textId="37A81B29" w:rsidR="00277805" w:rsidRDefault="00277805" w:rsidP="00277805">
      <w:pPr>
        <w:spacing w:line="240" w:lineRule="auto"/>
        <w:rPr>
          <w:rFonts w:ascii="Arial" w:hAnsi="Arial" w:cs="Arial"/>
          <w:iCs/>
          <w:sz w:val="22"/>
          <w:szCs w:val="22"/>
        </w:rPr>
      </w:pPr>
      <w:r w:rsidRPr="00894E04">
        <w:rPr>
          <w:rFonts w:ascii="Arial" w:hAnsi="Arial" w:cs="Arial"/>
          <w:iCs/>
          <w:sz w:val="22"/>
          <w:szCs w:val="22"/>
        </w:rPr>
        <w:t>TW results closely mirrored those for TKW: model metrics were essentially indistinguishable, with no clear “best” approach. In GWAS, the baseline 2A signal vanished under reaction norm, and pre</w:t>
      </w:r>
      <w:r w:rsidRPr="00894E04">
        <w:rPr>
          <w:rFonts w:ascii="Cambria Math" w:hAnsi="Cambria Math" w:cs="Cambria Math"/>
          <w:iCs/>
          <w:sz w:val="22"/>
          <w:szCs w:val="22"/>
        </w:rPr>
        <w:t>‑</w:t>
      </w:r>
      <w:r w:rsidRPr="00894E04">
        <w:rPr>
          <w:rFonts w:ascii="Arial" w:hAnsi="Arial" w:cs="Arial"/>
          <w:iCs/>
          <w:sz w:val="22"/>
          <w:szCs w:val="22"/>
        </w:rPr>
        <w:t>adjustment brought a 3D locus to prominence above both 2A and 4A. A robust 6B association persisted consistently across all three models.</w:t>
      </w:r>
      <w:r w:rsidR="00F24B7B">
        <w:rPr>
          <w:rFonts w:ascii="Arial" w:hAnsi="Arial" w:cs="Arial"/>
          <w:iCs/>
          <w:sz w:val="22"/>
          <w:szCs w:val="22"/>
        </w:rPr>
        <w:t xml:space="preserve"> Figure </w:t>
      </w:r>
      <w:r w:rsidR="00B1199E">
        <w:rPr>
          <w:rFonts w:ascii="Arial" w:hAnsi="Arial" w:cs="Arial"/>
          <w:iCs/>
          <w:sz w:val="22"/>
          <w:szCs w:val="22"/>
        </w:rPr>
        <w:t>9 visually summarizes TW modeling results.</w:t>
      </w:r>
    </w:p>
    <w:p w14:paraId="7907B584" w14:textId="1377C45D" w:rsidR="00F2389F" w:rsidRDefault="00F2389F" w:rsidP="00277805">
      <w:pPr>
        <w:spacing w:line="240" w:lineRule="auto"/>
        <w:rPr>
          <w:rFonts w:ascii="Arial" w:hAnsi="Arial" w:cs="Arial"/>
          <w:iCs/>
          <w:sz w:val="22"/>
          <w:szCs w:val="22"/>
        </w:rPr>
      </w:pPr>
      <w:r>
        <w:rPr>
          <w:noProof/>
        </w:rPr>
        <w:lastRenderedPageBreak/>
        <w:drawing>
          <wp:inline distT="0" distB="0" distL="0" distR="0" wp14:anchorId="21059294" wp14:editId="0F665517">
            <wp:extent cx="3200400" cy="3200400"/>
            <wp:effectExtent l="0" t="0" r="0" b="0"/>
            <wp:docPr id="179890319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03194" name="Picture 1" descr="A graph of different colored ba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r>
        <w:rPr>
          <w:noProof/>
        </w:rPr>
        <w:drawing>
          <wp:inline distT="0" distB="0" distL="0" distR="0" wp14:anchorId="24A31498" wp14:editId="0F863E02">
            <wp:extent cx="3200400" cy="3200400"/>
            <wp:effectExtent l="0" t="0" r="0" b="0"/>
            <wp:docPr id="433241781" name="Picture 2"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1781" name="Picture 2" descr="A graph of lines and do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17715A40" w14:textId="108911FC" w:rsidR="00F2389F" w:rsidRDefault="00F2389F" w:rsidP="00277805">
      <w:pPr>
        <w:spacing w:line="240" w:lineRule="auto"/>
        <w:rPr>
          <w:rFonts w:ascii="Arial" w:hAnsi="Arial" w:cs="Arial"/>
          <w:iCs/>
          <w:sz w:val="22"/>
          <w:szCs w:val="22"/>
        </w:rPr>
      </w:pPr>
      <w:r>
        <w:rPr>
          <w:noProof/>
        </w:rPr>
        <w:drawing>
          <wp:inline distT="0" distB="0" distL="0" distR="0" wp14:anchorId="7583B541" wp14:editId="5EE4EDDE">
            <wp:extent cx="6400800" cy="2132381"/>
            <wp:effectExtent l="0" t="0" r="0" b="1270"/>
            <wp:docPr id="154282937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29378" name="Picture 1" descr="A screen shot of a graph&#10;&#10;AI-generated content may be incorrect."/>
                    <pic:cNvPicPr/>
                  </pic:nvPicPr>
                  <pic:blipFill rotWithShape="1">
                    <a:blip r:embed="rId10"/>
                    <a:srcRect r="-30" b="1320"/>
                    <a:stretch/>
                  </pic:blipFill>
                  <pic:spPr bwMode="auto">
                    <a:xfrm>
                      <a:off x="0" y="0"/>
                      <a:ext cx="6400800" cy="2132381"/>
                    </a:xfrm>
                    <a:prstGeom prst="rect">
                      <a:avLst/>
                    </a:prstGeom>
                    <a:ln>
                      <a:noFill/>
                    </a:ln>
                    <a:extLst>
                      <a:ext uri="{53640926-AAD7-44D8-BBD7-CCE9431645EC}">
                        <a14:shadowObscured xmlns:a14="http://schemas.microsoft.com/office/drawing/2010/main"/>
                      </a:ext>
                    </a:extLst>
                  </pic:spPr>
                </pic:pic>
              </a:graphicData>
            </a:graphic>
          </wp:inline>
        </w:drawing>
      </w:r>
    </w:p>
    <w:p w14:paraId="48D8FCFC" w14:textId="3118165A" w:rsidR="00AE6FFA" w:rsidRPr="001673CE" w:rsidRDefault="00047100" w:rsidP="00277805">
      <w:pPr>
        <w:spacing w:line="240" w:lineRule="auto"/>
        <w:rPr>
          <w:rFonts w:ascii="Arial" w:hAnsi="Arial" w:cs="Arial"/>
          <w:iCs/>
          <w:sz w:val="16"/>
          <w:szCs w:val="16"/>
        </w:rPr>
      </w:pPr>
      <w:r w:rsidRPr="001673CE">
        <w:rPr>
          <w:rFonts w:ascii="Arial" w:hAnsi="Arial" w:cs="Arial"/>
          <w:b/>
          <w:bCs/>
          <w:iCs/>
          <w:sz w:val="16"/>
          <w:szCs w:val="16"/>
        </w:rPr>
        <w:t xml:space="preserve">Figure 3. </w:t>
      </w:r>
      <w:r w:rsidR="00424E13" w:rsidRPr="001673CE">
        <w:rPr>
          <w:rFonts w:ascii="Arial" w:hAnsi="Arial" w:cs="Arial"/>
          <w:iCs/>
          <w:sz w:val="16"/>
          <w:szCs w:val="16"/>
        </w:rPr>
        <w:t xml:space="preserve">Multi-panel summary of </w:t>
      </w:r>
      <w:r w:rsidR="00CE6E35" w:rsidRPr="001673CE">
        <w:rPr>
          <w:rFonts w:ascii="Arial" w:hAnsi="Arial" w:cs="Arial"/>
          <w:iCs/>
          <w:sz w:val="16"/>
          <w:szCs w:val="16"/>
        </w:rPr>
        <w:t xml:space="preserve">modeling outcomes for grain yield (GY) under three approaches. The top left panel shows the proportion of total variance explained by environment (green), genotype (orange), GxE (purple), and residual (pink) for the </w:t>
      </w:r>
      <w:r w:rsidR="007B1611" w:rsidRPr="001673CE">
        <w:rPr>
          <w:rFonts w:ascii="Arial" w:hAnsi="Arial" w:cs="Arial"/>
          <w:iCs/>
          <w:sz w:val="16"/>
          <w:szCs w:val="16"/>
        </w:rPr>
        <w:t xml:space="preserve">baseline, pre-adjusted, and reaction norm models. Black diamonds denote genetic repeatability for each approach. The top right panel </w:t>
      </w:r>
      <w:r w:rsidR="00F66749" w:rsidRPr="001673CE">
        <w:rPr>
          <w:rFonts w:ascii="Arial" w:hAnsi="Arial" w:cs="Arial"/>
          <w:iCs/>
          <w:sz w:val="16"/>
          <w:szCs w:val="16"/>
        </w:rPr>
        <w:t>shows reaction norm slopes of individual genotypes’ GY responses to the drought susceptibility index (DSI)</w:t>
      </w:r>
      <w:r w:rsidR="00F05FB0" w:rsidRPr="001673CE">
        <w:rPr>
          <w:rFonts w:ascii="Arial" w:hAnsi="Arial" w:cs="Arial"/>
          <w:iCs/>
          <w:sz w:val="16"/>
          <w:szCs w:val="16"/>
        </w:rPr>
        <w:t>, with 5 random genotypes highlighted, with points corresponding to within-environment performance.</w:t>
      </w:r>
      <w:r w:rsidR="00706F88" w:rsidRPr="001673CE">
        <w:rPr>
          <w:rFonts w:ascii="Arial" w:hAnsi="Arial" w:cs="Arial"/>
          <w:iCs/>
          <w:sz w:val="16"/>
          <w:szCs w:val="16"/>
        </w:rPr>
        <w:t xml:space="preserve"> The bottom panels show Manhattan plots of -log</w:t>
      </w:r>
      <w:r w:rsidR="00706F88" w:rsidRPr="001673CE">
        <w:rPr>
          <w:rFonts w:ascii="Arial" w:hAnsi="Arial" w:cs="Arial"/>
          <w:iCs/>
          <w:sz w:val="16"/>
          <w:szCs w:val="16"/>
          <w:vertAlign w:val="subscript"/>
        </w:rPr>
        <w:t>10</w:t>
      </w:r>
      <w:r w:rsidR="00706F88" w:rsidRPr="001673CE">
        <w:rPr>
          <w:rFonts w:ascii="Arial" w:hAnsi="Arial" w:cs="Arial"/>
          <w:iCs/>
          <w:sz w:val="16"/>
          <w:szCs w:val="16"/>
        </w:rPr>
        <w:t>(p) from BLINK GWAS on BLUPs derived from unadjusted (</w:t>
      </w:r>
      <w:r w:rsidR="00B92FBD" w:rsidRPr="001673CE">
        <w:rPr>
          <w:rFonts w:ascii="Arial" w:hAnsi="Arial" w:cs="Arial"/>
          <w:iCs/>
          <w:sz w:val="16"/>
          <w:szCs w:val="16"/>
        </w:rPr>
        <w:t xml:space="preserve">bottom-left), pre-adjusted (bottom-middle), and reaction norm (bottom-right) models. Red circles mark </w:t>
      </w:r>
      <w:r w:rsidR="00213FB7" w:rsidRPr="001673CE">
        <w:rPr>
          <w:rFonts w:ascii="Arial" w:hAnsi="Arial" w:cs="Arial"/>
          <w:iCs/>
          <w:sz w:val="16"/>
          <w:szCs w:val="16"/>
        </w:rPr>
        <w:t>significant loci discussed in text body</w:t>
      </w:r>
      <w:r w:rsidR="00AD0D14" w:rsidRPr="001673CE">
        <w:rPr>
          <w:rFonts w:ascii="Arial" w:hAnsi="Arial" w:cs="Arial"/>
          <w:iCs/>
          <w:sz w:val="16"/>
          <w:szCs w:val="16"/>
        </w:rPr>
        <w:t>, illustrating how drought correction shifts association signal strength and ranking.</w:t>
      </w:r>
    </w:p>
    <w:p w14:paraId="77AA6CD1" w14:textId="684BDF57" w:rsidR="00A8552B" w:rsidRDefault="00A8552B" w:rsidP="00277805">
      <w:pPr>
        <w:spacing w:line="240" w:lineRule="auto"/>
        <w:rPr>
          <w:rFonts w:ascii="Arial" w:hAnsi="Arial" w:cs="Arial"/>
          <w:iCs/>
          <w:sz w:val="22"/>
          <w:szCs w:val="22"/>
        </w:rPr>
      </w:pPr>
    </w:p>
    <w:p w14:paraId="684CE075" w14:textId="36D8EC86" w:rsidR="00A8552B" w:rsidRDefault="00C469D6" w:rsidP="00C469D6">
      <w:pPr>
        <w:rPr>
          <w:rFonts w:ascii="Arial" w:hAnsi="Arial" w:cs="Arial"/>
          <w:iCs/>
          <w:sz w:val="22"/>
          <w:szCs w:val="22"/>
        </w:rPr>
      </w:pPr>
      <w:r>
        <w:rPr>
          <w:noProof/>
        </w:rPr>
        <w:lastRenderedPageBreak/>
        <w:drawing>
          <wp:inline distT="0" distB="0" distL="0" distR="0" wp14:anchorId="2B54205C" wp14:editId="394E6430">
            <wp:extent cx="3200400" cy="3200400"/>
            <wp:effectExtent l="0" t="0" r="0" b="0"/>
            <wp:docPr id="876080276"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0276" name="Picture 4" descr="A graph of different colored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r w:rsidR="004F4F2C">
        <w:rPr>
          <w:noProof/>
        </w:rPr>
        <w:drawing>
          <wp:inline distT="0" distB="0" distL="0" distR="0" wp14:anchorId="0212E3B4" wp14:editId="0F1C8152">
            <wp:extent cx="3200400" cy="3200400"/>
            <wp:effectExtent l="0" t="0" r="0" b="0"/>
            <wp:docPr id="923816786" name="Picture 3"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16786" name="Picture 3" descr="A graph of lines and dot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50F35BA4" w14:textId="45DDE941" w:rsidR="00A96A70" w:rsidRDefault="00A96A70" w:rsidP="00686D8A">
      <w:pPr>
        <w:spacing w:line="240" w:lineRule="auto"/>
        <w:jc w:val="center"/>
        <w:rPr>
          <w:rFonts w:ascii="Arial" w:hAnsi="Arial" w:cs="Arial"/>
          <w:iCs/>
          <w:sz w:val="22"/>
          <w:szCs w:val="22"/>
        </w:rPr>
      </w:pPr>
      <w:r>
        <w:rPr>
          <w:noProof/>
        </w:rPr>
        <w:drawing>
          <wp:inline distT="0" distB="0" distL="0" distR="0" wp14:anchorId="6D4A4272" wp14:editId="36906608">
            <wp:extent cx="6130238" cy="2057400"/>
            <wp:effectExtent l="0" t="0" r="4445" b="0"/>
            <wp:docPr id="19600672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67270" name="Picture 1" descr="A screenshot of a graph&#10;&#10;AI-generated content may be incorrect."/>
                    <pic:cNvPicPr/>
                  </pic:nvPicPr>
                  <pic:blipFill>
                    <a:blip r:embed="rId13"/>
                    <a:stretch>
                      <a:fillRect/>
                    </a:stretch>
                  </pic:blipFill>
                  <pic:spPr>
                    <a:xfrm>
                      <a:off x="0" y="0"/>
                      <a:ext cx="6130238" cy="2057400"/>
                    </a:xfrm>
                    <a:prstGeom prst="rect">
                      <a:avLst/>
                    </a:prstGeom>
                  </pic:spPr>
                </pic:pic>
              </a:graphicData>
            </a:graphic>
          </wp:inline>
        </w:drawing>
      </w:r>
    </w:p>
    <w:p w14:paraId="4FB971F8" w14:textId="67F489B9" w:rsidR="00C469D6" w:rsidRPr="001673CE" w:rsidRDefault="00C469D6" w:rsidP="00C469D6">
      <w:pPr>
        <w:spacing w:line="240" w:lineRule="auto"/>
        <w:rPr>
          <w:rFonts w:ascii="Arial" w:hAnsi="Arial" w:cs="Arial"/>
          <w:iCs/>
          <w:sz w:val="16"/>
          <w:szCs w:val="16"/>
        </w:rPr>
      </w:pPr>
      <w:r w:rsidRPr="001673CE">
        <w:rPr>
          <w:rFonts w:ascii="Arial" w:hAnsi="Arial" w:cs="Arial"/>
          <w:b/>
          <w:bCs/>
          <w:iCs/>
          <w:sz w:val="16"/>
          <w:szCs w:val="16"/>
        </w:rPr>
        <w:t xml:space="preserve">Figure 4. </w:t>
      </w:r>
      <w:r w:rsidRPr="001673CE">
        <w:rPr>
          <w:rFonts w:ascii="Arial" w:hAnsi="Arial" w:cs="Arial"/>
          <w:iCs/>
          <w:sz w:val="16"/>
          <w:szCs w:val="16"/>
        </w:rPr>
        <w:t>Multi-panel summary of modeling outcomes for plant height (PH) under three approaches. The top left panel shows the proportion of total variance explained by environment (green), genotype (orange), GxE (purple), and residual (pink) for the baseline, pre-adjusted, and reaction norm models. Black diamonds denote genetic repeatability for each approach. The top right panel shows reaction norm slopes of individual genotypes’ PH responses to the drought susceptibility index (DSI), with 5 random genotypes highlighted, with points corresponding to within-environment performance. The bottom panels show Manhattan plots of -log</w:t>
      </w:r>
      <w:r w:rsidRPr="001673CE">
        <w:rPr>
          <w:rFonts w:ascii="Arial" w:hAnsi="Arial" w:cs="Arial"/>
          <w:iCs/>
          <w:sz w:val="16"/>
          <w:szCs w:val="16"/>
          <w:vertAlign w:val="subscript"/>
        </w:rPr>
        <w:t>10</w:t>
      </w:r>
      <w:r w:rsidRPr="001673CE">
        <w:rPr>
          <w:rFonts w:ascii="Arial" w:hAnsi="Arial" w:cs="Arial"/>
          <w:iCs/>
          <w:sz w:val="16"/>
          <w:szCs w:val="16"/>
        </w:rPr>
        <w:t>(p) from BLINK GWAS on BLUPs derived from unadjusted (bottom-left), pre-adjusted (bottom-middle), and reaction norm (bottom-right) models. Red circles mark significant loci discussed in text body, illustrating how drought correction shifts association signal strength and ranking.</w:t>
      </w:r>
    </w:p>
    <w:p w14:paraId="241540B2" w14:textId="4805C1C6" w:rsidR="00C469D6" w:rsidRDefault="00B224BE" w:rsidP="00686D8A">
      <w:pPr>
        <w:spacing w:line="240" w:lineRule="auto"/>
        <w:jc w:val="center"/>
        <w:rPr>
          <w:rFonts w:ascii="Arial" w:hAnsi="Arial" w:cs="Arial"/>
          <w:iCs/>
          <w:sz w:val="22"/>
          <w:szCs w:val="22"/>
        </w:rPr>
      </w:pPr>
      <w:r>
        <w:rPr>
          <w:noProof/>
        </w:rPr>
        <w:lastRenderedPageBreak/>
        <w:drawing>
          <wp:inline distT="0" distB="0" distL="0" distR="0" wp14:anchorId="67181565" wp14:editId="46F4D2F9">
            <wp:extent cx="3200400" cy="3200400"/>
            <wp:effectExtent l="0" t="0" r="0" b="0"/>
            <wp:docPr id="951330931"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30931" name="Picture 5" descr="A graph of different colored ba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r>
        <w:rPr>
          <w:noProof/>
        </w:rPr>
        <w:drawing>
          <wp:inline distT="0" distB="0" distL="0" distR="0" wp14:anchorId="18DDE72D" wp14:editId="427F458B">
            <wp:extent cx="3200400" cy="3200400"/>
            <wp:effectExtent l="0" t="0" r="0" b="0"/>
            <wp:docPr id="689765923" name="Picture 6"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5923" name="Picture 6" descr="A graph of lines and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0B758A5B" w14:textId="282C826A" w:rsidR="00A96A70" w:rsidRDefault="00B923C3" w:rsidP="00686D8A">
      <w:pPr>
        <w:spacing w:line="240" w:lineRule="auto"/>
        <w:jc w:val="center"/>
        <w:rPr>
          <w:rFonts w:ascii="Arial" w:hAnsi="Arial" w:cs="Arial"/>
          <w:iCs/>
          <w:sz w:val="22"/>
          <w:szCs w:val="22"/>
        </w:rPr>
      </w:pPr>
      <w:r>
        <w:rPr>
          <w:noProof/>
        </w:rPr>
        <w:drawing>
          <wp:inline distT="0" distB="0" distL="0" distR="0" wp14:anchorId="4E93EC3B" wp14:editId="5E491B77">
            <wp:extent cx="6186931" cy="2057400"/>
            <wp:effectExtent l="0" t="0" r="4445" b="0"/>
            <wp:docPr id="19417396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39648" name="Picture 1" descr="A screenshot of a graph&#10;&#10;AI-generated content may be incorrect."/>
                    <pic:cNvPicPr/>
                  </pic:nvPicPr>
                  <pic:blipFill>
                    <a:blip r:embed="rId16"/>
                    <a:stretch>
                      <a:fillRect/>
                    </a:stretch>
                  </pic:blipFill>
                  <pic:spPr>
                    <a:xfrm>
                      <a:off x="0" y="0"/>
                      <a:ext cx="6186931" cy="2057400"/>
                    </a:xfrm>
                    <a:prstGeom prst="rect">
                      <a:avLst/>
                    </a:prstGeom>
                  </pic:spPr>
                </pic:pic>
              </a:graphicData>
            </a:graphic>
          </wp:inline>
        </w:drawing>
      </w:r>
    </w:p>
    <w:p w14:paraId="5AA9DF35" w14:textId="1A6C2976" w:rsidR="00B224BE" w:rsidRPr="001673CE" w:rsidRDefault="00B224BE" w:rsidP="00B224BE">
      <w:pPr>
        <w:spacing w:line="240" w:lineRule="auto"/>
        <w:rPr>
          <w:rFonts w:ascii="Arial" w:hAnsi="Arial" w:cs="Arial"/>
          <w:iCs/>
          <w:sz w:val="16"/>
          <w:szCs w:val="16"/>
        </w:rPr>
      </w:pPr>
      <w:r w:rsidRPr="001673CE">
        <w:rPr>
          <w:rFonts w:ascii="Arial" w:hAnsi="Arial" w:cs="Arial"/>
          <w:b/>
          <w:bCs/>
          <w:iCs/>
          <w:sz w:val="16"/>
          <w:szCs w:val="16"/>
        </w:rPr>
        <w:t xml:space="preserve">Figure 5. </w:t>
      </w:r>
      <w:r w:rsidRPr="001673CE">
        <w:rPr>
          <w:rFonts w:ascii="Arial" w:hAnsi="Arial" w:cs="Arial"/>
          <w:iCs/>
          <w:sz w:val="16"/>
          <w:szCs w:val="16"/>
        </w:rPr>
        <w:t>Multi-panel summary of modeling outcomes for senescence date (SD) under three approaches. The top left panel shows the proportion of total variance explained by environment (green), genotype (orange), GxE (purple), and residual (pink) for the baseline, pre-adjusted, and reaction norm models. Black diamonds denote genetic repeatability for each approach. The top right panel shows reaction norm slopes of individual genotypes’ SD responses to the drought susceptibility index (DSI), with 5 random genotypes highlighted, with points corresponding to within-environment performance. The bottom panels show Manhattan plots of -log</w:t>
      </w:r>
      <w:r w:rsidRPr="001673CE">
        <w:rPr>
          <w:rFonts w:ascii="Arial" w:hAnsi="Arial" w:cs="Arial"/>
          <w:iCs/>
          <w:sz w:val="16"/>
          <w:szCs w:val="16"/>
          <w:vertAlign w:val="subscript"/>
        </w:rPr>
        <w:t>10</w:t>
      </w:r>
      <w:r w:rsidRPr="001673CE">
        <w:rPr>
          <w:rFonts w:ascii="Arial" w:hAnsi="Arial" w:cs="Arial"/>
          <w:iCs/>
          <w:sz w:val="16"/>
          <w:szCs w:val="16"/>
        </w:rPr>
        <w:t>(p) from BLINK GWAS on BLUPs derived from unadjusted (bottom-left), pre-adjusted (bottom-middle), and reaction norm (bottom-right) models. Red circles mark significant loci discussed in text body, illustrating how drought correction shifts association signal strength and ranking.</w:t>
      </w:r>
    </w:p>
    <w:p w14:paraId="174D4F5C" w14:textId="77777777" w:rsidR="00B224BE" w:rsidRDefault="00B224BE" w:rsidP="00686D8A">
      <w:pPr>
        <w:spacing w:line="240" w:lineRule="auto"/>
        <w:jc w:val="center"/>
        <w:rPr>
          <w:rFonts w:ascii="Arial" w:hAnsi="Arial" w:cs="Arial"/>
          <w:iCs/>
          <w:sz w:val="22"/>
          <w:szCs w:val="22"/>
        </w:rPr>
      </w:pPr>
    </w:p>
    <w:p w14:paraId="4FE8C894" w14:textId="557AE931" w:rsidR="000C77A7" w:rsidRDefault="00CE3AFE" w:rsidP="00CE3AFE">
      <w:pPr>
        <w:spacing w:line="240" w:lineRule="auto"/>
        <w:jc w:val="center"/>
        <w:rPr>
          <w:rFonts w:ascii="Arial" w:hAnsi="Arial" w:cs="Arial"/>
          <w:iCs/>
          <w:sz w:val="22"/>
          <w:szCs w:val="22"/>
        </w:rPr>
      </w:pPr>
      <w:r>
        <w:rPr>
          <w:noProof/>
        </w:rPr>
        <w:lastRenderedPageBreak/>
        <w:drawing>
          <wp:inline distT="0" distB="0" distL="0" distR="0" wp14:anchorId="133792BF" wp14:editId="34980497">
            <wp:extent cx="3200400" cy="3200400"/>
            <wp:effectExtent l="0" t="0" r="0" b="0"/>
            <wp:docPr id="1517665811" name="Picture 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65811" name="Picture 8" descr="A graph of different colored squar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r>
        <w:rPr>
          <w:noProof/>
        </w:rPr>
        <w:drawing>
          <wp:inline distT="0" distB="0" distL="0" distR="0" wp14:anchorId="1D5B0084" wp14:editId="415B717B">
            <wp:extent cx="3200400" cy="3200400"/>
            <wp:effectExtent l="0" t="0" r="0" b="0"/>
            <wp:docPr id="1146479778" name="Picture 7"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79778" name="Picture 7" descr="A graph with lines and dot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338D2CE9" w14:textId="3E6072F5" w:rsidR="00C107E0" w:rsidRDefault="00C107E0" w:rsidP="00686D8A">
      <w:pPr>
        <w:spacing w:line="240" w:lineRule="auto"/>
        <w:jc w:val="center"/>
        <w:rPr>
          <w:rFonts w:ascii="Arial" w:hAnsi="Arial" w:cs="Arial"/>
          <w:iCs/>
          <w:sz w:val="22"/>
          <w:szCs w:val="22"/>
        </w:rPr>
      </w:pPr>
      <w:r>
        <w:rPr>
          <w:noProof/>
        </w:rPr>
        <w:drawing>
          <wp:inline distT="0" distB="0" distL="0" distR="0" wp14:anchorId="1526E69D" wp14:editId="58807016">
            <wp:extent cx="6168529" cy="2057400"/>
            <wp:effectExtent l="0" t="0" r="3810" b="0"/>
            <wp:docPr id="549481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8178" name="Picture 1" descr="A screenshot of a graph&#10;&#10;AI-generated content may be incorrect."/>
                    <pic:cNvPicPr/>
                  </pic:nvPicPr>
                  <pic:blipFill>
                    <a:blip r:embed="rId19"/>
                    <a:stretch>
                      <a:fillRect/>
                    </a:stretch>
                  </pic:blipFill>
                  <pic:spPr>
                    <a:xfrm>
                      <a:off x="0" y="0"/>
                      <a:ext cx="6168529" cy="2057400"/>
                    </a:xfrm>
                    <a:prstGeom prst="rect">
                      <a:avLst/>
                    </a:prstGeom>
                  </pic:spPr>
                </pic:pic>
              </a:graphicData>
            </a:graphic>
          </wp:inline>
        </w:drawing>
      </w:r>
    </w:p>
    <w:p w14:paraId="7B21D0DB" w14:textId="6740F09C" w:rsidR="00CE3AFE" w:rsidRPr="001673CE" w:rsidRDefault="00CE3AFE" w:rsidP="00CE3AFE">
      <w:pPr>
        <w:spacing w:line="240" w:lineRule="auto"/>
        <w:rPr>
          <w:rFonts w:ascii="Arial" w:hAnsi="Arial" w:cs="Arial"/>
          <w:iCs/>
          <w:sz w:val="16"/>
          <w:szCs w:val="16"/>
        </w:rPr>
      </w:pPr>
      <w:r w:rsidRPr="001673CE">
        <w:rPr>
          <w:rFonts w:ascii="Arial" w:hAnsi="Arial" w:cs="Arial"/>
          <w:b/>
          <w:bCs/>
          <w:iCs/>
          <w:sz w:val="16"/>
          <w:szCs w:val="16"/>
        </w:rPr>
        <w:t xml:space="preserve">Figure 6. </w:t>
      </w:r>
      <w:r w:rsidRPr="001673CE">
        <w:rPr>
          <w:rFonts w:ascii="Arial" w:hAnsi="Arial" w:cs="Arial"/>
          <w:iCs/>
          <w:sz w:val="16"/>
          <w:szCs w:val="16"/>
        </w:rPr>
        <w:t>Multi-panel summary of modeling outcomes for normalized difference vegetation index (NDVI) under three approaches. The top left panel shows the proportion of total variance explained by environment (green), genotype (orange), GxE (purple), and residual (pink) for the baseline, pre-adjusted, and reaction norm models. Black diamonds denote genetic repeatability for each approach. The top right panel shows reaction norm slopes of individual genotypes’ NDVI responses to the drought susceptibility index (DSI), with 5 random genotypes highlighted, with points corresponding to within-environment performance. The bottom panels show Manhattan plots of -log</w:t>
      </w:r>
      <w:r w:rsidRPr="001673CE">
        <w:rPr>
          <w:rFonts w:ascii="Arial" w:hAnsi="Arial" w:cs="Arial"/>
          <w:iCs/>
          <w:sz w:val="16"/>
          <w:szCs w:val="16"/>
          <w:vertAlign w:val="subscript"/>
        </w:rPr>
        <w:t>10</w:t>
      </w:r>
      <w:r w:rsidRPr="001673CE">
        <w:rPr>
          <w:rFonts w:ascii="Arial" w:hAnsi="Arial" w:cs="Arial"/>
          <w:iCs/>
          <w:sz w:val="16"/>
          <w:szCs w:val="16"/>
        </w:rPr>
        <w:t>(p) from BLINK GWAS on BLUPs derived from unadjusted (bottom-left), pre-adjusted (bottom-middle), and reaction norm (bottom-right) models. Red circles mark significant loci discussed in text body, illustrating how drought correction shifts association signal strength and ranking.</w:t>
      </w:r>
    </w:p>
    <w:p w14:paraId="2682FE02" w14:textId="3FB4A26E" w:rsidR="00CE3AFE" w:rsidRDefault="00B1199E" w:rsidP="00B1199E">
      <w:pPr>
        <w:spacing w:line="240" w:lineRule="auto"/>
        <w:rPr>
          <w:rFonts w:ascii="Arial" w:hAnsi="Arial" w:cs="Arial"/>
          <w:iCs/>
          <w:sz w:val="22"/>
          <w:szCs w:val="22"/>
        </w:rPr>
      </w:pPr>
      <w:r>
        <w:rPr>
          <w:noProof/>
        </w:rPr>
        <w:lastRenderedPageBreak/>
        <w:drawing>
          <wp:inline distT="0" distB="0" distL="0" distR="0" wp14:anchorId="4C3D1479" wp14:editId="6BEB152B">
            <wp:extent cx="3200400" cy="3200400"/>
            <wp:effectExtent l="0" t="0" r="0" b="0"/>
            <wp:docPr id="154110320" name="Picture 9"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0320" name="Picture 9" descr="A graph of different colored bar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r>
        <w:rPr>
          <w:noProof/>
        </w:rPr>
        <w:drawing>
          <wp:inline distT="0" distB="0" distL="0" distR="0" wp14:anchorId="4782CBE7" wp14:editId="5694EECE">
            <wp:extent cx="3200400" cy="3200400"/>
            <wp:effectExtent l="0" t="0" r="0" b="0"/>
            <wp:docPr id="408043049" name="Picture 10"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3049" name="Picture 10" descr="A graph of lines and dot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0856CC2C" w14:textId="69B4CC9F" w:rsidR="00643C21" w:rsidRDefault="00643C21" w:rsidP="00686D8A">
      <w:pPr>
        <w:spacing w:line="240" w:lineRule="auto"/>
        <w:jc w:val="center"/>
        <w:rPr>
          <w:rFonts w:ascii="Arial" w:hAnsi="Arial" w:cs="Arial"/>
          <w:iCs/>
          <w:sz w:val="22"/>
          <w:szCs w:val="22"/>
        </w:rPr>
      </w:pPr>
      <w:r>
        <w:rPr>
          <w:noProof/>
        </w:rPr>
        <w:drawing>
          <wp:inline distT="0" distB="0" distL="0" distR="0" wp14:anchorId="581ADFEE" wp14:editId="133EF737">
            <wp:extent cx="6110369" cy="2057400"/>
            <wp:effectExtent l="0" t="0" r="5080" b="0"/>
            <wp:docPr id="8030479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47953" name="Picture 1" descr="A screenshot of a graph&#10;&#10;AI-generated content may be incorrect."/>
                    <pic:cNvPicPr/>
                  </pic:nvPicPr>
                  <pic:blipFill>
                    <a:blip r:embed="rId22"/>
                    <a:stretch>
                      <a:fillRect/>
                    </a:stretch>
                  </pic:blipFill>
                  <pic:spPr>
                    <a:xfrm>
                      <a:off x="0" y="0"/>
                      <a:ext cx="6110369" cy="2057400"/>
                    </a:xfrm>
                    <a:prstGeom prst="rect">
                      <a:avLst/>
                    </a:prstGeom>
                  </pic:spPr>
                </pic:pic>
              </a:graphicData>
            </a:graphic>
          </wp:inline>
        </w:drawing>
      </w:r>
    </w:p>
    <w:p w14:paraId="37CD5D29" w14:textId="27DCA439" w:rsidR="00B1199E" w:rsidRPr="001673CE" w:rsidRDefault="00B1199E" w:rsidP="00B1199E">
      <w:pPr>
        <w:spacing w:line="240" w:lineRule="auto"/>
        <w:rPr>
          <w:rFonts w:ascii="Arial" w:hAnsi="Arial" w:cs="Arial"/>
          <w:iCs/>
          <w:sz w:val="16"/>
          <w:szCs w:val="16"/>
        </w:rPr>
      </w:pPr>
      <w:r w:rsidRPr="001673CE">
        <w:rPr>
          <w:rFonts w:ascii="Arial" w:hAnsi="Arial" w:cs="Arial"/>
          <w:b/>
          <w:bCs/>
          <w:iCs/>
          <w:sz w:val="16"/>
          <w:szCs w:val="16"/>
        </w:rPr>
        <w:t xml:space="preserve">Figure 7. </w:t>
      </w:r>
      <w:r w:rsidRPr="001673CE">
        <w:rPr>
          <w:rFonts w:ascii="Arial" w:hAnsi="Arial" w:cs="Arial"/>
          <w:iCs/>
          <w:sz w:val="16"/>
          <w:szCs w:val="16"/>
        </w:rPr>
        <w:t>Multi-panel summary of modeling outcomes for green reflectance (GR) under three approaches. The top left panel shows the proportion of total variance explained by environment (green), genotype (orange), GxE (purple), and residual (pink) for the baseline, pre-adjusted, and reaction norm models. Black diamonds denote genetic repeatability for each approach. The top right panel shows reaction norm slopes of individual genotypes’ GR responses to the drought susceptibility index (DSI), with 5 random genotypes highlighted, with points corresponding to within-environment performance. The bottom panels show Manhattan plots of -log</w:t>
      </w:r>
      <w:r w:rsidRPr="001673CE">
        <w:rPr>
          <w:rFonts w:ascii="Arial" w:hAnsi="Arial" w:cs="Arial"/>
          <w:iCs/>
          <w:sz w:val="16"/>
          <w:szCs w:val="16"/>
          <w:vertAlign w:val="subscript"/>
        </w:rPr>
        <w:t>10</w:t>
      </w:r>
      <w:r w:rsidRPr="001673CE">
        <w:rPr>
          <w:rFonts w:ascii="Arial" w:hAnsi="Arial" w:cs="Arial"/>
          <w:iCs/>
          <w:sz w:val="16"/>
          <w:szCs w:val="16"/>
        </w:rPr>
        <w:t>(p) from BLINK GWAS on BLUPs derived from unadjusted (bottom-left), pre-adjusted (bottom-middle), and reaction norm (bottom-right) models. Red circles mark significant loci discussed in text body, illustrating how drought correction shifts association signal strength and ranking.</w:t>
      </w:r>
    </w:p>
    <w:p w14:paraId="0AA5A244" w14:textId="7522D956" w:rsidR="00B1199E" w:rsidRDefault="00DF525A" w:rsidP="00686D8A">
      <w:pPr>
        <w:spacing w:line="240" w:lineRule="auto"/>
        <w:jc w:val="center"/>
        <w:rPr>
          <w:rFonts w:ascii="Arial" w:hAnsi="Arial" w:cs="Arial"/>
          <w:iCs/>
          <w:sz w:val="22"/>
          <w:szCs w:val="22"/>
        </w:rPr>
      </w:pPr>
      <w:r>
        <w:rPr>
          <w:noProof/>
        </w:rPr>
        <w:lastRenderedPageBreak/>
        <w:drawing>
          <wp:inline distT="0" distB="0" distL="0" distR="0" wp14:anchorId="1EF75342" wp14:editId="5256EDBC">
            <wp:extent cx="3200400" cy="3200400"/>
            <wp:effectExtent l="0" t="0" r="0" b="0"/>
            <wp:docPr id="169608180" name="Picture 1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8180" name="Picture 12" descr="A graph of different colored ba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r>
        <w:rPr>
          <w:noProof/>
        </w:rPr>
        <w:drawing>
          <wp:inline distT="0" distB="0" distL="0" distR="0" wp14:anchorId="4A873C9C" wp14:editId="4704177F">
            <wp:extent cx="3200400" cy="3200400"/>
            <wp:effectExtent l="0" t="0" r="0" b="0"/>
            <wp:docPr id="751538363" name="Picture 11"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38363" name="Picture 11" descr="A graph of lines and dot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72F8A6B9" w14:textId="1A94D6C1" w:rsidR="00550BD0" w:rsidRDefault="00550BD0" w:rsidP="00686D8A">
      <w:pPr>
        <w:spacing w:line="240" w:lineRule="auto"/>
        <w:jc w:val="center"/>
        <w:rPr>
          <w:rFonts w:ascii="Arial" w:hAnsi="Arial" w:cs="Arial"/>
          <w:iCs/>
          <w:sz w:val="22"/>
          <w:szCs w:val="22"/>
        </w:rPr>
      </w:pPr>
      <w:r>
        <w:rPr>
          <w:noProof/>
        </w:rPr>
        <w:drawing>
          <wp:inline distT="0" distB="0" distL="0" distR="0" wp14:anchorId="5AFF76C3" wp14:editId="1FA5AF2C">
            <wp:extent cx="6133863" cy="2057400"/>
            <wp:effectExtent l="0" t="0" r="635" b="0"/>
            <wp:docPr id="201801218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2182" name="Picture 1" descr="A screen shot of a graph&#10;&#10;AI-generated content may be incorrect."/>
                    <pic:cNvPicPr/>
                  </pic:nvPicPr>
                  <pic:blipFill>
                    <a:blip r:embed="rId25"/>
                    <a:stretch>
                      <a:fillRect/>
                    </a:stretch>
                  </pic:blipFill>
                  <pic:spPr>
                    <a:xfrm>
                      <a:off x="0" y="0"/>
                      <a:ext cx="6133863" cy="2057400"/>
                    </a:xfrm>
                    <a:prstGeom prst="rect">
                      <a:avLst/>
                    </a:prstGeom>
                  </pic:spPr>
                </pic:pic>
              </a:graphicData>
            </a:graphic>
          </wp:inline>
        </w:drawing>
      </w:r>
    </w:p>
    <w:p w14:paraId="7ADF0DB1" w14:textId="5DACBE0E" w:rsidR="00DF525A" w:rsidRPr="001673CE" w:rsidRDefault="00DF525A" w:rsidP="00DF525A">
      <w:pPr>
        <w:spacing w:line="240" w:lineRule="auto"/>
        <w:rPr>
          <w:rFonts w:ascii="Arial" w:hAnsi="Arial" w:cs="Arial"/>
          <w:iCs/>
          <w:sz w:val="16"/>
          <w:szCs w:val="16"/>
        </w:rPr>
      </w:pPr>
      <w:r w:rsidRPr="001673CE">
        <w:rPr>
          <w:rFonts w:ascii="Arial" w:hAnsi="Arial" w:cs="Arial"/>
          <w:b/>
          <w:bCs/>
          <w:iCs/>
          <w:sz w:val="16"/>
          <w:szCs w:val="16"/>
        </w:rPr>
        <w:t xml:space="preserve">Figure 8. </w:t>
      </w:r>
      <w:r w:rsidRPr="001673CE">
        <w:rPr>
          <w:rFonts w:ascii="Arial" w:hAnsi="Arial" w:cs="Arial"/>
          <w:iCs/>
          <w:sz w:val="16"/>
          <w:szCs w:val="16"/>
        </w:rPr>
        <w:t>Multi-panel summary of modeling outcomes for thousand kernel weight (TKW) under three approaches. The top left panel shows the proportion of total variance explained by environment (green), genotype (orange), GxE (purple), and residual (pink) for the baseline, pre-adjusted, and reaction norm models. Black diamonds denote genetic repeatability for each approach. The top right panel shows reaction norm slopes of individual genotypes’ TKW responses to the drought susceptibility index (DSI), with 5 random genotypes highlighted, with points corresponding to within-environment performance. The bottom panels show Manhattan plots of -log</w:t>
      </w:r>
      <w:r w:rsidRPr="001673CE">
        <w:rPr>
          <w:rFonts w:ascii="Arial" w:hAnsi="Arial" w:cs="Arial"/>
          <w:iCs/>
          <w:sz w:val="16"/>
          <w:szCs w:val="16"/>
          <w:vertAlign w:val="subscript"/>
        </w:rPr>
        <w:t>10</w:t>
      </w:r>
      <w:r w:rsidRPr="001673CE">
        <w:rPr>
          <w:rFonts w:ascii="Arial" w:hAnsi="Arial" w:cs="Arial"/>
          <w:iCs/>
          <w:sz w:val="16"/>
          <w:szCs w:val="16"/>
        </w:rPr>
        <w:t>(p) from BLINK GWAS on BLUPs derived from unadjusted (bottom-left), pre-adjusted (bottom-middle), and reaction norm (bottom-right) models. Red circles mark significant loci discussed in text body, illustrating how drought correction shifts association signal strength and ranking.</w:t>
      </w:r>
    </w:p>
    <w:p w14:paraId="62CB1ADF" w14:textId="30F605DB" w:rsidR="00DF525A" w:rsidRDefault="00596C1A" w:rsidP="00596C1A">
      <w:pPr>
        <w:spacing w:line="240" w:lineRule="auto"/>
        <w:rPr>
          <w:rFonts w:ascii="Arial" w:hAnsi="Arial" w:cs="Arial"/>
          <w:iCs/>
          <w:sz w:val="22"/>
          <w:szCs w:val="22"/>
        </w:rPr>
      </w:pPr>
      <w:r>
        <w:rPr>
          <w:noProof/>
        </w:rPr>
        <w:lastRenderedPageBreak/>
        <w:drawing>
          <wp:inline distT="0" distB="0" distL="0" distR="0" wp14:anchorId="43DE8D4D" wp14:editId="4C6824C1">
            <wp:extent cx="3200400" cy="3200400"/>
            <wp:effectExtent l="0" t="0" r="0" b="0"/>
            <wp:docPr id="899851970" name="Picture 1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51970" name="Picture 13" descr="A graph of different colored bar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r>
        <w:rPr>
          <w:noProof/>
        </w:rPr>
        <w:drawing>
          <wp:inline distT="0" distB="0" distL="0" distR="0" wp14:anchorId="323C348B" wp14:editId="65047314">
            <wp:extent cx="3200400" cy="3200400"/>
            <wp:effectExtent l="0" t="0" r="0" b="0"/>
            <wp:docPr id="525576626" name="Picture 14"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76626" name="Picture 14" descr="A graph of lines and dot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7CD8AD85" w14:textId="79776CE5" w:rsidR="000C77A7" w:rsidRDefault="00C556E0" w:rsidP="00596C1A">
      <w:pPr>
        <w:spacing w:line="240" w:lineRule="auto"/>
        <w:jc w:val="center"/>
        <w:rPr>
          <w:rFonts w:ascii="Arial" w:hAnsi="Arial" w:cs="Arial"/>
          <w:iCs/>
          <w:sz w:val="22"/>
          <w:szCs w:val="22"/>
        </w:rPr>
      </w:pPr>
      <w:r>
        <w:rPr>
          <w:noProof/>
        </w:rPr>
        <w:drawing>
          <wp:inline distT="0" distB="0" distL="0" distR="0" wp14:anchorId="1A4E365F" wp14:editId="67C85AF0">
            <wp:extent cx="6400800" cy="2146935"/>
            <wp:effectExtent l="0" t="0" r="0" b="5715"/>
            <wp:docPr id="10450973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9733" name="Picture 1" descr="A screen shot of a graph&#10;&#10;AI-generated content may be incorrect."/>
                    <pic:cNvPicPr/>
                  </pic:nvPicPr>
                  <pic:blipFill>
                    <a:blip r:embed="rId28"/>
                    <a:stretch>
                      <a:fillRect/>
                    </a:stretch>
                  </pic:blipFill>
                  <pic:spPr>
                    <a:xfrm>
                      <a:off x="0" y="0"/>
                      <a:ext cx="6400800" cy="2146935"/>
                    </a:xfrm>
                    <a:prstGeom prst="rect">
                      <a:avLst/>
                    </a:prstGeom>
                  </pic:spPr>
                </pic:pic>
              </a:graphicData>
            </a:graphic>
          </wp:inline>
        </w:drawing>
      </w:r>
    </w:p>
    <w:p w14:paraId="0D403780" w14:textId="3F4F6C8F" w:rsidR="00596C1A" w:rsidRPr="001673CE" w:rsidRDefault="00596C1A" w:rsidP="00596C1A">
      <w:pPr>
        <w:spacing w:line="240" w:lineRule="auto"/>
        <w:rPr>
          <w:rFonts w:ascii="Arial" w:hAnsi="Arial" w:cs="Arial"/>
          <w:iCs/>
          <w:sz w:val="16"/>
          <w:szCs w:val="16"/>
        </w:rPr>
      </w:pPr>
      <w:r w:rsidRPr="001673CE">
        <w:rPr>
          <w:rFonts w:ascii="Arial" w:hAnsi="Arial" w:cs="Arial"/>
          <w:b/>
          <w:bCs/>
          <w:iCs/>
          <w:sz w:val="16"/>
          <w:szCs w:val="16"/>
        </w:rPr>
        <w:t xml:space="preserve">Figure 9. </w:t>
      </w:r>
      <w:r w:rsidRPr="001673CE">
        <w:rPr>
          <w:rFonts w:ascii="Arial" w:hAnsi="Arial" w:cs="Arial"/>
          <w:iCs/>
          <w:sz w:val="16"/>
          <w:szCs w:val="16"/>
        </w:rPr>
        <w:t>Multi-panel summary of modeling outcomes for test weight (TW) under three approaches. The top left panel shows the proportion of total variance explained by environment (green), genotype (orange), GxE (purple), and residual (pink) for the baseline, pre-adjusted, and reaction norm models. Black diamonds denote genetic repeatability for each approach. The top right panel shows reaction norm slopes of individual genotypes’ TW responses to the drought susceptibility index (DSI), with 5 random genotypes highlighted, with points corresponding to within-environment performance. The bottom panels show Manhattan plots of -log</w:t>
      </w:r>
      <w:r w:rsidRPr="001673CE">
        <w:rPr>
          <w:rFonts w:ascii="Arial" w:hAnsi="Arial" w:cs="Arial"/>
          <w:iCs/>
          <w:sz w:val="16"/>
          <w:szCs w:val="16"/>
          <w:vertAlign w:val="subscript"/>
        </w:rPr>
        <w:t>10</w:t>
      </w:r>
      <w:r w:rsidRPr="001673CE">
        <w:rPr>
          <w:rFonts w:ascii="Arial" w:hAnsi="Arial" w:cs="Arial"/>
          <w:iCs/>
          <w:sz w:val="16"/>
          <w:szCs w:val="16"/>
        </w:rPr>
        <w:t>(p) from BLINK GWAS on BLUPs derived from unadjusted (bottom-left), pre-adjusted (bottom-middle), and reaction norm (bottom-right) models. Red circles mark significant loci discussed in text body, illustrating how drought correction shifts association signal strength and ranking.</w:t>
      </w:r>
    </w:p>
    <w:p w14:paraId="35D95500" w14:textId="77777777" w:rsidR="00C107E0" w:rsidRPr="001673CE" w:rsidRDefault="00C107E0" w:rsidP="00686D8A">
      <w:pPr>
        <w:spacing w:line="240" w:lineRule="auto"/>
        <w:jc w:val="center"/>
        <w:rPr>
          <w:rFonts w:ascii="Arial" w:hAnsi="Arial" w:cs="Arial"/>
          <w:iCs/>
          <w:sz w:val="16"/>
          <w:szCs w:val="16"/>
        </w:rPr>
      </w:pPr>
    </w:p>
    <w:p w14:paraId="60F27F15" w14:textId="77777777" w:rsidR="00B923C3" w:rsidRPr="00894E04" w:rsidRDefault="00B923C3" w:rsidP="00686D8A">
      <w:pPr>
        <w:spacing w:line="240" w:lineRule="auto"/>
        <w:jc w:val="center"/>
        <w:rPr>
          <w:rFonts w:ascii="Arial" w:hAnsi="Arial" w:cs="Arial"/>
          <w:iCs/>
          <w:sz w:val="22"/>
          <w:szCs w:val="22"/>
        </w:rPr>
      </w:pPr>
    </w:p>
    <w:p w14:paraId="2454D108" w14:textId="77777777" w:rsidR="00277805" w:rsidRPr="00B21D7C" w:rsidRDefault="00277805">
      <w:pPr>
        <w:rPr>
          <w:rFonts w:ascii="Arial" w:hAnsi="Arial" w:cs="Arial"/>
          <w:sz w:val="16"/>
          <w:szCs w:val="16"/>
        </w:rPr>
      </w:pPr>
    </w:p>
    <w:p w14:paraId="0FB8665D" w14:textId="77777777" w:rsidR="00277805" w:rsidRDefault="00277805">
      <w:pPr>
        <w:rPr>
          <w:rFonts w:ascii="Arial" w:hAnsi="Arial" w:cs="Arial"/>
          <w:b/>
          <w:bCs/>
          <w:sz w:val="16"/>
          <w:szCs w:val="16"/>
        </w:rPr>
      </w:pPr>
      <w:r>
        <w:rPr>
          <w:rFonts w:ascii="Arial" w:hAnsi="Arial" w:cs="Arial"/>
          <w:b/>
          <w:bCs/>
          <w:sz w:val="16"/>
          <w:szCs w:val="16"/>
        </w:rPr>
        <w:br w:type="page"/>
      </w:r>
    </w:p>
    <w:p w14:paraId="5D304C0F" w14:textId="04B786BB" w:rsidR="001C175C" w:rsidRDefault="001C175C" w:rsidP="00894E04">
      <w:pPr>
        <w:spacing w:line="240" w:lineRule="auto"/>
        <w:rPr>
          <w:rFonts w:ascii="Arial" w:hAnsi="Arial" w:cs="Arial"/>
          <w:sz w:val="22"/>
          <w:szCs w:val="22"/>
        </w:rPr>
      </w:pPr>
      <w:r w:rsidRPr="001C175C">
        <w:rPr>
          <w:rFonts w:ascii="Arial" w:hAnsi="Arial" w:cs="Arial"/>
          <w:b/>
          <w:bCs/>
          <w:sz w:val="16"/>
          <w:szCs w:val="16"/>
        </w:rPr>
        <w:lastRenderedPageBreak/>
        <w:t>Table </w:t>
      </w:r>
      <w:r w:rsidR="00A72ED5">
        <w:rPr>
          <w:rFonts w:ascii="Arial" w:hAnsi="Arial" w:cs="Arial"/>
          <w:b/>
          <w:bCs/>
          <w:sz w:val="16"/>
          <w:szCs w:val="16"/>
        </w:rPr>
        <w:t>3</w:t>
      </w:r>
      <w:r w:rsidRPr="001C175C">
        <w:rPr>
          <w:rFonts w:ascii="Arial" w:hAnsi="Arial" w:cs="Arial"/>
          <w:sz w:val="16"/>
          <w:szCs w:val="16"/>
        </w:rPr>
        <w:t xml:space="preserve">. </w:t>
      </w:r>
      <w:r w:rsidR="005917CA">
        <w:rPr>
          <w:rFonts w:ascii="Arial" w:hAnsi="Arial" w:cs="Arial"/>
          <w:sz w:val="16"/>
          <w:szCs w:val="16"/>
        </w:rPr>
        <w:t>BLINK GWAS association summary across</w:t>
      </w:r>
      <w:r w:rsidRPr="001C175C">
        <w:rPr>
          <w:rFonts w:ascii="Arial" w:hAnsi="Arial" w:cs="Arial"/>
          <w:sz w:val="16"/>
          <w:szCs w:val="16"/>
        </w:rPr>
        <w:t xml:space="preserve"> three modeling approaches </w:t>
      </w:r>
      <w:r w:rsidR="005917CA">
        <w:rPr>
          <w:rFonts w:ascii="Arial" w:hAnsi="Arial" w:cs="Arial"/>
          <w:sz w:val="16"/>
          <w:szCs w:val="16"/>
        </w:rPr>
        <w:t>for</w:t>
      </w:r>
      <w:r w:rsidRPr="001C175C">
        <w:rPr>
          <w:rFonts w:ascii="Arial" w:hAnsi="Arial" w:cs="Arial"/>
          <w:sz w:val="16"/>
          <w:szCs w:val="16"/>
        </w:rPr>
        <w:t xml:space="preserve"> seven traits</w:t>
      </w:r>
      <w:r w:rsidR="00B21D7C">
        <w:rPr>
          <w:rFonts w:ascii="Arial" w:hAnsi="Arial" w:cs="Arial"/>
          <w:sz w:val="16"/>
          <w:szCs w:val="16"/>
        </w:rPr>
        <w:t xml:space="preserve"> – </w:t>
      </w:r>
      <w:r w:rsidRPr="001C175C">
        <w:rPr>
          <w:rFonts w:ascii="Arial" w:hAnsi="Arial" w:cs="Arial"/>
          <w:sz w:val="16"/>
          <w:szCs w:val="16"/>
        </w:rPr>
        <w:t>grain yield (</w:t>
      </w:r>
      <w:r w:rsidRPr="001C175C">
        <w:rPr>
          <w:rFonts w:ascii="Arial" w:hAnsi="Arial" w:cs="Arial"/>
          <w:b/>
          <w:bCs/>
          <w:sz w:val="16"/>
          <w:szCs w:val="16"/>
        </w:rPr>
        <w:t>GY</w:t>
      </w:r>
      <w:r w:rsidRPr="001C175C">
        <w:rPr>
          <w:rFonts w:ascii="Arial" w:hAnsi="Arial" w:cs="Arial"/>
          <w:sz w:val="16"/>
          <w:szCs w:val="16"/>
        </w:rPr>
        <w:t>), senescence date (</w:t>
      </w:r>
      <w:r w:rsidRPr="001C175C">
        <w:rPr>
          <w:rFonts w:ascii="Arial" w:hAnsi="Arial" w:cs="Arial"/>
          <w:b/>
          <w:bCs/>
          <w:sz w:val="16"/>
          <w:szCs w:val="16"/>
        </w:rPr>
        <w:t>SD</w:t>
      </w:r>
      <w:r w:rsidRPr="001C175C">
        <w:rPr>
          <w:rFonts w:ascii="Arial" w:hAnsi="Arial" w:cs="Arial"/>
          <w:sz w:val="16"/>
          <w:szCs w:val="16"/>
        </w:rPr>
        <w:t>), plant height (</w:t>
      </w:r>
      <w:r w:rsidRPr="001C175C">
        <w:rPr>
          <w:rFonts w:ascii="Arial" w:hAnsi="Arial" w:cs="Arial"/>
          <w:b/>
          <w:bCs/>
          <w:sz w:val="16"/>
          <w:szCs w:val="16"/>
        </w:rPr>
        <w:t>PH</w:t>
      </w:r>
      <w:r w:rsidRPr="001C175C">
        <w:rPr>
          <w:rFonts w:ascii="Arial" w:hAnsi="Arial" w:cs="Arial"/>
          <w:sz w:val="16"/>
          <w:szCs w:val="16"/>
        </w:rPr>
        <w:t>), normalized difference vegetation index (</w:t>
      </w:r>
      <w:r w:rsidRPr="001C175C">
        <w:rPr>
          <w:rFonts w:ascii="Arial" w:hAnsi="Arial" w:cs="Arial"/>
          <w:b/>
          <w:bCs/>
          <w:sz w:val="16"/>
          <w:szCs w:val="16"/>
        </w:rPr>
        <w:t>NDVI</w:t>
      </w:r>
      <w:r w:rsidRPr="001C175C">
        <w:rPr>
          <w:rFonts w:ascii="Arial" w:hAnsi="Arial" w:cs="Arial"/>
          <w:sz w:val="16"/>
          <w:szCs w:val="16"/>
        </w:rPr>
        <w:t>), green reflectance (</w:t>
      </w:r>
      <w:r w:rsidRPr="001C175C">
        <w:rPr>
          <w:rFonts w:ascii="Arial" w:hAnsi="Arial" w:cs="Arial"/>
          <w:b/>
          <w:bCs/>
          <w:sz w:val="16"/>
          <w:szCs w:val="16"/>
        </w:rPr>
        <w:t>GR</w:t>
      </w:r>
      <w:r w:rsidRPr="001C175C">
        <w:rPr>
          <w:rFonts w:ascii="Arial" w:hAnsi="Arial" w:cs="Arial"/>
          <w:sz w:val="16"/>
          <w:szCs w:val="16"/>
        </w:rPr>
        <w:t>), thousand kernel weight (</w:t>
      </w:r>
      <w:r w:rsidRPr="001C175C">
        <w:rPr>
          <w:rFonts w:ascii="Arial" w:hAnsi="Arial" w:cs="Arial"/>
          <w:b/>
          <w:bCs/>
          <w:sz w:val="16"/>
          <w:szCs w:val="16"/>
        </w:rPr>
        <w:t>TKW</w:t>
      </w:r>
      <w:r w:rsidRPr="001C175C">
        <w:rPr>
          <w:rFonts w:ascii="Arial" w:hAnsi="Arial" w:cs="Arial"/>
          <w:sz w:val="16"/>
          <w:szCs w:val="16"/>
        </w:rPr>
        <w:t>), and test weight (</w:t>
      </w:r>
      <w:r w:rsidRPr="001C175C">
        <w:rPr>
          <w:rFonts w:ascii="Arial" w:hAnsi="Arial" w:cs="Arial"/>
          <w:b/>
          <w:bCs/>
          <w:sz w:val="16"/>
          <w:szCs w:val="16"/>
        </w:rPr>
        <w:t>TW</w:t>
      </w:r>
      <w:r w:rsidRPr="001C175C">
        <w:rPr>
          <w:rFonts w:ascii="Arial" w:hAnsi="Arial" w:cs="Arial"/>
          <w:sz w:val="16"/>
          <w:szCs w:val="16"/>
        </w:rPr>
        <w:t xml:space="preserve">). </w:t>
      </w:r>
      <w:r w:rsidR="005917CA">
        <w:rPr>
          <w:rFonts w:ascii="Arial" w:hAnsi="Arial" w:cs="Arial"/>
          <w:sz w:val="16"/>
          <w:szCs w:val="16"/>
        </w:rPr>
        <w:t>“X” denotes a strong association detected under that modeling approach; “-“ indicates that the locus was identified by other approaches for that trait but not by the one listed.</w:t>
      </w:r>
    </w:p>
    <w:tbl>
      <w:tblPr>
        <w:tblW w:w="6820" w:type="dxa"/>
        <w:jc w:val="center"/>
        <w:tblLook w:val="04A0" w:firstRow="1" w:lastRow="0" w:firstColumn="1" w:lastColumn="0" w:noHBand="0" w:noVBand="1"/>
      </w:tblPr>
      <w:tblGrid>
        <w:gridCol w:w="599"/>
        <w:gridCol w:w="1480"/>
        <w:gridCol w:w="421"/>
        <w:gridCol w:w="421"/>
        <w:gridCol w:w="421"/>
        <w:gridCol w:w="421"/>
        <w:gridCol w:w="421"/>
        <w:gridCol w:w="421"/>
        <w:gridCol w:w="421"/>
        <w:gridCol w:w="421"/>
        <w:gridCol w:w="421"/>
        <w:gridCol w:w="421"/>
        <w:gridCol w:w="421"/>
        <w:gridCol w:w="421"/>
        <w:gridCol w:w="421"/>
        <w:gridCol w:w="421"/>
      </w:tblGrid>
      <w:tr w:rsidR="001C175C" w:rsidRPr="001C175C" w14:paraId="0C34C9DF" w14:textId="77777777" w:rsidTr="001C175C">
        <w:trPr>
          <w:trHeight w:val="300"/>
          <w:jc w:val="center"/>
        </w:trPr>
        <w:tc>
          <w:tcPr>
            <w:tcW w:w="580" w:type="dxa"/>
            <w:vMerge w:val="restart"/>
            <w:tcBorders>
              <w:top w:val="single" w:sz="4" w:space="0" w:color="auto"/>
              <w:left w:val="nil"/>
              <w:bottom w:val="single" w:sz="4" w:space="0" w:color="000000"/>
              <w:right w:val="nil"/>
            </w:tcBorders>
            <w:vAlign w:val="center"/>
            <w:hideMark/>
          </w:tcPr>
          <w:p w14:paraId="59C6B7B0" w14:textId="77777777" w:rsidR="001C175C" w:rsidRPr="001C175C" w:rsidRDefault="001C175C" w:rsidP="001C175C">
            <w:pPr>
              <w:spacing w:after="0" w:line="240" w:lineRule="auto"/>
              <w:jc w:val="center"/>
              <w:rPr>
                <w:rFonts w:ascii="Arial" w:eastAsia="Times New Roman" w:hAnsi="Arial" w:cs="Arial"/>
                <w:b/>
                <w:bCs/>
                <w:kern w:val="0"/>
                <w:sz w:val="16"/>
                <w:szCs w:val="16"/>
                <w14:ligatures w14:val="none"/>
              </w:rPr>
            </w:pPr>
            <w:r w:rsidRPr="001C175C">
              <w:rPr>
                <w:rFonts w:ascii="Arial" w:eastAsia="Times New Roman" w:hAnsi="Arial" w:cs="Arial"/>
                <w:b/>
                <w:bCs/>
                <w:kern w:val="0"/>
                <w:sz w:val="16"/>
                <w:szCs w:val="16"/>
                <w14:ligatures w14:val="none"/>
              </w:rPr>
              <w:t>trait</w:t>
            </w:r>
          </w:p>
        </w:tc>
        <w:tc>
          <w:tcPr>
            <w:tcW w:w="1480" w:type="dxa"/>
            <w:vMerge w:val="restart"/>
            <w:tcBorders>
              <w:top w:val="single" w:sz="4" w:space="0" w:color="auto"/>
              <w:left w:val="nil"/>
              <w:bottom w:val="single" w:sz="4" w:space="0" w:color="000000"/>
              <w:right w:val="nil"/>
            </w:tcBorders>
            <w:noWrap/>
            <w:vAlign w:val="center"/>
            <w:hideMark/>
          </w:tcPr>
          <w:p w14:paraId="3781B394" w14:textId="77777777" w:rsidR="001C175C" w:rsidRPr="001C175C" w:rsidRDefault="001C175C" w:rsidP="001C175C">
            <w:pPr>
              <w:spacing w:after="0" w:line="240" w:lineRule="auto"/>
              <w:jc w:val="center"/>
              <w:rPr>
                <w:rFonts w:ascii="Arial" w:eastAsia="Times New Roman" w:hAnsi="Arial" w:cs="Arial"/>
                <w:b/>
                <w:bCs/>
                <w:kern w:val="0"/>
                <w:sz w:val="16"/>
                <w:szCs w:val="16"/>
                <w14:ligatures w14:val="none"/>
              </w:rPr>
            </w:pPr>
            <w:r w:rsidRPr="001C175C">
              <w:rPr>
                <w:rFonts w:ascii="Arial" w:eastAsia="Times New Roman" w:hAnsi="Arial" w:cs="Arial"/>
                <w:b/>
                <w:bCs/>
                <w:kern w:val="0"/>
                <w:sz w:val="16"/>
                <w:szCs w:val="16"/>
                <w14:ligatures w14:val="none"/>
              </w:rPr>
              <w:t>model</w:t>
            </w:r>
          </w:p>
        </w:tc>
        <w:tc>
          <w:tcPr>
            <w:tcW w:w="4760" w:type="dxa"/>
            <w:gridSpan w:val="14"/>
            <w:tcBorders>
              <w:top w:val="single" w:sz="4" w:space="0" w:color="auto"/>
              <w:left w:val="nil"/>
              <w:bottom w:val="single" w:sz="4" w:space="0" w:color="auto"/>
              <w:right w:val="nil"/>
            </w:tcBorders>
            <w:noWrap/>
            <w:vAlign w:val="bottom"/>
            <w:hideMark/>
          </w:tcPr>
          <w:p w14:paraId="05D30A0A"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Chromosome</w:t>
            </w:r>
          </w:p>
        </w:tc>
      </w:tr>
      <w:tr w:rsidR="001C175C" w:rsidRPr="001C175C" w14:paraId="7BABB20B" w14:textId="77777777" w:rsidTr="001C175C">
        <w:trPr>
          <w:trHeight w:val="300"/>
          <w:jc w:val="center"/>
        </w:trPr>
        <w:tc>
          <w:tcPr>
            <w:tcW w:w="580" w:type="dxa"/>
            <w:vMerge/>
            <w:tcBorders>
              <w:top w:val="single" w:sz="4" w:space="0" w:color="auto"/>
              <w:left w:val="nil"/>
              <w:bottom w:val="single" w:sz="4" w:space="0" w:color="000000"/>
              <w:right w:val="nil"/>
            </w:tcBorders>
            <w:vAlign w:val="center"/>
            <w:hideMark/>
          </w:tcPr>
          <w:p w14:paraId="6031383E" w14:textId="77777777" w:rsidR="001C175C" w:rsidRPr="001C175C" w:rsidRDefault="001C175C" w:rsidP="001C175C">
            <w:pPr>
              <w:spacing w:after="0" w:line="240" w:lineRule="auto"/>
              <w:rPr>
                <w:rFonts w:ascii="Arial" w:eastAsia="Times New Roman" w:hAnsi="Arial" w:cs="Arial"/>
                <w:b/>
                <w:bCs/>
                <w:kern w:val="0"/>
                <w:sz w:val="16"/>
                <w:szCs w:val="16"/>
                <w14:ligatures w14:val="none"/>
              </w:rPr>
            </w:pPr>
          </w:p>
        </w:tc>
        <w:tc>
          <w:tcPr>
            <w:tcW w:w="1480" w:type="dxa"/>
            <w:vMerge/>
            <w:tcBorders>
              <w:top w:val="single" w:sz="4" w:space="0" w:color="auto"/>
              <w:left w:val="nil"/>
              <w:bottom w:val="single" w:sz="4" w:space="0" w:color="000000"/>
              <w:right w:val="nil"/>
            </w:tcBorders>
            <w:vAlign w:val="center"/>
            <w:hideMark/>
          </w:tcPr>
          <w:p w14:paraId="5B478042" w14:textId="77777777" w:rsidR="001C175C" w:rsidRPr="001C175C" w:rsidRDefault="001C175C" w:rsidP="001C175C">
            <w:pPr>
              <w:spacing w:after="0" w:line="240" w:lineRule="auto"/>
              <w:rPr>
                <w:rFonts w:ascii="Arial" w:eastAsia="Times New Roman" w:hAnsi="Arial" w:cs="Arial"/>
                <w:b/>
                <w:bCs/>
                <w:kern w:val="0"/>
                <w:sz w:val="16"/>
                <w:szCs w:val="16"/>
                <w14:ligatures w14:val="none"/>
              </w:rPr>
            </w:pPr>
          </w:p>
        </w:tc>
        <w:tc>
          <w:tcPr>
            <w:tcW w:w="344" w:type="dxa"/>
            <w:tcBorders>
              <w:top w:val="nil"/>
              <w:left w:val="nil"/>
              <w:bottom w:val="single" w:sz="4" w:space="0" w:color="auto"/>
              <w:right w:val="nil"/>
            </w:tcBorders>
            <w:noWrap/>
            <w:vAlign w:val="bottom"/>
            <w:hideMark/>
          </w:tcPr>
          <w:p w14:paraId="611046BB"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1A</w:t>
            </w:r>
          </w:p>
        </w:tc>
        <w:tc>
          <w:tcPr>
            <w:tcW w:w="331" w:type="dxa"/>
            <w:tcBorders>
              <w:top w:val="nil"/>
              <w:left w:val="nil"/>
              <w:bottom w:val="single" w:sz="4" w:space="0" w:color="auto"/>
              <w:right w:val="nil"/>
            </w:tcBorders>
            <w:noWrap/>
            <w:vAlign w:val="bottom"/>
            <w:hideMark/>
          </w:tcPr>
          <w:p w14:paraId="48765D35"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1B</w:t>
            </w:r>
          </w:p>
        </w:tc>
        <w:tc>
          <w:tcPr>
            <w:tcW w:w="350" w:type="dxa"/>
            <w:tcBorders>
              <w:top w:val="nil"/>
              <w:left w:val="nil"/>
              <w:bottom w:val="single" w:sz="4" w:space="0" w:color="auto"/>
              <w:right w:val="nil"/>
            </w:tcBorders>
            <w:noWrap/>
            <w:vAlign w:val="bottom"/>
            <w:hideMark/>
          </w:tcPr>
          <w:p w14:paraId="7FE29BF5"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1D</w:t>
            </w:r>
          </w:p>
        </w:tc>
        <w:tc>
          <w:tcPr>
            <w:tcW w:w="343" w:type="dxa"/>
            <w:tcBorders>
              <w:top w:val="nil"/>
              <w:left w:val="nil"/>
              <w:bottom w:val="single" w:sz="4" w:space="0" w:color="auto"/>
              <w:right w:val="nil"/>
            </w:tcBorders>
            <w:noWrap/>
            <w:vAlign w:val="bottom"/>
            <w:hideMark/>
          </w:tcPr>
          <w:p w14:paraId="338600D0"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2A</w:t>
            </w:r>
          </w:p>
        </w:tc>
        <w:tc>
          <w:tcPr>
            <w:tcW w:w="330" w:type="dxa"/>
            <w:tcBorders>
              <w:top w:val="nil"/>
              <w:left w:val="nil"/>
              <w:bottom w:val="single" w:sz="4" w:space="0" w:color="auto"/>
              <w:right w:val="nil"/>
            </w:tcBorders>
            <w:noWrap/>
            <w:vAlign w:val="bottom"/>
            <w:hideMark/>
          </w:tcPr>
          <w:p w14:paraId="36D9FA50"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2B</w:t>
            </w:r>
          </w:p>
        </w:tc>
        <w:tc>
          <w:tcPr>
            <w:tcW w:w="350" w:type="dxa"/>
            <w:tcBorders>
              <w:top w:val="nil"/>
              <w:left w:val="nil"/>
              <w:bottom w:val="single" w:sz="4" w:space="0" w:color="auto"/>
              <w:right w:val="nil"/>
            </w:tcBorders>
            <w:noWrap/>
            <w:vAlign w:val="bottom"/>
            <w:hideMark/>
          </w:tcPr>
          <w:p w14:paraId="6364A53A"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2D</w:t>
            </w:r>
          </w:p>
        </w:tc>
        <w:tc>
          <w:tcPr>
            <w:tcW w:w="343" w:type="dxa"/>
            <w:tcBorders>
              <w:top w:val="nil"/>
              <w:left w:val="nil"/>
              <w:bottom w:val="single" w:sz="4" w:space="0" w:color="auto"/>
              <w:right w:val="nil"/>
            </w:tcBorders>
            <w:noWrap/>
            <w:vAlign w:val="bottom"/>
            <w:hideMark/>
          </w:tcPr>
          <w:p w14:paraId="27239DEE"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3A</w:t>
            </w:r>
          </w:p>
        </w:tc>
        <w:tc>
          <w:tcPr>
            <w:tcW w:w="350" w:type="dxa"/>
            <w:tcBorders>
              <w:top w:val="nil"/>
              <w:left w:val="nil"/>
              <w:bottom w:val="single" w:sz="4" w:space="0" w:color="auto"/>
              <w:right w:val="nil"/>
            </w:tcBorders>
            <w:noWrap/>
            <w:vAlign w:val="bottom"/>
            <w:hideMark/>
          </w:tcPr>
          <w:p w14:paraId="1C6E709B"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3D</w:t>
            </w:r>
          </w:p>
        </w:tc>
        <w:tc>
          <w:tcPr>
            <w:tcW w:w="343" w:type="dxa"/>
            <w:tcBorders>
              <w:top w:val="nil"/>
              <w:left w:val="nil"/>
              <w:bottom w:val="single" w:sz="4" w:space="0" w:color="auto"/>
              <w:right w:val="nil"/>
            </w:tcBorders>
            <w:noWrap/>
            <w:vAlign w:val="bottom"/>
            <w:hideMark/>
          </w:tcPr>
          <w:p w14:paraId="53E2A62D"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4A</w:t>
            </w:r>
          </w:p>
        </w:tc>
        <w:tc>
          <w:tcPr>
            <w:tcW w:w="330" w:type="dxa"/>
            <w:tcBorders>
              <w:top w:val="nil"/>
              <w:left w:val="nil"/>
              <w:bottom w:val="single" w:sz="4" w:space="0" w:color="auto"/>
              <w:right w:val="nil"/>
            </w:tcBorders>
            <w:noWrap/>
            <w:vAlign w:val="bottom"/>
            <w:hideMark/>
          </w:tcPr>
          <w:p w14:paraId="390DEB35"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4B</w:t>
            </w:r>
          </w:p>
        </w:tc>
        <w:tc>
          <w:tcPr>
            <w:tcW w:w="343" w:type="dxa"/>
            <w:tcBorders>
              <w:top w:val="nil"/>
              <w:left w:val="nil"/>
              <w:bottom w:val="single" w:sz="4" w:space="0" w:color="auto"/>
              <w:right w:val="nil"/>
            </w:tcBorders>
            <w:noWrap/>
            <w:vAlign w:val="bottom"/>
            <w:hideMark/>
          </w:tcPr>
          <w:p w14:paraId="66052871"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5A</w:t>
            </w:r>
          </w:p>
        </w:tc>
        <w:tc>
          <w:tcPr>
            <w:tcW w:w="330" w:type="dxa"/>
            <w:tcBorders>
              <w:top w:val="nil"/>
              <w:left w:val="nil"/>
              <w:bottom w:val="single" w:sz="4" w:space="0" w:color="auto"/>
              <w:right w:val="nil"/>
            </w:tcBorders>
            <w:noWrap/>
            <w:vAlign w:val="bottom"/>
            <w:hideMark/>
          </w:tcPr>
          <w:p w14:paraId="6EED6F3C"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5B</w:t>
            </w:r>
          </w:p>
        </w:tc>
        <w:tc>
          <w:tcPr>
            <w:tcW w:w="330" w:type="dxa"/>
            <w:tcBorders>
              <w:top w:val="nil"/>
              <w:left w:val="nil"/>
              <w:bottom w:val="single" w:sz="4" w:space="0" w:color="auto"/>
              <w:right w:val="nil"/>
            </w:tcBorders>
            <w:noWrap/>
            <w:vAlign w:val="bottom"/>
            <w:hideMark/>
          </w:tcPr>
          <w:p w14:paraId="25D13820"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6B</w:t>
            </w:r>
          </w:p>
        </w:tc>
        <w:tc>
          <w:tcPr>
            <w:tcW w:w="343" w:type="dxa"/>
            <w:tcBorders>
              <w:top w:val="nil"/>
              <w:left w:val="nil"/>
              <w:bottom w:val="single" w:sz="4" w:space="0" w:color="auto"/>
              <w:right w:val="nil"/>
            </w:tcBorders>
            <w:noWrap/>
            <w:vAlign w:val="bottom"/>
            <w:hideMark/>
          </w:tcPr>
          <w:p w14:paraId="6662E9AE" w14:textId="77777777" w:rsidR="001C175C" w:rsidRPr="001C175C" w:rsidRDefault="001C175C" w:rsidP="001C175C">
            <w:pPr>
              <w:spacing w:after="0" w:line="240" w:lineRule="auto"/>
              <w:jc w:val="center"/>
              <w:rPr>
                <w:rFonts w:ascii="Arial" w:eastAsia="Times New Roman" w:hAnsi="Arial" w:cs="Arial"/>
                <w:b/>
                <w:bCs/>
                <w:color w:val="000000"/>
                <w:kern w:val="0"/>
                <w:sz w:val="16"/>
                <w:szCs w:val="16"/>
                <w14:ligatures w14:val="none"/>
              </w:rPr>
            </w:pPr>
            <w:r w:rsidRPr="001C175C">
              <w:rPr>
                <w:rFonts w:ascii="Arial" w:eastAsia="Times New Roman" w:hAnsi="Arial" w:cs="Arial"/>
                <w:b/>
                <w:bCs/>
                <w:color w:val="000000"/>
                <w:kern w:val="0"/>
                <w:sz w:val="16"/>
                <w:szCs w:val="16"/>
                <w14:ligatures w14:val="none"/>
              </w:rPr>
              <w:t>7A</w:t>
            </w:r>
          </w:p>
        </w:tc>
      </w:tr>
      <w:tr w:rsidR="001C175C" w:rsidRPr="001C175C" w14:paraId="3F39E3BF" w14:textId="77777777" w:rsidTr="001C175C">
        <w:trPr>
          <w:trHeight w:val="300"/>
          <w:jc w:val="center"/>
        </w:trPr>
        <w:tc>
          <w:tcPr>
            <w:tcW w:w="580" w:type="dxa"/>
            <w:tcBorders>
              <w:top w:val="nil"/>
              <w:left w:val="nil"/>
              <w:bottom w:val="nil"/>
              <w:right w:val="nil"/>
            </w:tcBorders>
            <w:noWrap/>
            <w:vAlign w:val="center"/>
            <w:hideMark/>
          </w:tcPr>
          <w:p w14:paraId="04DA372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SD</w:t>
            </w:r>
          </w:p>
        </w:tc>
        <w:tc>
          <w:tcPr>
            <w:tcW w:w="1480" w:type="dxa"/>
            <w:tcBorders>
              <w:top w:val="nil"/>
              <w:left w:val="nil"/>
              <w:bottom w:val="nil"/>
              <w:right w:val="nil"/>
            </w:tcBorders>
            <w:noWrap/>
            <w:vAlign w:val="center"/>
            <w:hideMark/>
          </w:tcPr>
          <w:p w14:paraId="4283717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unadj</w:t>
            </w:r>
          </w:p>
        </w:tc>
        <w:tc>
          <w:tcPr>
            <w:tcW w:w="344" w:type="dxa"/>
            <w:tcBorders>
              <w:top w:val="nil"/>
              <w:left w:val="nil"/>
              <w:bottom w:val="nil"/>
              <w:right w:val="nil"/>
            </w:tcBorders>
            <w:noWrap/>
            <w:vAlign w:val="bottom"/>
            <w:hideMark/>
          </w:tcPr>
          <w:p w14:paraId="47A4E44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1BD76AC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3227A04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53D34D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0820DC8C"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6FB9A26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3F9918F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6F5EE4B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267A04E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321B98B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67BD98A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6F968DD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7DCC7A5F"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287F85B9"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r>
      <w:tr w:rsidR="001C175C" w:rsidRPr="001C175C" w14:paraId="03F415B3" w14:textId="77777777" w:rsidTr="001C175C">
        <w:trPr>
          <w:trHeight w:val="300"/>
          <w:jc w:val="center"/>
        </w:trPr>
        <w:tc>
          <w:tcPr>
            <w:tcW w:w="580" w:type="dxa"/>
            <w:tcBorders>
              <w:top w:val="nil"/>
              <w:left w:val="nil"/>
              <w:bottom w:val="nil"/>
              <w:right w:val="nil"/>
            </w:tcBorders>
            <w:noWrap/>
            <w:vAlign w:val="center"/>
            <w:hideMark/>
          </w:tcPr>
          <w:p w14:paraId="2AE2F28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SD</w:t>
            </w:r>
          </w:p>
        </w:tc>
        <w:tc>
          <w:tcPr>
            <w:tcW w:w="1480" w:type="dxa"/>
            <w:tcBorders>
              <w:top w:val="nil"/>
              <w:left w:val="nil"/>
              <w:bottom w:val="nil"/>
              <w:right w:val="nil"/>
            </w:tcBorders>
            <w:noWrap/>
            <w:vAlign w:val="center"/>
            <w:hideMark/>
          </w:tcPr>
          <w:p w14:paraId="5F7FCEB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adjusted</w:t>
            </w:r>
          </w:p>
        </w:tc>
        <w:tc>
          <w:tcPr>
            <w:tcW w:w="344" w:type="dxa"/>
            <w:tcBorders>
              <w:top w:val="nil"/>
              <w:left w:val="nil"/>
              <w:bottom w:val="nil"/>
              <w:right w:val="nil"/>
            </w:tcBorders>
            <w:noWrap/>
            <w:vAlign w:val="bottom"/>
            <w:hideMark/>
          </w:tcPr>
          <w:p w14:paraId="452ACF0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1654F30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53FBD87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7FAD0CC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CD0E2B3"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6495B8C7"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5EDE9CA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1D2BD3B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566A7D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3E40D29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7DAF61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0620B6E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30150213"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30FD640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r>
      <w:tr w:rsidR="001C175C" w:rsidRPr="001C175C" w14:paraId="2FB30600" w14:textId="77777777" w:rsidTr="001C175C">
        <w:trPr>
          <w:trHeight w:val="300"/>
          <w:jc w:val="center"/>
        </w:trPr>
        <w:tc>
          <w:tcPr>
            <w:tcW w:w="580" w:type="dxa"/>
            <w:tcBorders>
              <w:top w:val="nil"/>
              <w:left w:val="nil"/>
              <w:bottom w:val="nil"/>
              <w:right w:val="nil"/>
            </w:tcBorders>
            <w:noWrap/>
            <w:vAlign w:val="center"/>
            <w:hideMark/>
          </w:tcPr>
          <w:p w14:paraId="45F138B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SD</w:t>
            </w:r>
          </w:p>
        </w:tc>
        <w:tc>
          <w:tcPr>
            <w:tcW w:w="1480" w:type="dxa"/>
            <w:tcBorders>
              <w:top w:val="nil"/>
              <w:left w:val="nil"/>
              <w:bottom w:val="nil"/>
              <w:right w:val="nil"/>
            </w:tcBorders>
            <w:noWrap/>
            <w:vAlign w:val="center"/>
            <w:hideMark/>
          </w:tcPr>
          <w:p w14:paraId="521A73C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reaction_norm</w:t>
            </w:r>
          </w:p>
        </w:tc>
        <w:tc>
          <w:tcPr>
            <w:tcW w:w="344" w:type="dxa"/>
            <w:tcBorders>
              <w:top w:val="nil"/>
              <w:left w:val="nil"/>
              <w:bottom w:val="nil"/>
              <w:right w:val="nil"/>
            </w:tcBorders>
            <w:noWrap/>
            <w:vAlign w:val="bottom"/>
            <w:hideMark/>
          </w:tcPr>
          <w:p w14:paraId="5BD8F10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2CA2D7C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7E3BF4E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D2E5FE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5722575E"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5B7E964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2258EA0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4817EC0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8C5E92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3B8E9AF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68DBE41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56CA824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31F4A68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11A63103"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r>
      <w:tr w:rsidR="001C175C" w:rsidRPr="001C175C" w14:paraId="2562B5C7" w14:textId="77777777" w:rsidTr="001C175C">
        <w:trPr>
          <w:trHeight w:val="300"/>
          <w:jc w:val="center"/>
        </w:trPr>
        <w:tc>
          <w:tcPr>
            <w:tcW w:w="580" w:type="dxa"/>
            <w:tcBorders>
              <w:top w:val="nil"/>
              <w:left w:val="nil"/>
              <w:bottom w:val="nil"/>
              <w:right w:val="nil"/>
            </w:tcBorders>
            <w:noWrap/>
            <w:vAlign w:val="center"/>
            <w:hideMark/>
          </w:tcPr>
          <w:p w14:paraId="01F9F38A"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1480" w:type="dxa"/>
            <w:tcBorders>
              <w:top w:val="nil"/>
              <w:left w:val="nil"/>
              <w:bottom w:val="nil"/>
              <w:right w:val="nil"/>
            </w:tcBorders>
            <w:noWrap/>
            <w:vAlign w:val="center"/>
            <w:hideMark/>
          </w:tcPr>
          <w:p w14:paraId="6D0097D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4" w:type="dxa"/>
            <w:tcBorders>
              <w:top w:val="nil"/>
              <w:left w:val="nil"/>
              <w:bottom w:val="nil"/>
              <w:right w:val="nil"/>
            </w:tcBorders>
            <w:noWrap/>
            <w:vAlign w:val="bottom"/>
            <w:hideMark/>
          </w:tcPr>
          <w:p w14:paraId="4ACD575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429B8AE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642D916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32FADB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172890D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0A493A8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657569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4FA28B6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29CA6AA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556B1F2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997E14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2A967A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57F996B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1D1763F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5E345345" w14:textId="77777777" w:rsidTr="001C175C">
        <w:trPr>
          <w:trHeight w:val="300"/>
          <w:jc w:val="center"/>
        </w:trPr>
        <w:tc>
          <w:tcPr>
            <w:tcW w:w="580" w:type="dxa"/>
            <w:tcBorders>
              <w:top w:val="nil"/>
              <w:left w:val="nil"/>
              <w:bottom w:val="nil"/>
              <w:right w:val="nil"/>
            </w:tcBorders>
            <w:noWrap/>
            <w:vAlign w:val="center"/>
            <w:hideMark/>
          </w:tcPr>
          <w:p w14:paraId="56E44BD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PH</w:t>
            </w:r>
          </w:p>
        </w:tc>
        <w:tc>
          <w:tcPr>
            <w:tcW w:w="1480" w:type="dxa"/>
            <w:tcBorders>
              <w:top w:val="nil"/>
              <w:left w:val="nil"/>
              <w:bottom w:val="nil"/>
              <w:right w:val="nil"/>
            </w:tcBorders>
            <w:noWrap/>
            <w:vAlign w:val="center"/>
            <w:hideMark/>
          </w:tcPr>
          <w:p w14:paraId="0F3F3C7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unadj</w:t>
            </w:r>
          </w:p>
        </w:tc>
        <w:tc>
          <w:tcPr>
            <w:tcW w:w="344" w:type="dxa"/>
            <w:tcBorders>
              <w:top w:val="nil"/>
              <w:left w:val="nil"/>
              <w:bottom w:val="nil"/>
              <w:right w:val="nil"/>
            </w:tcBorders>
            <w:noWrap/>
            <w:vAlign w:val="bottom"/>
            <w:hideMark/>
          </w:tcPr>
          <w:p w14:paraId="07FEAF1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5090D33C"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5F048D9F"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43" w:type="dxa"/>
            <w:tcBorders>
              <w:top w:val="nil"/>
              <w:left w:val="nil"/>
              <w:bottom w:val="nil"/>
              <w:right w:val="nil"/>
            </w:tcBorders>
            <w:noWrap/>
            <w:vAlign w:val="bottom"/>
            <w:hideMark/>
          </w:tcPr>
          <w:p w14:paraId="4CB9EB0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137A0BF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50" w:type="dxa"/>
            <w:tcBorders>
              <w:top w:val="nil"/>
              <w:left w:val="nil"/>
              <w:bottom w:val="nil"/>
              <w:right w:val="nil"/>
            </w:tcBorders>
            <w:noWrap/>
            <w:vAlign w:val="bottom"/>
            <w:hideMark/>
          </w:tcPr>
          <w:p w14:paraId="4C2AB556"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1D7B889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27332B3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710CF50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1921F666"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46F67880"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7879B158"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6F957DE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50C917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5A137979" w14:textId="77777777" w:rsidTr="001C175C">
        <w:trPr>
          <w:trHeight w:val="300"/>
          <w:jc w:val="center"/>
        </w:trPr>
        <w:tc>
          <w:tcPr>
            <w:tcW w:w="580" w:type="dxa"/>
            <w:tcBorders>
              <w:top w:val="nil"/>
              <w:left w:val="nil"/>
              <w:bottom w:val="nil"/>
              <w:right w:val="nil"/>
            </w:tcBorders>
            <w:noWrap/>
            <w:vAlign w:val="center"/>
            <w:hideMark/>
          </w:tcPr>
          <w:p w14:paraId="186B794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PH</w:t>
            </w:r>
          </w:p>
        </w:tc>
        <w:tc>
          <w:tcPr>
            <w:tcW w:w="1480" w:type="dxa"/>
            <w:tcBorders>
              <w:top w:val="nil"/>
              <w:left w:val="nil"/>
              <w:bottom w:val="nil"/>
              <w:right w:val="nil"/>
            </w:tcBorders>
            <w:noWrap/>
            <w:vAlign w:val="center"/>
            <w:hideMark/>
          </w:tcPr>
          <w:p w14:paraId="6E17576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adjusted</w:t>
            </w:r>
          </w:p>
        </w:tc>
        <w:tc>
          <w:tcPr>
            <w:tcW w:w="344" w:type="dxa"/>
            <w:tcBorders>
              <w:top w:val="nil"/>
              <w:left w:val="nil"/>
              <w:bottom w:val="nil"/>
              <w:right w:val="nil"/>
            </w:tcBorders>
            <w:noWrap/>
            <w:vAlign w:val="bottom"/>
            <w:hideMark/>
          </w:tcPr>
          <w:p w14:paraId="1080EB6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3CD29D83"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76F18A0C"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43" w:type="dxa"/>
            <w:tcBorders>
              <w:top w:val="nil"/>
              <w:left w:val="nil"/>
              <w:bottom w:val="nil"/>
              <w:right w:val="nil"/>
            </w:tcBorders>
            <w:noWrap/>
            <w:vAlign w:val="bottom"/>
            <w:hideMark/>
          </w:tcPr>
          <w:p w14:paraId="2B49D7EF"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4AEDC31E"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50" w:type="dxa"/>
            <w:tcBorders>
              <w:top w:val="nil"/>
              <w:left w:val="nil"/>
              <w:bottom w:val="nil"/>
              <w:right w:val="nil"/>
            </w:tcBorders>
            <w:noWrap/>
            <w:vAlign w:val="bottom"/>
            <w:hideMark/>
          </w:tcPr>
          <w:p w14:paraId="1E6320D4"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5BEF311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023A410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FDD79F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3E9BE892"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7E360798"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79CE5B42"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7C8FFBB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AB8AEB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5F3E42E6" w14:textId="77777777" w:rsidTr="001C175C">
        <w:trPr>
          <w:trHeight w:val="300"/>
          <w:jc w:val="center"/>
        </w:trPr>
        <w:tc>
          <w:tcPr>
            <w:tcW w:w="580" w:type="dxa"/>
            <w:tcBorders>
              <w:top w:val="nil"/>
              <w:left w:val="nil"/>
              <w:bottom w:val="nil"/>
              <w:right w:val="nil"/>
            </w:tcBorders>
            <w:noWrap/>
            <w:vAlign w:val="center"/>
            <w:hideMark/>
          </w:tcPr>
          <w:p w14:paraId="3827EC6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PH</w:t>
            </w:r>
          </w:p>
        </w:tc>
        <w:tc>
          <w:tcPr>
            <w:tcW w:w="1480" w:type="dxa"/>
            <w:tcBorders>
              <w:top w:val="nil"/>
              <w:left w:val="nil"/>
              <w:bottom w:val="nil"/>
              <w:right w:val="nil"/>
            </w:tcBorders>
            <w:noWrap/>
            <w:vAlign w:val="center"/>
            <w:hideMark/>
          </w:tcPr>
          <w:p w14:paraId="6EA3FB6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reaction_norm</w:t>
            </w:r>
          </w:p>
        </w:tc>
        <w:tc>
          <w:tcPr>
            <w:tcW w:w="344" w:type="dxa"/>
            <w:tcBorders>
              <w:top w:val="nil"/>
              <w:left w:val="nil"/>
              <w:bottom w:val="nil"/>
              <w:right w:val="nil"/>
            </w:tcBorders>
            <w:noWrap/>
            <w:vAlign w:val="bottom"/>
            <w:hideMark/>
          </w:tcPr>
          <w:p w14:paraId="23F0D18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68A1D3C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50" w:type="dxa"/>
            <w:tcBorders>
              <w:top w:val="nil"/>
              <w:left w:val="nil"/>
              <w:bottom w:val="nil"/>
              <w:right w:val="nil"/>
            </w:tcBorders>
            <w:noWrap/>
            <w:vAlign w:val="bottom"/>
            <w:hideMark/>
          </w:tcPr>
          <w:p w14:paraId="23461638"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52CF1A2A"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6E2BA37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1B2AB66B"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50A4E48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60E0486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1746F2E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17E0A2EB"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1FD6CA8B"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0E2500AE"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3C97BFF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24AB6B4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34351298" w14:textId="77777777" w:rsidTr="001C175C">
        <w:trPr>
          <w:trHeight w:val="300"/>
          <w:jc w:val="center"/>
        </w:trPr>
        <w:tc>
          <w:tcPr>
            <w:tcW w:w="580" w:type="dxa"/>
            <w:tcBorders>
              <w:top w:val="nil"/>
              <w:left w:val="nil"/>
              <w:bottom w:val="nil"/>
              <w:right w:val="nil"/>
            </w:tcBorders>
            <w:noWrap/>
            <w:vAlign w:val="center"/>
            <w:hideMark/>
          </w:tcPr>
          <w:p w14:paraId="72996AC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1480" w:type="dxa"/>
            <w:tcBorders>
              <w:top w:val="nil"/>
              <w:left w:val="nil"/>
              <w:bottom w:val="nil"/>
              <w:right w:val="nil"/>
            </w:tcBorders>
            <w:noWrap/>
            <w:vAlign w:val="center"/>
            <w:hideMark/>
          </w:tcPr>
          <w:p w14:paraId="02A29D2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4" w:type="dxa"/>
            <w:tcBorders>
              <w:top w:val="nil"/>
              <w:left w:val="nil"/>
              <w:bottom w:val="nil"/>
              <w:right w:val="nil"/>
            </w:tcBorders>
            <w:noWrap/>
            <w:vAlign w:val="bottom"/>
            <w:hideMark/>
          </w:tcPr>
          <w:p w14:paraId="3374A07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1C3BC16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3B777FA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726937C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498EC9A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05D9FFA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17308AA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3C44B16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256190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C0BEBC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6060116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6088381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64DBBEF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D3ACF7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007222E3" w14:textId="77777777" w:rsidTr="001C175C">
        <w:trPr>
          <w:trHeight w:val="300"/>
          <w:jc w:val="center"/>
        </w:trPr>
        <w:tc>
          <w:tcPr>
            <w:tcW w:w="580" w:type="dxa"/>
            <w:tcBorders>
              <w:top w:val="nil"/>
              <w:left w:val="nil"/>
              <w:bottom w:val="nil"/>
              <w:right w:val="nil"/>
            </w:tcBorders>
            <w:noWrap/>
            <w:vAlign w:val="center"/>
            <w:hideMark/>
          </w:tcPr>
          <w:p w14:paraId="7317245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NDVI</w:t>
            </w:r>
          </w:p>
        </w:tc>
        <w:tc>
          <w:tcPr>
            <w:tcW w:w="1480" w:type="dxa"/>
            <w:tcBorders>
              <w:top w:val="nil"/>
              <w:left w:val="nil"/>
              <w:bottom w:val="nil"/>
              <w:right w:val="nil"/>
            </w:tcBorders>
            <w:noWrap/>
            <w:vAlign w:val="center"/>
            <w:hideMark/>
          </w:tcPr>
          <w:p w14:paraId="59D8FBC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unadj</w:t>
            </w:r>
          </w:p>
        </w:tc>
        <w:tc>
          <w:tcPr>
            <w:tcW w:w="344" w:type="dxa"/>
            <w:tcBorders>
              <w:top w:val="nil"/>
              <w:left w:val="nil"/>
              <w:bottom w:val="nil"/>
              <w:right w:val="nil"/>
            </w:tcBorders>
            <w:noWrap/>
            <w:vAlign w:val="bottom"/>
            <w:hideMark/>
          </w:tcPr>
          <w:p w14:paraId="743F347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31" w:type="dxa"/>
            <w:tcBorders>
              <w:top w:val="nil"/>
              <w:left w:val="nil"/>
              <w:bottom w:val="nil"/>
              <w:right w:val="nil"/>
            </w:tcBorders>
            <w:noWrap/>
            <w:vAlign w:val="bottom"/>
            <w:hideMark/>
          </w:tcPr>
          <w:p w14:paraId="37CD98A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6565C7E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CB2100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61EB29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02B62BF7"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21C165CB"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136AE60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7077DC0"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30" w:type="dxa"/>
            <w:tcBorders>
              <w:top w:val="nil"/>
              <w:left w:val="nil"/>
              <w:bottom w:val="nil"/>
              <w:right w:val="nil"/>
            </w:tcBorders>
            <w:noWrap/>
            <w:vAlign w:val="bottom"/>
            <w:hideMark/>
          </w:tcPr>
          <w:p w14:paraId="456FF51C"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43" w:type="dxa"/>
            <w:tcBorders>
              <w:top w:val="nil"/>
              <w:left w:val="nil"/>
              <w:bottom w:val="nil"/>
              <w:right w:val="nil"/>
            </w:tcBorders>
            <w:noWrap/>
            <w:vAlign w:val="bottom"/>
            <w:hideMark/>
          </w:tcPr>
          <w:p w14:paraId="731AFC26"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30" w:type="dxa"/>
            <w:tcBorders>
              <w:top w:val="nil"/>
              <w:left w:val="nil"/>
              <w:bottom w:val="nil"/>
              <w:right w:val="nil"/>
            </w:tcBorders>
            <w:noWrap/>
            <w:vAlign w:val="bottom"/>
            <w:hideMark/>
          </w:tcPr>
          <w:p w14:paraId="6D483ADC"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30" w:type="dxa"/>
            <w:tcBorders>
              <w:top w:val="nil"/>
              <w:left w:val="nil"/>
              <w:bottom w:val="nil"/>
              <w:right w:val="nil"/>
            </w:tcBorders>
            <w:noWrap/>
            <w:vAlign w:val="bottom"/>
            <w:hideMark/>
          </w:tcPr>
          <w:p w14:paraId="0706E9E9"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2F4836F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6AC6A761" w14:textId="77777777" w:rsidTr="001C175C">
        <w:trPr>
          <w:trHeight w:val="300"/>
          <w:jc w:val="center"/>
        </w:trPr>
        <w:tc>
          <w:tcPr>
            <w:tcW w:w="580" w:type="dxa"/>
            <w:tcBorders>
              <w:top w:val="nil"/>
              <w:left w:val="nil"/>
              <w:bottom w:val="nil"/>
              <w:right w:val="nil"/>
            </w:tcBorders>
            <w:noWrap/>
            <w:vAlign w:val="center"/>
            <w:hideMark/>
          </w:tcPr>
          <w:p w14:paraId="35B120E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NDVI</w:t>
            </w:r>
          </w:p>
        </w:tc>
        <w:tc>
          <w:tcPr>
            <w:tcW w:w="1480" w:type="dxa"/>
            <w:tcBorders>
              <w:top w:val="nil"/>
              <w:left w:val="nil"/>
              <w:bottom w:val="nil"/>
              <w:right w:val="nil"/>
            </w:tcBorders>
            <w:noWrap/>
            <w:vAlign w:val="center"/>
            <w:hideMark/>
          </w:tcPr>
          <w:p w14:paraId="6749025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adjusted</w:t>
            </w:r>
          </w:p>
        </w:tc>
        <w:tc>
          <w:tcPr>
            <w:tcW w:w="344" w:type="dxa"/>
            <w:tcBorders>
              <w:top w:val="nil"/>
              <w:left w:val="nil"/>
              <w:bottom w:val="nil"/>
              <w:right w:val="nil"/>
            </w:tcBorders>
            <w:noWrap/>
            <w:vAlign w:val="bottom"/>
            <w:hideMark/>
          </w:tcPr>
          <w:p w14:paraId="76EC55B1"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31" w:type="dxa"/>
            <w:tcBorders>
              <w:top w:val="nil"/>
              <w:left w:val="nil"/>
              <w:bottom w:val="nil"/>
              <w:right w:val="nil"/>
            </w:tcBorders>
            <w:noWrap/>
            <w:vAlign w:val="bottom"/>
            <w:hideMark/>
          </w:tcPr>
          <w:p w14:paraId="63A05212"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1879769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6C7A14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3383D90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64296AAF"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23EE9B8F"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13D28A9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F1B0A23"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30" w:type="dxa"/>
            <w:tcBorders>
              <w:top w:val="nil"/>
              <w:left w:val="nil"/>
              <w:bottom w:val="nil"/>
              <w:right w:val="nil"/>
            </w:tcBorders>
            <w:noWrap/>
            <w:vAlign w:val="bottom"/>
            <w:hideMark/>
          </w:tcPr>
          <w:p w14:paraId="1B60A74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43" w:type="dxa"/>
            <w:tcBorders>
              <w:top w:val="nil"/>
              <w:left w:val="nil"/>
              <w:bottom w:val="nil"/>
              <w:right w:val="nil"/>
            </w:tcBorders>
            <w:noWrap/>
            <w:vAlign w:val="bottom"/>
            <w:hideMark/>
          </w:tcPr>
          <w:p w14:paraId="65FEEC7E"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7FC38E76"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0C3D4C44"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26A388DF"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61BE3CE8" w14:textId="77777777" w:rsidTr="001C175C">
        <w:trPr>
          <w:trHeight w:val="300"/>
          <w:jc w:val="center"/>
        </w:trPr>
        <w:tc>
          <w:tcPr>
            <w:tcW w:w="580" w:type="dxa"/>
            <w:tcBorders>
              <w:top w:val="nil"/>
              <w:left w:val="nil"/>
              <w:bottom w:val="nil"/>
              <w:right w:val="nil"/>
            </w:tcBorders>
            <w:noWrap/>
            <w:vAlign w:val="center"/>
            <w:hideMark/>
          </w:tcPr>
          <w:p w14:paraId="6210224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NDVI</w:t>
            </w:r>
          </w:p>
        </w:tc>
        <w:tc>
          <w:tcPr>
            <w:tcW w:w="1480" w:type="dxa"/>
            <w:tcBorders>
              <w:top w:val="nil"/>
              <w:left w:val="nil"/>
              <w:bottom w:val="nil"/>
              <w:right w:val="nil"/>
            </w:tcBorders>
            <w:noWrap/>
            <w:vAlign w:val="center"/>
            <w:hideMark/>
          </w:tcPr>
          <w:p w14:paraId="2001041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reaction_norm</w:t>
            </w:r>
          </w:p>
        </w:tc>
        <w:tc>
          <w:tcPr>
            <w:tcW w:w="344" w:type="dxa"/>
            <w:tcBorders>
              <w:top w:val="nil"/>
              <w:left w:val="nil"/>
              <w:bottom w:val="nil"/>
              <w:right w:val="nil"/>
            </w:tcBorders>
            <w:noWrap/>
            <w:vAlign w:val="bottom"/>
            <w:hideMark/>
          </w:tcPr>
          <w:p w14:paraId="6206ECE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1" w:type="dxa"/>
            <w:tcBorders>
              <w:top w:val="nil"/>
              <w:left w:val="nil"/>
              <w:bottom w:val="nil"/>
              <w:right w:val="nil"/>
            </w:tcBorders>
            <w:noWrap/>
            <w:vAlign w:val="bottom"/>
            <w:hideMark/>
          </w:tcPr>
          <w:p w14:paraId="3EBC22A1"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52894ED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78A315A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38194D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3D36A270"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43" w:type="dxa"/>
            <w:tcBorders>
              <w:top w:val="nil"/>
              <w:left w:val="nil"/>
              <w:bottom w:val="nil"/>
              <w:right w:val="nil"/>
            </w:tcBorders>
            <w:noWrap/>
            <w:vAlign w:val="bottom"/>
            <w:hideMark/>
          </w:tcPr>
          <w:p w14:paraId="74028956"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205BA29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7679B93F"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36C494C8"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2E8C8FE7"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61796330"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08DF1337"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70F0D23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6B33CE5B" w14:textId="77777777" w:rsidTr="001C175C">
        <w:trPr>
          <w:trHeight w:val="300"/>
          <w:jc w:val="center"/>
        </w:trPr>
        <w:tc>
          <w:tcPr>
            <w:tcW w:w="580" w:type="dxa"/>
            <w:tcBorders>
              <w:top w:val="nil"/>
              <w:left w:val="nil"/>
              <w:bottom w:val="nil"/>
              <w:right w:val="nil"/>
            </w:tcBorders>
            <w:noWrap/>
            <w:vAlign w:val="center"/>
            <w:hideMark/>
          </w:tcPr>
          <w:p w14:paraId="5A338CE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1480" w:type="dxa"/>
            <w:tcBorders>
              <w:top w:val="nil"/>
              <w:left w:val="nil"/>
              <w:bottom w:val="nil"/>
              <w:right w:val="nil"/>
            </w:tcBorders>
            <w:noWrap/>
            <w:vAlign w:val="center"/>
            <w:hideMark/>
          </w:tcPr>
          <w:p w14:paraId="06B0BCE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4" w:type="dxa"/>
            <w:tcBorders>
              <w:top w:val="nil"/>
              <w:left w:val="nil"/>
              <w:bottom w:val="nil"/>
              <w:right w:val="nil"/>
            </w:tcBorders>
            <w:noWrap/>
            <w:vAlign w:val="bottom"/>
            <w:hideMark/>
          </w:tcPr>
          <w:p w14:paraId="454CAF7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29F4E44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32E6C63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A4F3C4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CC8DCF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30D0DF4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8122C1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4C332A6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61EE916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184CEA0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9BB88B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0A79348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66E089D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F14C76F"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231486A1" w14:textId="77777777" w:rsidTr="001C175C">
        <w:trPr>
          <w:trHeight w:val="300"/>
          <w:jc w:val="center"/>
        </w:trPr>
        <w:tc>
          <w:tcPr>
            <w:tcW w:w="580" w:type="dxa"/>
            <w:tcBorders>
              <w:top w:val="nil"/>
              <w:left w:val="nil"/>
              <w:bottom w:val="nil"/>
              <w:right w:val="nil"/>
            </w:tcBorders>
            <w:noWrap/>
            <w:vAlign w:val="center"/>
            <w:hideMark/>
          </w:tcPr>
          <w:p w14:paraId="3D805B8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GR</w:t>
            </w:r>
          </w:p>
        </w:tc>
        <w:tc>
          <w:tcPr>
            <w:tcW w:w="1480" w:type="dxa"/>
            <w:tcBorders>
              <w:top w:val="nil"/>
              <w:left w:val="nil"/>
              <w:bottom w:val="nil"/>
              <w:right w:val="nil"/>
            </w:tcBorders>
            <w:noWrap/>
            <w:vAlign w:val="center"/>
            <w:hideMark/>
          </w:tcPr>
          <w:p w14:paraId="0043A48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unadj</w:t>
            </w:r>
          </w:p>
        </w:tc>
        <w:tc>
          <w:tcPr>
            <w:tcW w:w="344" w:type="dxa"/>
            <w:tcBorders>
              <w:top w:val="nil"/>
              <w:left w:val="nil"/>
              <w:bottom w:val="nil"/>
              <w:right w:val="nil"/>
            </w:tcBorders>
            <w:noWrap/>
            <w:vAlign w:val="bottom"/>
            <w:hideMark/>
          </w:tcPr>
          <w:p w14:paraId="3E0AC2A1"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1" w:type="dxa"/>
            <w:tcBorders>
              <w:top w:val="nil"/>
              <w:left w:val="nil"/>
              <w:bottom w:val="nil"/>
              <w:right w:val="nil"/>
            </w:tcBorders>
            <w:noWrap/>
            <w:vAlign w:val="bottom"/>
            <w:hideMark/>
          </w:tcPr>
          <w:p w14:paraId="3DD96532"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580BF4B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DB7401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5A22434A"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6F7C49AB"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0E23128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728A334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ADE4F7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7D9C2B7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6B3CC29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1501B143"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7CFA16C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2149B0E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54FD5CF8" w14:textId="77777777" w:rsidTr="001C175C">
        <w:trPr>
          <w:trHeight w:val="300"/>
          <w:jc w:val="center"/>
        </w:trPr>
        <w:tc>
          <w:tcPr>
            <w:tcW w:w="580" w:type="dxa"/>
            <w:tcBorders>
              <w:top w:val="nil"/>
              <w:left w:val="nil"/>
              <w:bottom w:val="nil"/>
              <w:right w:val="nil"/>
            </w:tcBorders>
            <w:noWrap/>
            <w:vAlign w:val="center"/>
            <w:hideMark/>
          </w:tcPr>
          <w:p w14:paraId="657D99D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GR</w:t>
            </w:r>
          </w:p>
        </w:tc>
        <w:tc>
          <w:tcPr>
            <w:tcW w:w="1480" w:type="dxa"/>
            <w:tcBorders>
              <w:top w:val="nil"/>
              <w:left w:val="nil"/>
              <w:bottom w:val="nil"/>
              <w:right w:val="nil"/>
            </w:tcBorders>
            <w:noWrap/>
            <w:vAlign w:val="center"/>
            <w:hideMark/>
          </w:tcPr>
          <w:p w14:paraId="1E84A92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adjusted</w:t>
            </w:r>
          </w:p>
        </w:tc>
        <w:tc>
          <w:tcPr>
            <w:tcW w:w="344" w:type="dxa"/>
            <w:tcBorders>
              <w:top w:val="nil"/>
              <w:left w:val="nil"/>
              <w:bottom w:val="nil"/>
              <w:right w:val="nil"/>
            </w:tcBorders>
            <w:noWrap/>
            <w:vAlign w:val="bottom"/>
            <w:hideMark/>
          </w:tcPr>
          <w:p w14:paraId="6259E5E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1" w:type="dxa"/>
            <w:tcBorders>
              <w:top w:val="nil"/>
              <w:left w:val="nil"/>
              <w:bottom w:val="nil"/>
              <w:right w:val="nil"/>
            </w:tcBorders>
            <w:noWrap/>
            <w:vAlign w:val="bottom"/>
            <w:hideMark/>
          </w:tcPr>
          <w:p w14:paraId="2DD6AE1C"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1FE2291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24E09D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46DBDAA3"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7B5F8A22"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1B43424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7E523E1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424B6D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7F87693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8DB45C9"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5F10E07F"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258155F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6DCC62F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2ED77541" w14:textId="77777777" w:rsidTr="001C175C">
        <w:trPr>
          <w:trHeight w:val="300"/>
          <w:jc w:val="center"/>
        </w:trPr>
        <w:tc>
          <w:tcPr>
            <w:tcW w:w="580" w:type="dxa"/>
            <w:tcBorders>
              <w:top w:val="nil"/>
              <w:left w:val="nil"/>
              <w:bottom w:val="nil"/>
              <w:right w:val="nil"/>
            </w:tcBorders>
            <w:noWrap/>
            <w:vAlign w:val="center"/>
            <w:hideMark/>
          </w:tcPr>
          <w:p w14:paraId="16E47BA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GR</w:t>
            </w:r>
          </w:p>
        </w:tc>
        <w:tc>
          <w:tcPr>
            <w:tcW w:w="1480" w:type="dxa"/>
            <w:tcBorders>
              <w:top w:val="nil"/>
              <w:left w:val="nil"/>
              <w:bottom w:val="nil"/>
              <w:right w:val="nil"/>
            </w:tcBorders>
            <w:noWrap/>
            <w:vAlign w:val="center"/>
            <w:hideMark/>
          </w:tcPr>
          <w:p w14:paraId="5667615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reaction_norm</w:t>
            </w:r>
          </w:p>
        </w:tc>
        <w:tc>
          <w:tcPr>
            <w:tcW w:w="344" w:type="dxa"/>
            <w:tcBorders>
              <w:top w:val="nil"/>
              <w:left w:val="nil"/>
              <w:bottom w:val="nil"/>
              <w:right w:val="nil"/>
            </w:tcBorders>
            <w:noWrap/>
            <w:vAlign w:val="bottom"/>
            <w:hideMark/>
          </w:tcPr>
          <w:p w14:paraId="570D6978"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1" w:type="dxa"/>
            <w:tcBorders>
              <w:top w:val="nil"/>
              <w:left w:val="nil"/>
              <w:bottom w:val="nil"/>
              <w:right w:val="nil"/>
            </w:tcBorders>
            <w:noWrap/>
            <w:vAlign w:val="bottom"/>
            <w:hideMark/>
          </w:tcPr>
          <w:p w14:paraId="389402E7"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2140176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2CDDEA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1EE43EAF"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35457D04"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45D9DA3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51947E8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8C74DD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1015B6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C1BC69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609EA90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41C8773F"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2937AB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108A6BD1" w14:textId="77777777" w:rsidTr="001C175C">
        <w:trPr>
          <w:trHeight w:val="300"/>
          <w:jc w:val="center"/>
        </w:trPr>
        <w:tc>
          <w:tcPr>
            <w:tcW w:w="580" w:type="dxa"/>
            <w:tcBorders>
              <w:top w:val="nil"/>
              <w:left w:val="nil"/>
              <w:bottom w:val="nil"/>
              <w:right w:val="nil"/>
            </w:tcBorders>
            <w:noWrap/>
            <w:vAlign w:val="center"/>
            <w:hideMark/>
          </w:tcPr>
          <w:p w14:paraId="1ABA0FF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1480" w:type="dxa"/>
            <w:tcBorders>
              <w:top w:val="nil"/>
              <w:left w:val="nil"/>
              <w:bottom w:val="nil"/>
              <w:right w:val="nil"/>
            </w:tcBorders>
            <w:noWrap/>
            <w:vAlign w:val="center"/>
            <w:hideMark/>
          </w:tcPr>
          <w:p w14:paraId="6F041A6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4" w:type="dxa"/>
            <w:tcBorders>
              <w:top w:val="nil"/>
              <w:left w:val="nil"/>
              <w:bottom w:val="nil"/>
              <w:right w:val="nil"/>
            </w:tcBorders>
            <w:noWrap/>
            <w:vAlign w:val="bottom"/>
            <w:hideMark/>
          </w:tcPr>
          <w:p w14:paraId="0B76A65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61D6EEF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0D99E0B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634E3FF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4BF8DA1F"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24D4A69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D08963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1D77E39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1B6324B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4584934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A126B2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7FA65E2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C77294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72786A1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46674713" w14:textId="77777777" w:rsidTr="001C175C">
        <w:trPr>
          <w:trHeight w:val="300"/>
          <w:jc w:val="center"/>
        </w:trPr>
        <w:tc>
          <w:tcPr>
            <w:tcW w:w="580" w:type="dxa"/>
            <w:tcBorders>
              <w:top w:val="nil"/>
              <w:left w:val="nil"/>
              <w:bottom w:val="nil"/>
              <w:right w:val="nil"/>
            </w:tcBorders>
            <w:noWrap/>
            <w:vAlign w:val="center"/>
            <w:hideMark/>
          </w:tcPr>
          <w:p w14:paraId="2956EFC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GY</w:t>
            </w:r>
          </w:p>
        </w:tc>
        <w:tc>
          <w:tcPr>
            <w:tcW w:w="1480" w:type="dxa"/>
            <w:tcBorders>
              <w:top w:val="nil"/>
              <w:left w:val="nil"/>
              <w:bottom w:val="nil"/>
              <w:right w:val="nil"/>
            </w:tcBorders>
            <w:noWrap/>
            <w:vAlign w:val="center"/>
            <w:hideMark/>
          </w:tcPr>
          <w:p w14:paraId="073A017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unadj</w:t>
            </w:r>
          </w:p>
        </w:tc>
        <w:tc>
          <w:tcPr>
            <w:tcW w:w="344" w:type="dxa"/>
            <w:tcBorders>
              <w:top w:val="nil"/>
              <w:left w:val="nil"/>
              <w:bottom w:val="nil"/>
              <w:right w:val="nil"/>
            </w:tcBorders>
            <w:noWrap/>
            <w:vAlign w:val="bottom"/>
            <w:hideMark/>
          </w:tcPr>
          <w:p w14:paraId="5755CC2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1184C86F"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2E0A17E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442C62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0B81DC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525B5F2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165EC279"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4C576B3B"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50B9970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7AE3537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43" w:type="dxa"/>
            <w:tcBorders>
              <w:top w:val="nil"/>
              <w:left w:val="nil"/>
              <w:bottom w:val="nil"/>
              <w:right w:val="nil"/>
            </w:tcBorders>
            <w:noWrap/>
            <w:vAlign w:val="bottom"/>
            <w:hideMark/>
          </w:tcPr>
          <w:p w14:paraId="7E05BBFE"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3D09EF4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412DD900"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16EABD27"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r>
      <w:tr w:rsidR="001C175C" w:rsidRPr="001C175C" w14:paraId="57518823" w14:textId="77777777" w:rsidTr="001C175C">
        <w:trPr>
          <w:trHeight w:val="300"/>
          <w:jc w:val="center"/>
        </w:trPr>
        <w:tc>
          <w:tcPr>
            <w:tcW w:w="580" w:type="dxa"/>
            <w:tcBorders>
              <w:top w:val="nil"/>
              <w:left w:val="nil"/>
              <w:bottom w:val="nil"/>
              <w:right w:val="nil"/>
            </w:tcBorders>
            <w:noWrap/>
            <w:vAlign w:val="center"/>
            <w:hideMark/>
          </w:tcPr>
          <w:p w14:paraId="031E8FC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GY</w:t>
            </w:r>
          </w:p>
        </w:tc>
        <w:tc>
          <w:tcPr>
            <w:tcW w:w="1480" w:type="dxa"/>
            <w:tcBorders>
              <w:top w:val="nil"/>
              <w:left w:val="nil"/>
              <w:bottom w:val="nil"/>
              <w:right w:val="nil"/>
            </w:tcBorders>
            <w:noWrap/>
            <w:vAlign w:val="center"/>
            <w:hideMark/>
          </w:tcPr>
          <w:p w14:paraId="467F748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adjusted</w:t>
            </w:r>
          </w:p>
        </w:tc>
        <w:tc>
          <w:tcPr>
            <w:tcW w:w="344" w:type="dxa"/>
            <w:tcBorders>
              <w:top w:val="nil"/>
              <w:left w:val="nil"/>
              <w:bottom w:val="nil"/>
              <w:right w:val="nil"/>
            </w:tcBorders>
            <w:noWrap/>
            <w:vAlign w:val="bottom"/>
            <w:hideMark/>
          </w:tcPr>
          <w:p w14:paraId="22A63CB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5E73B82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186DA10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0C7DEC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4EBAC34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6DE230B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1974BA79"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2E22788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7B76418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02BC051A"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021C6714"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16AB195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3CF75253"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771E0FD0"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r>
      <w:tr w:rsidR="001C175C" w:rsidRPr="001C175C" w14:paraId="0951A16D" w14:textId="77777777" w:rsidTr="001C175C">
        <w:trPr>
          <w:trHeight w:val="300"/>
          <w:jc w:val="center"/>
        </w:trPr>
        <w:tc>
          <w:tcPr>
            <w:tcW w:w="580" w:type="dxa"/>
            <w:tcBorders>
              <w:top w:val="nil"/>
              <w:left w:val="nil"/>
              <w:bottom w:val="nil"/>
              <w:right w:val="nil"/>
            </w:tcBorders>
            <w:noWrap/>
            <w:vAlign w:val="center"/>
            <w:hideMark/>
          </w:tcPr>
          <w:p w14:paraId="6DE07E0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GY</w:t>
            </w:r>
          </w:p>
        </w:tc>
        <w:tc>
          <w:tcPr>
            <w:tcW w:w="1480" w:type="dxa"/>
            <w:tcBorders>
              <w:top w:val="nil"/>
              <w:left w:val="nil"/>
              <w:bottom w:val="nil"/>
              <w:right w:val="nil"/>
            </w:tcBorders>
            <w:noWrap/>
            <w:vAlign w:val="center"/>
            <w:hideMark/>
          </w:tcPr>
          <w:p w14:paraId="584EDDA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reaction_norm</w:t>
            </w:r>
          </w:p>
        </w:tc>
        <w:tc>
          <w:tcPr>
            <w:tcW w:w="344" w:type="dxa"/>
            <w:tcBorders>
              <w:top w:val="nil"/>
              <w:left w:val="nil"/>
              <w:bottom w:val="nil"/>
              <w:right w:val="nil"/>
            </w:tcBorders>
            <w:noWrap/>
            <w:vAlign w:val="bottom"/>
            <w:hideMark/>
          </w:tcPr>
          <w:p w14:paraId="649A421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0CE6077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6FB9CA1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58A5DA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683770D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31F193A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1BBAE89B"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50" w:type="dxa"/>
            <w:tcBorders>
              <w:top w:val="nil"/>
              <w:left w:val="nil"/>
              <w:bottom w:val="nil"/>
              <w:right w:val="nil"/>
            </w:tcBorders>
            <w:noWrap/>
            <w:vAlign w:val="bottom"/>
            <w:hideMark/>
          </w:tcPr>
          <w:p w14:paraId="6C7A41D8"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293CFCDF"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3BDC52A"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4241A10B"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6ACBF31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D39C03A"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1B90491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r>
      <w:tr w:rsidR="001C175C" w:rsidRPr="001C175C" w14:paraId="41C61A53" w14:textId="77777777" w:rsidTr="001C175C">
        <w:trPr>
          <w:trHeight w:val="300"/>
          <w:jc w:val="center"/>
        </w:trPr>
        <w:tc>
          <w:tcPr>
            <w:tcW w:w="580" w:type="dxa"/>
            <w:tcBorders>
              <w:top w:val="nil"/>
              <w:left w:val="nil"/>
              <w:bottom w:val="nil"/>
              <w:right w:val="nil"/>
            </w:tcBorders>
            <w:noWrap/>
            <w:vAlign w:val="center"/>
            <w:hideMark/>
          </w:tcPr>
          <w:p w14:paraId="1BAA757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1480" w:type="dxa"/>
            <w:tcBorders>
              <w:top w:val="nil"/>
              <w:left w:val="nil"/>
              <w:bottom w:val="nil"/>
              <w:right w:val="nil"/>
            </w:tcBorders>
            <w:noWrap/>
            <w:vAlign w:val="center"/>
            <w:hideMark/>
          </w:tcPr>
          <w:p w14:paraId="7568354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4" w:type="dxa"/>
            <w:tcBorders>
              <w:top w:val="nil"/>
              <w:left w:val="nil"/>
              <w:bottom w:val="nil"/>
              <w:right w:val="nil"/>
            </w:tcBorders>
            <w:noWrap/>
            <w:vAlign w:val="bottom"/>
            <w:hideMark/>
          </w:tcPr>
          <w:p w14:paraId="39D1051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22BC250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26E5852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E326D4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7F963E0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41D5EC6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6DB1A3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5E8A627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7DEF391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5D6D9EA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16CB6E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52B178E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7D7856EF"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CAC1C4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2D5BFF4F" w14:textId="77777777" w:rsidTr="001C175C">
        <w:trPr>
          <w:trHeight w:val="300"/>
          <w:jc w:val="center"/>
        </w:trPr>
        <w:tc>
          <w:tcPr>
            <w:tcW w:w="580" w:type="dxa"/>
            <w:tcBorders>
              <w:top w:val="nil"/>
              <w:left w:val="nil"/>
              <w:bottom w:val="nil"/>
              <w:right w:val="nil"/>
            </w:tcBorders>
            <w:noWrap/>
            <w:vAlign w:val="center"/>
            <w:hideMark/>
          </w:tcPr>
          <w:p w14:paraId="67ECBB0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TKW</w:t>
            </w:r>
          </w:p>
        </w:tc>
        <w:tc>
          <w:tcPr>
            <w:tcW w:w="1480" w:type="dxa"/>
            <w:tcBorders>
              <w:top w:val="nil"/>
              <w:left w:val="nil"/>
              <w:bottom w:val="nil"/>
              <w:right w:val="nil"/>
            </w:tcBorders>
            <w:noWrap/>
            <w:vAlign w:val="center"/>
            <w:hideMark/>
          </w:tcPr>
          <w:p w14:paraId="7FCF729F"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unadj</w:t>
            </w:r>
          </w:p>
        </w:tc>
        <w:tc>
          <w:tcPr>
            <w:tcW w:w="344" w:type="dxa"/>
            <w:tcBorders>
              <w:top w:val="nil"/>
              <w:left w:val="nil"/>
              <w:bottom w:val="nil"/>
              <w:right w:val="nil"/>
            </w:tcBorders>
            <w:noWrap/>
            <w:vAlign w:val="bottom"/>
            <w:hideMark/>
          </w:tcPr>
          <w:p w14:paraId="546D4CB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002544E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30D20B4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507216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7D98106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4DBB1A6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1DF10EE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43D49452"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4D4AEBAC"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30" w:type="dxa"/>
            <w:tcBorders>
              <w:top w:val="nil"/>
              <w:left w:val="nil"/>
              <w:bottom w:val="nil"/>
              <w:right w:val="nil"/>
            </w:tcBorders>
            <w:noWrap/>
            <w:vAlign w:val="bottom"/>
            <w:hideMark/>
          </w:tcPr>
          <w:p w14:paraId="4E40162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0B9F9D62"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056574B3"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203A9E11"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03CEBE02"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r>
      <w:tr w:rsidR="001C175C" w:rsidRPr="001C175C" w14:paraId="398AABA9" w14:textId="77777777" w:rsidTr="001C175C">
        <w:trPr>
          <w:trHeight w:val="300"/>
          <w:jc w:val="center"/>
        </w:trPr>
        <w:tc>
          <w:tcPr>
            <w:tcW w:w="580" w:type="dxa"/>
            <w:tcBorders>
              <w:top w:val="nil"/>
              <w:left w:val="nil"/>
              <w:bottom w:val="nil"/>
              <w:right w:val="nil"/>
            </w:tcBorders>
            <w:noWrap/>
            <w:vAlign w:val="center"/>
            <w:hideMark/>
          </w:tcPr>
          <w:p w14:paraId="3D5E567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TKW</w:t>
            </w:r>
          </w:p>
        </w:tc>
        <w:tc>
          <w:tcPr>
            <w:tcW w:w="1480" w:type="dxa"/>
            <w:tcBorders>
              <w:top w:val="nil"/>
              <w:left w:val="nil"/>
              <w:bottom w:val="nil"/>
              <w:right w:val="nil"/>
            </w:tcBorders>
            <w:noWrap/>
            <w:vAlign w:val="center"/>
            <w:hideMark/>
          </w:tcPr>
          <w:p w14:paraId="6727C1C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adjusted</w:t>
            </w:r>
          </w:p>
        </w:tc>
        <w:tc>
          <w:tcPr>
            <w:tcW w:w="344" w:type="dxa"/>
            <w:tcBorders>
              <w:top w:val="nil"/>
              <w:left w:val="nil"/>
              <w:bottom w:val="nil"/>
              <w:right w:val="nil"/>
            </w:tcBorders>
            <w:noWrap/>
            <w:vAlign w:val="bottom"/>
            <w:hideMark/>
          </w:tcPr>
          <w:p w14:paraId="7B4127F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0DA6E53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56B3D7D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C6BB4F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5B0B00A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502445E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1A9B97B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5E177881"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4576DBD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7BDC5497"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4EA6195E"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5528165F"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7DEF1193"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57823727"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r>
      <w:tr w:rsidR="001C175C" w:rsidRPr="001C175C" w14:paraId="23FFA9F4" w14:textId="77777777" w:rsidTr="001C175C">
        <w:trPr>
          <w:trHeight w:val="300"/>
          <w:jc w:val="center"/>
        </w:trPr>
        <w:tc>
          <w:tcPr>
            <w:tcW w:w="580" w:type="dxa"/>
            <w:tcBorders>
              <w:top w:val="nil"/>
              <w:left w:val="nil"/>
              <w:bottom w:val="nil"/>
              <w:right w:val="nil"/>
            </w:tcBorders>
            <w:noWrap/>
            <w:vAlign w:val="center"/>
            <w:hideMark/>
          </w:tcPr>
          <w:p w14:paraId="17E839B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TKW</w:t>
            </w:r>
          </w:p>
        </w:tc>
        <w:tc>
          <w:tcPr>
            <w:tcW w:w="1480" w:type="dxa"/>
            <w:tcBorders>
              <w:top w:val="nil"/>
              <w:left w:val="nil"/>
              <w:bottom w:val="nil"/>
              <w:right w:val="nil"/>
            </w:tcBorders>
            <w:noWrap/>
            <w:vAlign w:val="center"/>
            <w:hideMark/>
          </w:tcPr>
          <w:p w14:paraId="42FB6B6A"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reaction_norm</w:t>
            </w:r>
          </w:p>
        </w:tc>
        <w:tc>
          <w:tcPr>
            <w:tcW w:w="344" w:type="dxa"/>
            <w:tcBorders>
              <w:top w:val="nil"/>
              <w:left w:val="nil"/>
              <w:bottom w:val="nil"/>
              <w:right w:val="nil"/>
            </w:tcBorders>
            <w:noWrap/>
            <w:vAlign w:val="bottom"/>
            <w:hideMark/>
          </w:tcPr>
          <w:p w14:paraId="425488F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401836B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7BF6E38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49840AA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6999D40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4D67FA3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28F607F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019D34C1"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06FD7A4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30" w:type="dxa"/>
            <w:tcBorders>
              <w:top w:val="nil"/>
              <w:left w:val="nil"/>
              <w:bottom w:val="nil"/>
              <w:right w:val="nil"/>
            </w:tcBorders>
            <w:noWrap/>
            <w:vAlign w:val="bottom"/>
            <w:hideMark/>
          </w:tcPr>
          <w:p w14:paraId="45499991"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43" w:type="dxa"/>
            <w:tcBorders>
              <w:top w:val="nil"/>
              <w:left w:val="nil"/>
              <w:bottom w:val="nil"/>
              <w:right w:val="nil"/>
            </w:tcBorders>
            <w:noWrap/>
            <w:vAlign w:val="bottom"/>
            <w:hideMark/>
          </w:tcPr>
          <w:p w14:paraId="33951A7E"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7A262897"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30" w:type="dxa"/>
            <w:tcBorders>
              <w:top w:val="nil"/>
              <w:left w:val="nil"/>
              <w:bottom w:val="nil"/>
              <w:right w:val="nil"/>
            </w:tcBorders>
            <w:noWrap/>
            <w:vAlign w:val="bottom"/>
            <w:hideMark/>
          </w:tcPr>
          <w:p w14:paraId="24F01A60"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2A308F8C"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r>
      <w:tr w:rsidR="001C175C" w:rsidRPr="001C175C" w14:paraId="304B7F80" w14:textId="77777777" w:rsidTr="001C175C">
        <w:trPr>
          <w:trHeight w:val="300"/>
          <w:jc w:val="center"/>
        </w:trPr>
        <w:tc>
          <w:tcPr>
            <w:tcW w:w="580" w:type="dxa"/>
            <w:tcBorders>
              <w:top w:val="nil"/>
              <w:left w:val="nil"/>
              <w:bottom w:val="nil"/>
              <w:right w:val="nil"/>
            </w:tcBorders>
            <w:noWrap/>
            <w:vAlign w:val="center"/>
            <w:hideMark/>
          </w:tcPr>
          <w:p w14:paraId="2227C30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1480" w:type="dxa"/>
            <w:tcBorders>
              <w:top w:val="nil"/>
              <w:left w:val="nil"/>
              <w:bottom w:val="nil"/>
              <w:right w:val="nil"/>
            </w:tcBorders>
            <w:noWrap/>
            <w:vAlign w:val="center"/>
            <w:hideMark/>
          </w:tcPr>
          <w:p w14:paraId="6A7248D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4" w:type="dxa"/>
            <w:tcBorders>
              <w:top w:val="nil"/>
              <w:left w:val="nil"/>
              <w:bottom w:val="nil"/>
              <w:right w:val="nil"/>
            </w:tcBorders>
            <w:noWrap/>
            <w:vAlign w:val="bottom"/>
            <w:hideMark/>
          </w:tcPr>
          <w:p w14:paraId="3D60999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3DF15F5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6FE387DC"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6DFFB69"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59BCA19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3491064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AAA065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27C214D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5BA56E4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7484067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07F8BBF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6C4F467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384E763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5198D38"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r>
      <w:tr w:rsidR="001C175C" w:rsidRPr="001C175C" w14:paraId="1BEDAA81" w14:textId="77777777" w:rsidTr="001C175C">
        <w:trPr>
          <w:trHeight w:val="300"/>
          <w:jc w:val="center"/>
        </w:trPr>
        <w:tc>
          <w:tcPr>
            <w:tcW w:w="580" w:type="dxa"/>
            <w:tcBorders>
              <w:top w:val="nil"/>
              <w:left w:val="nil"/>
              <w:bottom w:val="nil"/>
              <w:right w:val="nil"/>
            </w:tcBorders>
            <w:noWrap/>
            <w:vAlign w:val="center"/>
            <w:hideMark/>
          </w:tcPr>
          <w:p w14:paraId="5B67296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TW</w:t>
            </w:r>
          </w:p>
        </w:tc>
        <w:tc>
          <w:tcPr>
            <w:tcW w:w="1480" w:type="dxa"/>
            <w:tcBorders>
              <w:top w:val="nil"/>
              <w:left w:val="nil"/>
              <w:bottom w:val="nil"/>
              <w:right w:val="nil"/>
            </w:tcBorders>
            <w:noWrap/>
            <w:vAlign w:val="center"/>
            <w:hideMark/>
          </w:tcPr>
          <w:p w14:paraId="1FABBDA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unadj</w:t>
            </w:r>
          </w:p>
        </w:tc>
        <w:tc>
          <w:tcPr>
            <w:tcW w:w="344" w:type="dxa"/>
            <w:tcBorders>
              <w:top w:val="nil"/>
              <w:left w:val="nil"/>
              <w:bottom w:val="nil"/>
              <w:right w:val="nil"/>
            </w:tcBorders>
            <w:noWrap/>
            <w:vAlign w:val="bottom"/>
            <w:hideMark/>
          </w:tcPr>
          <w:p w14:paraId="1A970E0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3001E70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5408D221"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71722CFA"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44346FBA"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2AAF049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1750F74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182ACBB0"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43" w:type="dxa"/>
            <w:tcBorders>
              <w:top w:val="nil"/>
              <w:left w:val="nil"/>
              <w:bottom w:val="nil"/>
              <w:right w:val="nil"/>
            </w:tcBorders>
            <w:noWrap/>
            <w:vAlign w:val="bottom"/>
            <w:hideMark/>
          </w:tcPr>
          <w:p w14:paraId="3CD4EC90"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4F84310B"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1D5A5FF2"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2F1F7E70"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66425904"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1A5DCF7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r>
      <w:tr w:rsidR="001C175C" w:rsidRPr="001C175C" w14:paraId="72C3C9B0" w14:textId="77777777" w:rsidTr="001C175C">
        <w:trPr>
          <w:trHeight w:val="300"/>
          <w:jc w:val="center"/>
        </w:trPr>
        <w:tc>
          <w:tcPr>
            <w:tcW w:w="580" w:type="dxa"/>
            <w:tcBorders>
              <w:top w:val="nil"/>
              <w:left w:val="nil"/>
              <w:bottom w:val="nil"/>
              <w:right w:val="nil"/>
            </w:tcBorders>
            <w:noWrap/>
            <w:vAlign w:val="center"/>
            <w:hideMark/>
          </w:tcPr>
          <w:p w14:paraId="07B2E44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TW</w:t>
            </w:r>
          </w:p>
        </w:tc>
        <w:tc>
          <w:tcPr>
            <w:tcW w:w="1480" w:type="dxa"/>
            <w:tcBorders>
              <w:top w:val="nil"/>
              <w:left w:val="nil"/>
              <w:bottom w:val="nil"/>
              <w:right w:val="nil"/>
            </w:tcBorders>
            <w:noWrap/>
            <w:vAlign w:val="center"/>
            <w:hideMark/>
          </w:tcPr>
          <w:p w14:paraId="74EBD08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adjusted</w:t>
            </w:r>
          </w:p>
        </w:tc>
        <w:tc>
          <w:tcPr>
            <w:tcW w:w="344" w:type="dxa"/>
            <w:tcBorders>
              <w:top w:val="nil"/>
              <w:left w:val="nil"/>
              <w:bottom w:val="nil"/>
              <w:right w:val="nil"/>
            </w:tcBorders>
            <w:noWrap/>
            <w:vAlign w:val="bottom"/>
            <w:hideMark/>
          </w:tcPr>
          <w:p w14:paraId="15ABC45B"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1" w:type="dxa"/>
            <w:tcBorders>
              <w:top w:val="nil"/>
              <w:left w:val="nil"/>
              <w:bottom w:val="nil"/>
              <w:right w:val="nil"/>
            </w:tcBorders>
            <w:noWrap/>
            <w:vAlign w:val="bottom"/>
            <w:hideMark/>
          </w:tcPr>
          <w:p w14:paraId="79988D8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6C7A7644"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31180338"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0140403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50" w:type="dxa"/>
            <w:tcBorders>
              <w:top w:val="nil"/>
              <w:left w:val="nil"/>
              <w:bottom w:val="nil"/>
              <w:right w:val="nil"/>
            </w:tcBorders>
            <w:noWrap/>
            <w:vAlign w:val="bottom"/>
            <w:hideMark/>
          </w:tcPr>
          <w:p w14:paraId="18EBE1F6"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43" w:type="dxa"/>
            <w:tcBorders>
              <w:top w:val="nil"/>
              <w:left w:val="nil"/>
              <w:bottom w:val="nil"/>
              <w:right w:val="nil"/>
            </w:tcBorders>
            <w:noWrap/>
            <w:vAlign w:val="bottom"/>
            <w:hideMark/>
          </w:tcPr>
          <w:p w14:paraId="2C485065"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50" w:type="dxa"/>
            <w:tcBorders>
              <w:top w:val="nil"/>
              <w:left w:val="nil"/>
              <w:bottom w:val="nil"/>
              <w:right w:val="nil"/>
            </w:tcBorders>
            <w:noWrap/>
            <w:vAlign w:val="bottom"/>
            <w:hideMark/>
          </w:tcPr>
          <w:p w14:paraId="6D40F03E"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6F4D6FE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nil"/>
              <w:right w:val="nil"/>
            </w:tcBorders>
            <w:noWrap/>
            <w:vAlign w:val="bottom"/>
            <w:hideMark/>
          </w:tcPr>
          <w:p w14:paraId="08CAA60C"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c>
          <w:tcPr>
            <w:tcW w:w="343" w:type="dxa"/>
            <w:tcBorders>
              <w:top w:val="nil"/>
              <w:left w:val="nil"/>
              <w:bottom w:val="nil"/>
              <w:right w:val="nil"/>
            </w:tcBorders>
            <w:noWrap/>
            <w:vAlign w:val="bottom"/>
            <w:hideMark/>
          </w:tcPr>
          <w:p w14:paraId="6150C597"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72B92AA3"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p>
        </w:tc>
        <w:tc>
          <w:tcPr>
            <w:tcW w:w="330" w:type="dxa"/>
            <w:tcBorders>
              <w:top w:val="nil"/>
              <w:left w:val="nil"/>
              <w:bottom w:val="nil"/>
              <w:right w:val="nil"/>
            </w:tcBorders>
            <w:noWrap/>
            <w:vAlign w:val="bottom"/>
            <w:hideMark/>
          </w:tcPr>
          <w:p w14:paraId="44A5A7E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nil"/>
              <w:right w:val="nil"/>
            </w:tcBorders>
            <w:noWrap/>
            <w:vAlign w:val="bottom"/>
            <w:hideMark/>
          </w:tcPr>
          <w:p w14:paraId="2227FA8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p>
        </w:tc>
      </w:tr>
      <w:tr w:rsidR="001C175C" w:rsidRPr="001C175C" w14:paraId="355B1756" w14:textId="77777777" w:rsidTr="001C175C">
        <w:trPr>
          <w:trHeight w:val="300"/>
          <w:jc w:val="center"/>
        </w:trPr>
        <w:tc>
          <w:tcPr>
            <w:tcW w:w="580" w:type="dxa"/>
            <w:tcBorders>
              <w:top w:val="nil"/>
              <w:left w:val="nil"/>
              <w:bottom w:val="single" w:sz="4" w:space="0" w:color="auto"/>
              <w:right w:val="nil"/>
            </w:tcBorders>
            <w:noWrap/>
            <w:vAlign w:val="center"/>
            <w:hideMark/>
          </w:tcPr>
          <w:p w14:paraId="5C1D564D"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TW</w:t>
            </w:r>
          </w:p>
        </w:tc>
        <w:tc>
          <w:tcPr>
            <w:tcW w:w="1480" w:type="dxa"/>
            <w:tcBorders>
              <w:top w:val="nil"/>
              <w:left w:val="nil"/>
              <w:bottom w:val="single" w:sz="4" w:space="0" w:color="auto"/>
              <w:right w:val="nil"/>
            </w:tcBorders>
            <w:noWrap/>
            <w:vAlign w:val="center"/>
            <w:hideMark/>
          </w:tcPr>
          <w:p w14:paraId="6C84C16E" w14:textId="77777777" w:rsidR="001C175C" w:rsidRPr="001C175C" w:rsidRDefault="001C175C" w:rsidP="001C175C">
            <w:pPr>
              <w:spacing w:after="0" w:line="240" w:lineRule="auto"/>
              <w:jc w:val="center"/>
              <w:rPr>
                <w:rFonts w:ascii="Arial" w:eastAsia="Times New Roman" w:hAnsi="Arial" w:cs="Arial"/>
                <w:kern w:val="0"/>
                <w:sz w:val="16"/>
                <w:szCs w:val="16"/>
                <w14:ligatures w14:val="none"/>
              </w:rPr>
            </w:pPr>
            <w:r w:rsidRPr="001C175C">
              <w:rPr>
                <w:rFonts w:ascii="Arial" w:eastAsia="Times New Roman" w:hAnsi="Arial" w:cs="Arial"/>
                <w:kern w:val="0"/>
                <w:sz w:val="16"/>
                <w:szCs w:val="16"/>
                <w14:ligatures w14:val="none"/>
              </w:rPr>
              <w:t>reaction_norm</w:t>
            </w:r>
          </w:p>
        </w:tc>
        <w:tc>
          <w:tcPr>
            <w:tcW w:w="344" w:type="dxa"/>
            <w:tcBorders>
              <w:top w:val="nil"/>
              <w:left w:val="nil"/>
              <w:bottom w:val="single" w:sz="4" w:space="0" w:color="auto"/>
              <w:right w:val="nil"/>
            </w:tcBorders>
            <w:noWrap/>
            <w:vAlign w:val="bottom"/>
            <w:hideMark/>
          </w:tcPr>
          <w:p w14:paraId="3BFD83A9"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 </w:t>
            </w:r>
          </w:p>
        </w:tc>
        <w:tc>
          <w:tcPr>
            <w:tcW w:w="331" w:type="dxa"/>
            <w:tcBorders>
              <w:top w:val="nil"/>
              <w:left w:val="nil"/>
              <w:bottom w:val="single" w:sz="4" w:space="0" w:color="auto"/>
              <w:right w:val="nil"/>
            </w:tcBorders>
            <w:noWrap/>
            <w:vAlign w:val="bottom"/>
            <w:hideMark/>
          </w:tcPr>
          <w:p w14:paraId="07B0B70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 </w:t>
            </w:r>
          </w:p>
        </w:tc>
        <w:tc>
          <w:tcPr>
            <w:tcW w:w="350" w:type="dxa"/>
            <w:tcBorders>
              <w:top w:val="nil"/>
              <w:left w:val="nil"/>
              <w:bottom w:val="single" w:sz="4" w:space="0" w:color="auto"/>
              <w:right w:val="nil"/>
            </w:tcBorders>
            <w:noWrap/>
            <w:vAlign w:val="bottom"/>
            <w:hideMark/>
          </w:tcPr>
          <w:p w14:paraId="216B1A3B"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 </w:t>
            </w:r>
          </w:p>
        </w:tc>
        <w:tc>
          <w:tcPr>
            <w:tcW w:w="343" w:type="dxa"/>
            <w:tcBorders>
              <w:top w:val="nil"/>
              <w:left w:val="nil"/>
              <w:bottom w:val="single" w:sz="4" w:space="0" w:color="auto"/>
              <w:right w:val="nil"/>
            </w:tcBorders>
            <w:noWrap/>
            <w:vAlign w:val="bottom"/>
            <w:hideMark/>
          </w:tcPr>
          <w:p w14:paraId="24DA1F3A"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w:t>
            </w:r>
          </w:p>
        </w:tc>
        <w:tc>
          <w:tcPr>
            <w:tcW w:w="330" w:type="dxa"/>
            <w:tcBorders>
              <w:top w:val="nil"/>
              <w:left w:val="nil"/>
              <w:bottom w:val="single" w:sz="4" w:space="0" w:color="auto"/>
              <w:right w:val="nil"/>
            </w:tcBorders>
            <w:noWrap/>
            <w:vAlign w:val="bottom"/>
            <w:hideMark/>
          </w:tcPr>
          <w:p w14:paraId="5EECCD1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 </w:t>
            </w:r>
          </w:p>
        </w:tc>
        <w:tc>
          <w:tcPr>
            <w:tcW w:w="350" w:type="dxa"/>
            <w:tcBorders>
              <w:top w:val="nil"/>
              <w:left w:val="nil"/>
              <w:bottom w:val="single" w:sz="4" w:space="0" w:color="auto"/>
              <w:right w:val="nil"/>
            </w:tcBorders>
            <w:noWrap/>
            <w:vAlign w:val="bottom"/>
            <w:hideMark/>
          </w:tcPr>
          <w:p w14:paraId="3D8496B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 </w:t>
            </w:r>
          </w:p>
        </w:tc>
        <w:tc>
          <w:tcPr>
            <w:tcW w:w="343" w:type="dxa"/>
            <w:tcBorders>
              <w:top w:val="nil"/>
              <w:left w:val="nil"/>
              <w:bottom w:val="single" w:sz="4" w:space="0" w:color="auto"/>
              <w:right w:val="nil"/>
            </w:tcBorders>
            <w:noWrap/>
            <w:vAlign w:val="bottom"/>
            <w:hideMark/>
          </w:tcPr>
          <w:p w14:paraId="2297B105"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 </w:t>
            </w:r>
          </w:p>
        </w:tc>
        <w:tc>
          <w:tcPr>
            <w:tcW w:w="350" w:type="dxa"/>
            <w:tcBorders>
              <w:top w:val="nil"/>
              <w:left w:val="nil"/>
              <w:bottom w:val="single" w:sz="4" w:space="0" w:color="auto"/>
              <w:right w:val="nil"/>
            </w:tcBorders>
            <w:noWrap/>
            <w:vAlign w:val="bottom"/>
            <w:hideMark/>
          </w:tcPr>
          <w:p w14:paraId="306ED6EC"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single" w:sz="4" w:space="0" w:color="auto"/>
              <w:right w:val="nil"/>
            </w:tcBorders>
            <w:noWrap/>
            <w:vAlign w:val="bottom"/>
            <w:hideMark/>
          </w:tcPr>
          <w:p w14:paraId="2737E7D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30" w:type="dxa"/>
            <w:tcBorders>
              <w:top w:val="nil"/>
              <w:left w:val="nil"/>
              <w:bottom w:val="single" w:sz="4" w:space="0" w:color="auto"/>
              <w:right w:val="nil"/>
            </w:tcBorders>
            <w:noWrap/>
            <w:vAlign w:val="bottom"/>
            <w:hideMark/>
          </w:tcPr>
          <w:p w14:paraId="26C6D1BE"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 </w:t>
            </w:r>
          </w:p>
        </w:tc>
        <w:tc>
          <w:tcPr>
            <w:tcW w:w="343" w:type="dxa"/>
            <w:tcBorders>
              <w:top w:val="nil"/>
              <w:left w:val="nil"/>
              <w:bottom w:val="single" w:sz="4" w:space="0" w:color="auto"/>
              <w:right w:val="nil"/>
            </w:tcBorders>
            <w:noWrap/>
            <w:vAlign w:val="bottom"/>
            <w:hideMark/>
          </w:tcPr>
          <w:p w14:paraId="3469324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 </w:t>
            </w:r>
          </w:p>
        </w:tc>
        <w:tc>
          <w:tcPr>
            <w:tcW w:w="330" w:type="dxa"/>
            <w:tcBorders>
              <w:top w:val="nil"/>
              <w:left w:val="nil"/>
              <w:bottom w:val="single" w:sz="4" w:space="0" w:color="auto"/>
              <w:right w:val="nil"/>
            </w:tcBorders>
            <w:noWrap/>
            <w:vAlign w:val="bottom"/>
            <w:hideMark/>
          </w:tcPr>
          <w:p w14:paraId="42BB8A5D"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 </w:t>
            </w:r>
          </w:p>
        </w:tc>
        <w:tc>
          <w:tcPr>
            <w:tcW w:w="330" w:type="dxa"/>
            <w:tcBorders>
              <w:top w:val="nil"/>
              <w:left w:val="nil"/>
              <w:bottom w:val="single" w:sz="4" w:space="0" w:color="auto"/>
              <w:right w:val="nil"/>
            </w:tcBorders>
            <w:noWrap/>
            <w:vAlign w:val="bottom"/>
            <w:hideMark/>
          </w:tcPr>
          <w:p w14:paraId="2FB7FC2F"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X</w:t>
            </w:r>
          </w:p>
        </w:tc>
        <w:tc>
          <w:tcPr>
            <w:tcW w:w="343" w:type="dxa"/>
            <w:tcBorders>
              <w:top w:val="nil"/>
              <w:left w:val="nil"/>
              <w:bottom w:val="single" w:sz="4" w:space="0" w:color="auto"/>
              <w:right w:val="nil"/>
            </w:tcBorders>
            <w:noWrap/>
            <w:vAlign w:val="bottom"/>
            <w:hideMark/>
          </w:tcPr>
          <w:p w14:paraId="40526E37" w14:textId="77777777" w:rsidR="001C175C" w:rsidRPr="001C175C" w:rsidRDefault="001C175C" w:rsidP="001C175C">
            <w:pPr>
              <w:spacing w:after="0" w:line="240" w:lineRule="auto"/>
              <w:jc w:val="center"/>
              <w:rPr>
                <w:rFonts w:ascii="Arial" w:eastAsia="Times New Roman" w:hAnsi="Arial" w:cs="Arial"/>
                <w:color w:val="000000"/>
                <w:kern w:val="0"/>
                <w:sz w:val="16"/>
                <w:szCs w:val="16"/>
                <w14:ligatures w14:val="none"/>
              </w:rPr>
            </w:pPr>
            <w:r w:rsidRPr="001C175C">
              <w:rPr>
                <w:rFonts w:ascii="Arial" w:eastAsia="Times New Roman" w:hAnsi="Arial" w:cs="Arial"/>
                <w:color w:val="000000"/>
                <w:kern w:val="0"/>
                <w:sz w:val="16"/>
                <w:szCs w:val="16"/>
                <w14:ligatures w14:val="none"/>
              </w:rPr>
              <w:t> </w:t>
            </w:r>
          </w:p>
        </w:tc>
      </w:tr>
    </w:tbl>
    <w:p w14:paraId="146E16BB" w14:textId="77777777" w:rsidR="000C6F4C" w:rsidRPr="00894E04" w:rsidRDefault="000C6F4C" w:rsidP="00894E04">
      <w:pPr>
        <w:spacing w:line="240" w:lineRule="auto"/>
        <w:rPr>
          <w:rFonts w:ascii="Arial" w:hAnsi="Arial" w:cs="Arial"/>
          <w:sz w:val="22"/>
          <w:szCs w:val="22"/>
        </w:rPr>
      </w:pPr>
    </w:p>
    <w:p w14:paraId="38C73F97" w14:textId="32A932D3" w:rsidR="0019004F" w:rsidRDefault="0019004F" w:rsidP="00894E04">
      <w:pPr>
        <w:spacing w:line="240" w:lineRule="auto"/>
        <w:rPr>
          <w:rFonts w:ascii="Arial" w:hAnsi="Arial" w:cs="Arial"/>
          <w:b/>
          <w:bCs/>
          <w:sz w:val="22"/>
          <w:szCs w:val="22"/>
        </w:rPr>
      </w:pPr>
      <w:r w:rsidRPr="00894E04">
        <w:rPr>
          <w:rFonts w:ascii="Arial" w:hAnsi="Arial" w:cs="Arial"/>
          <w:b/>
          <w:bCs/>
          <w:sz w:val="22"/>
          <w:szCs w:val="22"/>
        </w:rPr>
        <w:t>Discussion</w:t>
      </w:r>
    </w:p>
    <w:p w14:paraId="65FE77A9" w14:textId="7A7BD6FF" w:rsidR="00544D38" w:rsidRDefault="001F13A1" w:rsidP="00894E04">
      <w:pPr>
        <w:spacing w:line="240" w:lineRule="auto"/>
        <w:rPr>
          <w:rFonts w:ascii="Arial" w:hAnsi="Arial" w:cs="Arial"/>
          <w:sz w:val="22"/>
          <w:szCs w:val="22"/>
        </w:rPr>
      </w:pPr>
      <w:r>
        <w:rPr>
          <w:rFonts w:ascii="Arial" w:hAnsi="Arial" w:cs="Arial"/>
          <w:sz w:val="22"/>
          <w:szCs w:val="22"/>
        </w:rPr>
        <w:t>These results demonstrate that incorporating a data-derived drought susceptibility index (DSI) effectively reallocates phenotypic variance toward the genotypic component – particularly for grain yield (GY), from which DSI is directly derived</w:t>
      </w:r>
      <w:r w:rsidR="001F7BDC">
        <w:rPr>
          <w:rFonts w:ascii="Arial" w:hAnsi="Arial" w:cs="Arial"/>
          <w:sz w:val="22"/>
          <w:szCs w:val="22"/>
        </w:rPr>
        <w:t xml:space="preserve">. The baseline approach, however, outperformed drought-informed approaches in out-of-sample prediction (2022 RL), suggesting that </w:t>
      </w:r>
      <w:r w:rsidR="00766569">
        <w:rPr>
          <w:rFonts w:ascii="Arial" w:hAnsi="Arial" w:cs="Arial"/>
          <w:sz w:val="22"/>
          <w:szCs w:val="22"/>
        </w:rPr>
        <w:t xml:space="preserve">correction for </w:t>
      </w:r>
      <w:r w:rsidR="00AD500A">
        <w:rPr>
          <w:rFonts w:ascii="Arial" w:hAnsi="Arial" w:cs="Arial"/>
          <w:sz w:val="22"/>
          <w:szCs w:val="22"/>
        </w:rPr>
        <w:t xml:space="preserve">data-driven </w:t>
      </w:r>
      <w:r w:rsidR="00766569">
        <w:rPr>
          <w:rFonts w:ascii="Arial" w:hAnsi="Arial" w:cs="Arial"/>
          <w:sz w:val="22"/>
          <w:szCs w:val="22"/>
        </w:rPr>
        <w:t>drought-</w:t>
      </w:r>
      <w:r w:rsidR="00AD500A">
        <w:rPr>
          <w:rFonts w:ascii="Arial" w:hAnsi="Arial" w:cs="Arial"/>
          <w:sz w:val="22"/>
          <w:szCs w:val="22"/>
        </w:rPr>
        <w:t>related</w:t>
      </w:r>
      <w:r w:rsidR="00766569">
        <w:rPr>
          <w:rFonts w:ascii="Arial" w:hAnsi="Arial" w:cs="Arial"/>
          <w:sz w:val="22"/>
          <w:szCs w:val="22"/>
        </w:rPr>
        <w:t xml:space="preserve"> variance introduces an ascertainment bias that can lead to </w:t>
      </w:r>
      <w:r w:rsidR="00AD500A">
        <w:rPr>
          <w:rFonts w:ascii="Arial" w:hAnsi="Arial" w:cs="Arial"/>
          <w:sz w:val="22"/>
          <w:szCs w:val="22"/>
        </w:rPr>
        <w:t>overfitting when the same</w:t>
      </w:r>
      <w:r w:rsidR="005279A7">
        <w:rPr>
          <w:rFonts w:ascii="Arial" w:hAnsi="Arial" w:cs="Arial"/>
          <w:sz w:val="22"/>
          <w:szCs w:val="22"/>
        </w:rPr>
        <w:t xml:space="preserve"> trait underlies both the index and the response. This finding underscores the classic tension between bias correction and prediction robustness.</w:t>
      </w:r>
    </w:p>
    <w:p w14:paraId="59272C4D" w14:textId="78A85459" w:rsidR="005279A7" w:rsidRDefault="005279A7" w:rsidP="00894E04">
      <w:pPr>
        <w:spacing w:line="240" w:lineRule="auto"/>
        <w:rPr>
          <w:rFonts w:ascii="Arial" w:hAnsi="Arial" w:cs="Arial"/>
          <w:sz w:val="22"/>
          <w:szCs w:val="22"/>
        </w:rPr>
      </w:pPr>
      <w:r>
        <w:rPr>
          <w:rFonts w:ascii="Arial" w:hAnsi="Arial" w:cs="Arial"/>
          <w:sz w:val="22"/>
          <w:szCs w:val="22"/>
        </w:rPr>
        <w:t xml:space="preserve">Secondary component traits showed more nuanced responses to DSI correction. </w:t>
      </w:r>
      <w:r w:rsidR="007F08C8">
        <w:rPr>
          <w:rFonts w:ascii="Arial" w:hAnsi="Arial" w:cs="Arial"/>
          <w:sz w:val="22"/>
          <w:szCs w:val="22"/>
        </w:rPr>
        <w:t xml:space="preserve">Plant height (PH) and senescence date (SD), both known to </w:t>
      </w:r>
      <w:r w:rsidR="00391652">
        <w:rPr>
          <w:rFonts w:ascii="Arial" w:hAnsi="Arial" w:cs="Arial"/>
          <w:sz w:val="22"/>
          <w:szCs w:val="22"/>
        </w:rPr>
        <w:t>be affected under water deficit (Blum</w:t>
      </w:r>
      <w:r w:rsidR="00AE65BD">
        <w:rPr>
          <w:rFonts w:ascii="Arial" w:hAnsi="Arial" w:cs="Arial"/>
          <w:sz w:val="22"/>
          <w:szCs w:val="22"/>
        </w:rPr>
        <w:t>,</w:t>
      </w:r>
      <w:r w:rsidR="00391652">
        <w:rPr>
          <w:rFonts w:ascii="Arial" w:hAnsi="Arial" w:cs="Arial"/>
          <w:sz w:val="22"/>
          <w:szCs w:val="22"/>
        </w:rPr>
        <w:t xml:space="preserve"> 2015)</w:t>
      </w:r>
      <w:r w:rsidR="00AE65BD">
        <w:rPr>
          <w:rFonts w:ascii="Arial" w:hAnsi="Arial" w:cs="Arial"/>
          <w:sz w:val="22"/>
          <w:szCs w:val="22"/>
        </w:rPr>
        <w:t xml:space="preserve">, exhibited nearly identical predictive metrics across models. </w:t>
      </w:r>
      <w:r w:rsidR="00624F25">
        <w:rPr>
          <w:rFonts w:ascii="Arial" w:hAnsi="Arial" w:cs="Arial"/>
          <w:sz w:val="22"/>
          <w:szCs w:val="22"/>
        </w:rPr>
        <w:t xml:space="preserve">Reaction-norm modeling (Approach 3) did uncover additional marker-trait associations – such as loci on 1D and 2B for PH </w:t>
      </w:r>
      <w:r w:rsidR="003A38A2">
        <w:rPr>
          <w:rFonts w:ascii="Arial" w:hAnsi="Arial" w:cs="Arial"/>
          <w:sz w:val="22"/>
          <w:szCs w:val="22"/>
        </w:rPr>
        <w:t>–</w:t>
      </w:r>
      <w:r w:rsidR="00624F25">
        <w:rPr>
          <w:rFonts w:ascii="Arial" w:hAnsi="Arial" w:cs="Arial"/>
          <w:sz w:val="22"/>
          <w:szCs w:val="22"/>
        </w:rPr>
        <w:t xml:space="preserve"> </w:t>
      </w:r>
      <w:r w:rsidR="003A38A2">
        <w:rPr>
          <w:rFonts w:ascii="Arial" w:hAnsi="Arial" w:cs="Arial"/>
          <w:sz w:val="22"/>
          <w:szCs w:val="22"/>
        </w:rPr>
        <w:t>yet key known QTL</w:t>
      </w:r>
      <w:r w:rsidR="007B27C8">
        <w:rPr>
          <w:rFonts w:ascii="Arial" w:hAnsi="Arial" w:cs="Arial"/>
          <w:sz w:val="22"/>
          <w:szCs w:val="22"/>
        </w:rPr>
        <w:t xml:space="preserve"> (e.g., the </w:t>
      </w:r>
      <w:r w:rsidR="007B27C8">
        <w:rPr>
          <w:rFonts w:ascii="Arial" w:hAnsi="Arial" w:cs="Arial"/>
          <w:i/>
          <w:iCs/>
          <w:sz w:val="22"/>
          <w:szCs w:val="22"/>
        </w:rPr>
        <w:lastRenderedPageBreak/>
        <w:t>Rht-b1</w:t>
      </w:r>
      <w:r w:rsidR="001C2677">
        <w:rPr>
          <w:rFonts w:ascii="Arial" w:hAnsi="Arial" w:cs="Arial"/>
          <w:sz w:val="22"/>
          <w:szCs w:val="22"/>
        </w:rPr>
        <w:t xml:space="preserve"> height locus on 4B; Ellis et al., 2002) remained detectable regardless of drought adjustment</w:t>
      </w:r>
      <w:r w:rsidR="00651906">
        <w:rPr>
          <w:rFonts w:ascii="Arial" w:hAnsi="Arial" w:cs="Arial"/>
          <w:sz w:val="22"/>
          <w:szCs w:val="22"/>
        </w:rPr>
        <w:t>, indicating true genetic control that transcends water availability.</w:t>
      </w:r>
    </w:p>
    <w:p w14:paraId="29F3106B" w14:textId="1D1ADDC6" w:rsidR="00F20B06" w:rsidRDefault="00F20B06" w:rsidP="00894E04">
      <w:pPr>
        <w:spacing w:line="240" w:lineRule="auto"/>
        <w:rPr>
          <w:rFonts w:ascii="Arial" w:hAnsi="Arial" w:cs="Arial"/>
          <w:sz w:val="22"/>
          <w:szCs w:val="22"/>
        </w:rPr>
      </w:pPr>
      <w:r>
        <w:rPr>
          <w:rFonts w:ascii="Arial" w:hAnsi="Arial" w:cs="Arial"/>
          <w:sz w:val="22"/>
          <w:szCs w:val="22"/>
        </w:rPr>
        <w:t>Normalized difference vegetation index (NDVI) presented the greatest GxE challenge, with high environmental variance diluting repeatability. While reaction norm achieved superior in-sample fit, its out-of-sample performance and inflated marker discovery caution against assuming all emergent signals reflect genuine GxE decomposition rather than noise</w:t>
      </w:r>
      <w:r w:rsidR="00B8001B">
        <w:rPr>
          <w:rFonts w:ascii="Arial" w:hAnsi="Arial" w:cs="Arial"/>
          <w:sz w:val="22"/>
          <w:szCs w:val="22"/>
        </w:rPr>
        <w:t xml:space="preserve"> (</w:t>
      </w:r>
      <w:r w:rsidR="00B8001B" w:rsidRPr="00894E04">
        <w:rPr>
          <w:rFonts w:ascii="Arial" w:hAnsi="Arial" w:cs="Arial"/>
          <w:sz w:val="22"/>
          <w:szCs w:val="22"/>
        </w:rPr>
        <w:t>Jarquín</w:t>
      </w:r>
      <w:r w:rsidR="00B8001B">
        <w:rPr>
          <w:rFonts w:ascii="Arial" w:hAnsi="Arial" w:cs="Arial"/>
          <w:sz w:val="22"/>
          <w:szCs w:val="22"/>
        </w:rPr>
        <w:t xml:space="preserve"> et al., 2014)</w:t>
      </w:r>
      <w:r>
        <w:rPr>
          <w:rFonts w:ascii="Arial" w:hAnsi="Arial" w:cs="Arial"/>
          <w:sz w:val="22"/>
          <w:szCs w:val="22"/>
        </w:rPr>
        <w:t>.</w:t>
      </w:r>
    </w:p>
    <w:p w14:paraId="13882FD6" w14:textId="6BF39949" w:rsidR="009B3966" w:rsidRDefault="009B3966" w:rsidP="00894E04">
      <w:pPr>
        <w:spacing w:line="240" w:lineRule="auto"/>
        <w:rPr>
          <w:rFonts w:ascii="Arial" w:hAnsi="Arial" w:cs="Arial"/>
          <w:sz w:val="22"/>
          <w:szCs w:val="22"/>
        </w:rPr>
      </w:pPr>
      <w:r>
        <w:rPr>
          <w:rFonts w:ascii="Arial" w:hAnsi="Arial" w:cs="Arial"/>
          <w:sz w:val="22"/>
          <w:szCs w:val="22"/>
        </w:rPr>
        <w:t xml:space="preserve">Green reflectance (GR) benefited </w:t>
      </w:r>
      <w:r w:rsidR="0014113C">
        <w:rPr>
          <w:rFonts w:ascii="Arial" w:hAnsi="Arial" w:cs="Arial"/>
          <w:sz w:val="22"/>
          <w:szCs w:val="22"/>
        </w:rPr>
        <w:t xml:space="preserve">most consistently from reaction-norm modeling, attaining the highest repeatability, optimal AIC/BIC, and lowest test RMSE. Although major associations on chromosomes 1A and 2B were retained, the 5B peak collapsed under reaction norm – potentially indicating that this locus primarily drives GR variation under drought stress rather than baseline </w:t>
      </w:r>
      <w:r w:rsidR="00D72400">
        <w:rPr>
          <w:rFonts w:ascii="Arial" w:hAnsi="Arial" w:cs="Arial"/>
          <w:sz w:val="22"/>
          <w:szCs w:val="22"/>
        </w:rPr>
        <w:t xml:space="preserve">chlorophyll content. </w:t>
      </w:r>
    </w:p>
    <w:p w14:paraId="41E0D9E3" w14:textId="5B09DB81" w:rsidR="00D72400" w:rsidRDefault="00D72400" w:rsidP="00894E04">
      <w:pPr>
        <w:spacing w:line="240" w:lineRule="auto"/>
        <w:rPr>
          <w:rFonts w:ascii="Arial" w:hAnsi="Arial" w:cs="Arial"/>
          <w:sz w:val="22"/>
          <w:szCs w:val="22"/>
        </w:rPr>
      </w:pPr>
      <w:r>
        <w:rPr>
          <w:rFonts w:ascii="Arial" w:hAnsi="Arial" w:cs="Arial"/>
          <w:sz w:val="22"/>
          <w:szCs w:val="22"/>
        </w:rPr>
        <w:t xml:space="preserve">Thousand kernel weight (TKW) and test weight (TW) showed marginal model </w:t>
      </w:r>
      <w:r w:rsidR="00B237D9">
        <w:rPr>
          <w:rFonts w:ascii="Arial" w:hAnsi="Arial" w:cs="Arial"/>
          <w:sz w:val="22"/>
          <w:szCs w:val="22"/>
        </w:rPr>
        <w:t>differences,</w:t>
      </w:r>
      <w:r>
        <w:rPr>
          <w:rFonts w:ascii="Arial" w:hAnsi="Arial" w:cs="Arial"/>
          <w:sz w:val="22"/>
          <w:szCs w:val="22"/>
        </w:rPr>
        <w:t xml:space="preserve"> but compelling GWAS shifts: </w:t>
      </w:r>
      <w:r w:rsidR="00CD5D49">
        <w:rPr>
          <w:rFonts w:ascii="Arial" w:hAnsi="Arial" w:cs="Arial"/>
          <w:sz w:val="22"/>
          <w:szCs w:val="22"/>
        </w:rPr>
        <w:t>the dominant 4B signal for TKW vanished under reaction norm, while pre-adjustment amplified a 4A locus. For TW, a 2A association disappeared under reaction norm</w:t>
      </w:r>
      <w:r w:rsidR="00B237D9">
        <w:rPr>
          <w:rFonts w:ascii="Arial" w:hAnsi="Arial" w:cs="Arial"/>
          <w:sz w:val="22"/>
          <w:szCs w:val="22"/>
        </w:rPr>
        <w:t xml:space="preserve">, and a 3D marker emerged only after linear DSI correction. </w:t>
      </w:r>
      <w:r w:rsidR="003628EA">
        <w:rPr>
          <w:rFonts w:ascii="Arial" w:hAnsi="Arial" w:cs="Arial"/>
          <w:sz w:val="22"/>
          <w:szCs w:val="22"/>
        </w:rPr>
        <w:t xml:space="preserve">These patterns suggest that accounting for drought can both clarify and obscure kernel trait genetics, depending on whether associations reflect general or stress-specific physiology. </w:t>
      </w:r>
    </w:p>
    <w:p w14:paraId="73FD7781" w14:textId="349D43D4" w:rsidR="002368CF" w:rsidRDefault="002368CF" w:rsidP="00894E04">
      <w:pPr>
        <w:spacing w:line="240" w:lineRule="auto"/>
        <w:rPr>
          <w:rFonts w:ascii="Arial" w:hAnsi="Arial" w:cs="Arial"/>
          <w:sz w:val="22"/>
          <w:szCs w:val="22"/>
        </w:rPr>
      </w:pPr>
      <w:r>
        <w:rPr>
          <w:rFonts w:ascii="Arial" w:hAnsi="Arial" w:cs="Arial"/>
          <w:sz w:val="22"/>
          <w:szCs w:val="22"/>
        </w:rPr>
        <w:t xml:space="preserve">Across traits, the persistent 6B region – which repeatedly surfaced for GY, SD, TKW, and TW </w:t>
      </w:r>
      <w:r w:rsidR="00AB0DB7">
        <w:rPr>
          <w:rFonts w:ascii="Arial" w:hAnsi="Arial" w:cs="Arial"/>
          <w:sz w:val="22"/>
          <w:szCs w:val="22"/>
        </w:rPr>
        <w:t>–</w:t>
      </w:r>
      <w:r>
        <w:rPr>
          <w:rFonts w:ascii="Arial" w:hAnsi="Arial" w:cs="Arial"/>
          <w:sz w:val="22"/>
          <w:szCs w:val="22"/>
        </w:rPr>
        <w:t xml:space="preserve"> </w:t>
      </w:r>
      <w:r w:rsidR="00AB0DB7">
        <w:rPr>
          <w:rFonts w:ascii="Arial" w:hAnsi="Arial" w:cs="Arial"/>
          <w:sz w:val="22"/>
          <w:szCs w:val="22"/>
        </w:rPr>
        <w:t>hints at a pleiotropic QTL governing nutrient remobilization and grain filling under terminal drought</w:t>
      </w:r>
      <w:r w:rsidR="008F37D9">
        <w:rPr>
          <w:rFonts w:ascii="Arial" w:hAnsi="Arial" w:cs="Arial"/>
          <w:sz w:val="22"/>
          <w:szCs w:val="22"/>
        </w:rPr>
        <w:t xml:space="preserve"> (</w:t>
      </w:r>
      <w:r w:rsidR="008F37D9" w:rsidRPr="00894E04">
        <w:rPr>
          <w:rFonts w:ascii="Arial" w:hAnsi="Arial" w:cs="Arial"/>
          <w:sz w:val="22"/>
          <w:szCs w:val="22"/>
        </w:rPr>
        <w:t>Saradadevi</w:t>
      </w:r>
      <w:r w:rsidR="008F37D9">
        <w:rPr>
          <w:rFonts w:ascii="Arial" w:hAnsi="Arial" w:cs="Arial"/>
          <w:sz w:val="22"/>
          <w:szCs w:val="22"/>
        </w:rPr>
        <w:t xml:space="preserve"> et al., 2017)</w:t>
      </w:r>
      <w:r w:rsidR="00AB0DB7">
        <w:rPr>
          <w:rFonts w:ascii="Arial" w:hAnsi="Arial" w:cs="Arial"/>
          <w:sz w:val="22"/>
          <w:szCs w:val="22"/>
        </w:rPr>
        <w:t>. Such convergent signals highlight the complex architecture of yield components, especially under water stress, and warrant targeted validation.</w:t>
      </w:r>
    </w:p>
    <w:p w14:paraId="19839032" w14:textId="50EA0DEB" w:rsidR="00EE79F2" w:rsidRDefault="00EE79F2" w:rsidP="00894E04">
      <w:pPr>
        <w:spacing w:line="240" w:lineRule="auto"/>
        <w:rPr>
          <w:rFonts w:ascii="Arial" w:hAnsi="Arial" w:cs="Arial"/>
          <w:sz w:val="22"/>
          <w:szCs w:val="22"/>
        </w:rPr>
      </w:pPr>
      <w:r>
        <w:rPr>
          <w:rFonts w:ascii="Arial" w:hAnsi="Arial" w:cs="Arial"/>
          <w:sz w:val="22"/>
          <w:szCs w:val="22"/>
        </w:rPr>
        <w:t xml:space="preserve">In sum, DSI-based modeling increases the genetic signal in multi-environment trials but carries a trade-off between reduced bias under stress and decreased predictive generality. Reaction-norm models excel at partitioning GxE but may overfit under heavy environmental variance, whereas simple linear pre-adjustment offers computational ease with potential inflation of genetic repeatability estimates. </w:t>
      </w:r>
      <w:r w:rsidR="00123932">
        <w:rPr>
          <w:rFonts w:ascii="Arial" w:hAnsi="Arial" w:cs="Arial"/>
          <w:sz w:val="22"/>
          <w:szCs w:val="22"/>
        </w:rPr>
        <w:t xml:space="preserve">For traits with moderate drought sensitivity, unadjusted or linearly adjusted models may suffice; for strongly stress-responsive traits like GR, reaction norms provide clear gains. Ultimately, model choice should reflect the biological question – predicting performance across diverse </w:t>
      </w:r>
      <w:r w:rsidR="007D03CE">
        <w:rPr>
          <w:rFonts w:ascii="Arial" w:hAnsi="Arial" w:cs="Arial"/>
          <w:sz w:val="22"/>
          <w:szCs w:val="22"/>
        </w:rPr>
        <w:t>patterns of water availability versus isolating stress-specific genetic effects – and be guided by validation in independent environments.</w:t>
      </w:r>
    </w:p>
    <w:p w14:paraId="00D789C4" w14:textId="77777777" w:rsidR="00D22A17" w:rsidRPr="001C2677" w:rsidRDefault="00D22A17" w:rsidP="00894E04">
      <w:pPr>
        <w:spacing w:line="240" w:lineRule="auto"/>
        <w:rPr>
          <w:rFonts w:ascii="Arial" w:hAnsi="Arial" w:cs="Arial"/>
          <w:sz w:val="22"/>
          <w:szCs w:val="22"/>
        </w:rPr>
      </w:pPr>
    </w:p>
    <w:p w14:paraId="3A45F5BF" w14:textId="77777777" w:rsidR="00C900AA" w:rsidRDefault="00C900AA">
      <w:pPr>
        <w:rPr>
          <w:rFonts w:ascii="Arial" w:hAnsi="Arial" w:cs="Arial"/>
          <w:b/>
          <w:bCs/>
          <w:sz w:val="22"/>
          <w:szCs w:val="22"/>
        </w:rPr>
      </w:pPr>
      <w:r>
        <w:rPr>
          <w:rFonts w:ascii="Arial" w:hAnsi="Arial" w:cs="Arial"/>
          <w:b/>
          <w:bCs/>
          <w:sz w:val="22"/>
          <w:szCs w:val="22"/>
        </w:rPr>
        <w:br w:type="page"/>
      </w:r>
    </w:p>
    <w:p w14:paraId="7B7FEBC7" w14:textId="2AFCAB57" w:rsidR="00CB7683" w:rsidRPr="00894E04" w:rsidRDefault="00CB7683" w:rsidP="00894E04">
      <w:pPr>
        <w:spacing w:line="240" w:lineRule="auto"/>
        <w:rPr>
          <w:rFonts w:ascii="Arial" w:hAnsi="Arial" w:cs="Arial"/>
          <w:b/>
          <w:bCs/>
          <w:sz w:val="22"/>
          <w:szCs w:val="22"/>
        </w:rPr>
      </w:pPr>
      <w:r w:rsidRPr="00894E04">
        <w:rPr>
          <w:rFonts w:ascii="Arial" w:hAnsi="Arial" w:cs="Arial"/>
          <w:b/>
          <w:bCs/>
          <w:sz w:val="22"/>
          <w:szCs w:val="22"/>
        </w:rPr>
        <w:lastRenderedPageBreak/>
        <w:t>References</w:t>
      </w:r>
    </w:p>
    <w:p w14:paraId="7D03F889" w14:textId="77777777"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Blum, A. (2015). Towards a conceptual ABA ideotype in plant breeding for water</w:t>
      </w:r>
      <w:r w:rsidRPr="004F3585">
        <w:rPr>
          <w:rFonts w:ascii="Arial" w:hAnsi="Arial" w:cs="Arial"/>
          <w:sz w:val="22"/>
          <w:szCs w:val="22"/>
        </w:rPr>
        <w:noBreakHyphen/>
        <w:t xml:space="preserve">limited environments. </w:t>
      </w:r>
      <w:r w:rsidRPr="004F3585">
        <w:rPr>
          <w:rFonts w:ascii="Arial" w:hAnsi="Arial" w:cs="Arial"/>
          <w:i/>
          <w:iCs/>
          <w:sz w:val="22"/>
          <w:szCs w:val="22"/>
        </w:rPr>
        <w:t>Functional Plant Biology, 42</w:t>
      </w:r>
      <w:r w:rsidRPr="004F3585">
        <w:rPr>
          <w:rFonts w:ascii="Arial" w:hAnsi="Arial" w:cs="Arial"/>
          <w:sz w:val="22"/>
          <w:szCs w:val="22"/>
        </w:rPr>
        <w:t>(6), 502–513.</w:t>
      </w:r>
    </w:p>
    <w:p w14:paraId="1C628932" w14:textId="77777777"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 xml:space="preserve">Butler, D. G., Cullis, B. R., Gilmour, A. R., Gogel, B. G., &amp; Thompson, R. (2023). </w:t>
      </w:r>
      <w:r w:rsidRPr="004F3585">
        <w:rPr>
          <w:rFonts w:ascii="Arial" w:hAnsi="Arial" w:cs="Arial"/>
          <w:i/>
          <w:iCs/>
          <w:sz w:val="22"/>
          <w:szCs w:val="22"/>
        </w:rPr>
        <w:t>ASReml</w:t>
      </w:r>
      <w:r w:rsidRPr="004F3585">
        <w:rPr>
          <w:rFonts w:ascii="Arial" w:hAnsi="Arial" w:cs="Arial"/>
          <w:i/>
          <w:iCs/>
          <w:sz w:val="22"/>
          <w:szCs w:val="22"/>
        </w:rPr>
        <w:noBreakHyphen/>
        <w:t>R Reference Manual Version 4.2</w:t>
      </w:r>
      <w:r w:rsidRPr="004F3585">
        <w:rPr>
          <w:rFonts w:ascii="Arial" w:hAnsi="Arial" w:cs="Arial"/>
          <w:sz w:val="22"/>
          <w:szCs w:val="22"/>
        </w:rPr>
        <w:t>. VSN International Ltd.</w:t>
      </w:r>
    </w:p>
    <w:p w14:paraId="0B360C86" w14:textId="23925730"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 xml:space="preserve">de los Campos, G., Naya, H., Gianola, D., Crossa, J., Legarra, A., Manfredi, E., Weigel, K., &amp; Cotes, J. M. (2009). Predicting quantitative traits with regression models for dense molecular markers and pedigree. </w:t>
      </w:r>
      <w:r w:rsidRPr="004F3585">
        <w:rPr>
          <w:rFonts w:ascii="Arial" w:hAnsi="Arial" w:cs="Arial"/>
          <w:i/>
          <w:iCs/>
          <w:sz w:val="22"/>
          <w:szCs w:val="22"/>
        </w:rPr>
        <w:t>Genetics, 182</w:t>
      </w:r>
      <w:r w:rsidRPr="004F3585">
        <w:rPr>
          <w:rFonts w:ascii="Arial" w:hAnsi="Arial" w:cs="Arial"/>
          <w:sz w:val="22"/>
          <w:szCs w:val="22"/>
        </w:rPr>
        <w:t>(1), 375–385.</w:t>
      </w:r>
    </w:p>
    <w:p w14:paraId="338B1D7D" w14:textId="5AA5BEB7"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 xml:space="preserve">Dolferus, R., Thavamanikumar, S., Sangma, H., Kleven, S., Wallace, X., Forrest, K., Rebetzke, G., Hayden, M., Borg, L., Smith, A., &amp; Cullis, B. (2019). Determining the genetic architecture of reproductive stage drought tolerance in wheat using a correlated trait and correlated marker effect model. </w:t>
      </w:r>
      <w:r w:rsidRPr="004F3585">
        <w:rPr>
          <w:rFonts w:ascii="Arial" w:hAnsi="Arial" w:cs="Arial"/>
          <w:i/>
          <w:iCs/>
          <w:sz w:val="22"/>
          <w:szCs w:val="22"/>
        </w:rPr>
        <w:t>G3: Genes|Genomes|Genetics, 9</w:t>
      </w:r>
      <w:r w:rsidRPr="004F3585">
        <w:rPr>
          <w:rFonts w:ascii="Arial" w:hAnsi="Arial" w:cs="Arial"/>
          <w:sz w:val="22"/>
          <w:szCs w:val="22"/>
        </w:rPr>
        <w:t xml:space="preserve">(2), 473–488. </w:t>
      </w:r>
    </w:p>
    <w:p w14:paraId="7AF70FB6" w14:textId="0765777E"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Ellis, M., Spielmeyer, W., Gale, K., Rebetzke, G., &amp; Richards, R. A. (2002). “Perfect” markers for the Rht</w:t>
      </w:r>
      <w:r w:rsidRPr="004F3585">
        <w:rPr>
          <w:rFonts w:ascii="Arial" w:hAnsi="Arial" w:cs="Arial"/>
          <w:sz w:val="22"/>
          <w:szCs w:val="22"/>
        </w:rPr>
        <w:noBreakHyphen/>
        <w:t>B1b and Rht</w:t>
      </w:r>
      <w:r w:rsidRPr="004F3585">
        <w:rPr>
          <w:rFonts w:ascii="Arial" w:hAnsi="Arial" w:cs="Arial"/>
          <w:sz w:val="22"/>
          <w:szCs w:val="22"/>
        </w:rPr>
        <w:noBreakHyphen/>
        <w:t xml:space="preserve">D1b dwarfing genes in wheat. </w:t>
      </w:r>
      <w:r w:rsidRPr="004F3585">
        <w:rPr>
          <w:rFonts w:ascii="Arial" w:hAnsi="Arial" w:cs="Arial"/>
          <w:i/>
          <w:iCs/>
          <w:sz w:val="22"/>
          <w:szCs w:val="22"/>
        </w:rPr>
        <w:t>Theoretical and Applied Genetics, 105</w:t>
      </w:r>
      <w:r w:rsidRPr="004F3585">
        <w:rPr>
          <w:rFonts w:ascii="Arial" w:hAnsi="Arial" w:cs="Arial"/>
          <w:sz w:val="22"/>
          <w:szCs w:val="22"/>
        </w:rPr>
        <w:t xml:space="preserve">(6), 1038–1042. </w:t>
      </w:r>
    </w:p>
    <w:p w14:paraId="7322A802" w14:textId="6652892D"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Estrada, F., Flexas, J., Araus, J. L., Mora</w:t>
      </w:r>
      <w:r w:rsidRPr="004F3585">
        <w:rPr>
          <w:rFonts w:ascii="Arial" w:hAnsi="Arial" w:cs="Arial"/>
          <w:sz w:val="22"/>
          <w:szCs w:val="22"/>
        </w:rPr>
        <w:noBreakHyphen/>
        <w:t>Poblete, F., Gonzalez</w:t>
      </w:r>
      <w:r w:rsidRPr="004F3585">
        <w:rPr>
          <w:rFonts w:ascii="Arial" w:hAnsi="Arial" w:cs="Arial"/>
          <w:sz w:val="22"/>
          <w:szCs w:val="22"/>
        </w:rPr>
        <w:noBreakHyphen/>
        <w:t>Talice, J., Castillo, D., Matus, I. A., Mendez</w:t>
      </w:r>
      <w:r w:rsidRPr="004F3585">
        <w:rPr>
          <w:rFonts w:ascii="Arial" w:hAnsi="Arial" w:cs="Arial"/>
          <w:sz w:val="22"/>
          <w:szCs w:val="22"/>
        </w:rPr>
        <w:noBreakHyphen/>
        <w:t>Espinoza, A. M., Garriga, M., Araya</w:t>
      </w:r>
      <w:r w:rsidRPr="004F3585">
        <w:rPr>
          <w:rFonts w:ascii="Arial" w:hAnsi="Arial" w:cs="Arial"/>
          <w:sz w:val="22"/>
          <w:szCs w:val="22"/>
        </w:rPr>
        <w:noBreakHyphen/>
        <w:t xml:space="preserve">Riquelme, C., Douthe, C., Castillo, B., del Pozo, A., &amp; Lobos, G. A. (2023). Exploring plant responses to abiotic stress by contrasting spectral signature changes. </w:t>
      </w:r>
      <w:r w:rsidRPr="004F3585">
        <w:rPr>
          <w:rFonts w:ascii="Arial" w:hAnsi="Arial" w:cs="Arial"/>
          <w:i/>
          <w:iCs/>
          <w:sz w:val="22"/>
          <w:szCs w:val="22"/>
        </w:rPr>
        <w:t>Frontiers in Plant Science, 13</w:t>
      </w:r>
      <w:r w:rsidRPr="004F3585">
        <w:rPr>
          <w:rFonts w:ascii="Arial" w:hAnsi="Arial" w:cs="Arial"/>
          <w:sz w:val="22"/>
          <w:szCs w:val="22"/>
        </w:rPr>
        <w:t>, 1026323.</w:t>
      </w:r>
    </w:p>
    <w:p w14:paraId="13944E57" w14:textId="77777777"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 xml:space="preserve">Fischer, R. A., &amp; Maurer, R. (1978). Drought resistance in spring wheat cultivars. I. Grain yield responses. </w:t>
      </w:r>
      <w:r w:rsidRPr="004F3585">
        <w:rPr>
          <w:rFonts w:ascii="Arial" w:hAnsi="Arial" w:cs="Arial"/>
          <w:i/>
          <w:iCs/>
          <w:sz w:val="22"/>
          <w:szCs w:val="22"/>
        </w:rPr>
        <w:t>Australian Journal of Agricultural Research, 29</w:t>
      </w:r>
      <w:r w:rsidRPr="004F3585">
        <w:rPr>
          <w:rFonts w:ascii="Arial" w:hAnsi="Arial" w:cs="Arial"/>
          <w:sz w:val="22"/>
          <w:szCs w:val="22"/>
        </w:rPr>
        <w:t>, 897–912.</w:t>
      </w:r>
    </w:p>
    <w:p w14:paraId="3B8E0B97" w14:textId="7C90E729"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 xml:space="preserve">Gianola, D., de los Campos, G., Hill, W. G., Manfredi, E., &amp; Fernando, R. (2009). Additive genetic variability and the Bayesian alphabet. </w:t>
      </w:r>
      <w:r w:rsidRPr="004F3585">
        <w:rPr>
          <w:rFonts w:ascii="Arial" w:hAnsi="Arial" w:cs="Arial"/>
          <w:i/>
          <w:iCs/>
          <w:sz w:val="22"/>
          <w:szCs w:val="22"/>
        </w:rPr>
        <w:t>Genetics, 183</w:t>
      </w:r>
      <w:r w:rsidRPr="004F3585">
        <w:rPr>
          <w:rFonts w:ascii="Arial" w:hAnsi="Arial" w:cs="Arial"/>
          <w:sz w:val="22"/>
          <w:szCs w:val="22"/>
        </w:rPr>
        <w:t xml:space="preserve">(1), 347–363. </w:t>
      </w:r>
    </w:p>
    <w:p w14:paraId="535F6B3C" w14:textId="77777777"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 xml:space="preserve">Gilmour, A. R., Cullis, B. R., &amp; Verbyla, A. P. (1997). Accounting for natural and extraneous variation in the analysis of field experiments. </w:t>
      </w:r>
      <w:r w:rsidRPr="004F3585">
        <w:rPr>
          <w:rFonts w:ascii="Arial" w:hAnsi="Arial" w:cs="Arial"/>
          <w:i/>
          <w:iCs/>
          <w:sz w:val="22"/>
          <w:szCs w:val="22"/>
        </w:rPr>
        <w:t>Journal of Agricultural, Biological, and Environmental Statistics, 2</w:t>
      </w:r>
      <w:r w:rsidRPr="004F3585">
        <w:rPr>
          <w:rFonts w:ascii="Arial" w:hAnsi="Arial" w:cs="Arial"/>
          <w:sz w:val="22"/>
          <w:szCs w:val="22"/>
        </w:rPr>
        <w:t>(3), 269–293.</w:t>
      </w:r>
    </w:p>
    <w:p w14:paraId="0EA1AC4D" w14:textId="0F9259EF"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Huang, M., Liu, X., Zhou, Y., Summers, R. M., &amp; Zhang, Z. (2018). BLINK: a package for the next level of genome</w:t>
      </w:r>
      <w:r w:rsidRPr="004F3585">
        <w:rPr>
          <w:rFonts w:ascii="Arial" w:hAnsi="Arial" w:cs="Arial"/>
          <w:sz w:val="22"/>
          <w:szCs w:val="22"/>
        </w:rPr>
        <w:noBreakHyphen/>
        <w:t xml:space="preserve">wide association studies with both individuals and markers in the millions. </w:t>
      </w:r>
      <w:r w:rsidRPr="004F3585">
        <w:rPr>
          <w:rFonts w:ascii="Arial" w:hAnsi="Arial" w:cs="Arial"/>
          <w:i/>
          <w:iCs/>
          <w:sz w:val="22"/>
          <w:szCs w:val="22"/>
        </w:rPr>
        <w:t>GigaScience, 8</w:t>
      </w:r>
      <w:r w:rsidRPr="004F3585">
        <w:rPr>
          <w:rFonts w:ascii="Arial" w:hAnsi="Arial" w:cs="Arial"/>
          <w:sz w:val="22"/>
          <w:szCs w:val="22"/>
        </w:rPr>
        <w:t xml:space="preserve">(2), giy154. </w:t>
      </w:r>
    </w:p>
    <w:p w14:paraId="6B5BAEBB" w14:textId="2EB92377"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Jarquín, D., Crossa, J., Lacaze, X., Du Cheyron, P., Daucourt, J., Lorgeou, J., Piraux, F., Guerreiro, L., Pérez, P., Calus, M., Burgueño, J., &amp; de los Campos, G. (2014). A reaction norm model for genomic selection using high</w:t>
      </w:r>
      <w:r w:rsidRPr="004F3585">
        <w:rPr>
          <w:rFonts w:ascii="Arial" w:hAnsi="Arial" w:cs="Arial"/>
          <w:sz w:val="22"/>
          <w:szCs w:val="22"/>
        </w:rPr>
        <w:noBreakHyphen/>
        <w:t xml:space="preserve">dimensional genomic and environmental data. </w:t>
      </w:r>
      <w:r w:rsidRPr="004F3585">
        <w:rPr>
          <w:rFonts w:ascii="Arial" w:hAnsi="Arial" w:cs="Arial"/>
          <w:i/>
          <w:iCs/>
          <w:sz w:val="22"/>
          <w:szCs w:val="22"/>
        </w:rPr>
        <w:t>Theoretical and Applied Genetics, 127</w:t>
      </w:r>
      <w:r w:rsidRPr="004F3585">
        <w:rPr>
          <w:rFonts w:ascii="Arial" w:hAnsi="Arial" w:cs="Arial"/>
          <w:sz w:val="22"/>
          <w:szCs w:val="22"/>
        </w:rPr>
        <w:t xml:space="preserve">(3), 595–607. </w:t>
      </w:r>
    </w:p>
    <w:p w14:paraId="374B34F2" w14:textId="5D62B4A6"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 xml:space="preserve">Ji, L., Senay, G. B., Friedrichs, M., Schauer, M., &amp; Boiko, O. (2021). Characterization of water use and water balance for the croplands of Kansas using satellite, climate, and irrigation data. </w:t>
      </w:r>
      <w:r w:rsidRPr="004F3585">
        <w:rPr>
          <w:rFonts w:ascii="Arial" w:hAnsi="Arial" w:cs="Arial"/>
          <w:i/>
          <w:iCs/>
          <w:sz w:val="22"/>
          <w:szCs w:val="22"/>
        </w:rPr>
        <w:t>Agricultural Water Management, 256</w:t>
      </w:r>
      <w:r w:rsidRPr="004F3585">
        <w:rPr>
          <w:rFonts w:ascii="Arial" w:hAnsi="Arial" w:cs="Arial"/>
          <w:sz w:val="22"/>
          <w:szCs w:val="22"/>
        </w:rPr>
        <w:t xml:space="preserve">, 107106. </w:t>
      </w:r>
    </w:p>
    <w:p w14:paraId="5B3AE8E0" w14:textId="77777777"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 xml:space="preserve">Kansas Mesonet. (2025). </w:t>
      </w:r>
      <w:r w:rsidRPr="004F3585">
        <w:rPr>
          <w:rFonts w:ascii="Arial" w:hAnsi="Arial" w:cs="Arial"/>
          <w:i/>
          <w:iCs/>
          <w:sz w:val="22"/>
          <w:szCs w:val="22"/>
        </w:rPr>
        <w:t>Kansas Mesonet historical data</w:t>
      </w:r>
      <w:r w:rsidRPr="004F3585">
        <w:rPr>
          <w:rFonts w:ascii="Arial" w:hAnsi="Arial" w:cs="Arial"/>
          <w:sz w:val="22"/>
          <w:szCs w:val="22"/>
        </w:rPr>
        <w:t xml:space="preserve">. Retrieved May 14, 2025, from </w:t>
      </w:r>
      <w:hyperlink r:id="rId29" w:tgtFrame="_new" w:history="1">
        <w:r w:rsidRPr="004F3585">
          <w:rPr>
            <w:rStyle w:val="Hyperlink"/>
            <w:rFonts w:ascii="Arial" w:hAnsi="Arial" w:cs="Arial"/>
            <w:sz w:val="22"/>
            <w:szCs w:val="22"/>
          </w:rPr>
          <w:t>https://mesonet.k-state.edu/climate/precip/county/</w:t>
        </w:r>
      </w:hyperlink>
    </w:p>
    <w:p w14:paraId="7E04C5B8" w14:textId="1ADA36F8"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 xml:space="preserve">Onyemaobi, O., Sangma, H., Garg, G., Wallace, X., Kleven, S., Suwanchaikasem, P., Roessner, U., &amp; Dolferus, R. (2021). Reproductive stage drought tolerance in wheat: Importance of stomatal conductance and plant growth regulators. </w:t>
      </w:r>
      <w:r w:rsidRPr="004F3585">
        <w:rPr>
          <w:rFonts w:ascii="Arial" w:hAnsi="Arial" w:cs="Arial"/>
          <w:i/>
          <w:iCs/>
          <w:sz w:val="22"/>
          <w:szCs w:val="22"/>
        </w:rPr>
        <w:t>Genes, 12</w:t>
      </w:r>
      <w:r w:rsidRPr="004F3585">
        <w:rPr>
          <w:rFonts w:ascii="Arial" w:hAnsi="Arial" w:cs="Arial"/>
          <w:sz w:val="22"/>
          <w:szCs w:val="22"/>
        </w:rPr>
        <w:t xml:space="preserve">(11), 1742. </w:t>
      </w:r>
    </w:p>
    <w:p w14:paraId="182216B6" w14:textId="635E0F1B"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Pérez, P., &amp; de los Campos, G. (2014). Genome</w:t>
      </w:r>
      <w:r w:rsidRPr="004F3585">
        <w:rPr>
          <w:rFonts w:ascii="Arial" w:hAnsi="Arial" w:cs="Arial"/>
          <w:sz w:val="22"/>
          <w:szCs w:val="22"/>
        </w:rPr>
        <w:noBreakHyphen/>
        <w:t xml:space="preserve">wide regression and prediction with the BGLR statistical package. </w:t>
      </w:r>
      <w:r w:rsidRPr="004F3585">
        <w:rPr>
          <w:rFonts w:ascii="Arial" w:hAnsi="Arial" w:cs="Arial"/>
          <w:i/>
          <w:iCs/>
          <w:sz w:val="22"/>
          <w:szCs w:val="22"/>
        </w:rPr>
        <w:t>Genetics, 198</w:t>
      </w:r>
      <w:r w:rsidRPr="004F3585">
        <w:rPr>
          <w:rFonts w:ascii="Arial" w:hAnsi="Arial" w:cs="Arial"/>
          <w:sz w:val="22"/>
          <w:szCs w:val="22"/>
        </w:rPr>
        <w:t>(2), 483–495.</w:t>
      </w:r>
    </w:p>
    <w:p w14:paraId="6ECE0920" w14:textId="067BD35F"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lastRenderedPageBreak/>
        <w:t>Saradadevi, R., Palta, J. A., &amp; Siddique, K. H. M. (2017). ABA</w:t>
      </w:r>
      <w:r w:rsidRPr="004F3585">
        <w:rPr>
          <w:rFonts w:ascii="Arial" w:hAnsi="Arial" w:cs="Arial"/>
          <w:sz w:val="22"/>
          <w:szCs w:val="22"/>
        </w:rPr>
        <w:noBreakHyphen/>
        <w:t xml:space="preserve">mediated stomatal response in regulating water use during the development of terminal drought in wheat. </w:t>
      </w:r>
      <w:r w:rsidRPr="004F3585">
        <w:rPr>
          <w:rFonts w:ascii="Arial" w:hAnsi="Arial" w:cs="Arial"/>
          <w:i/>
          <w:iCs/>
          <w:sz w:val="22"/>
          <w:szCs w:val="22"/>
        </w:rPr>
        <w:t>Frontiers in Plant Science, 8</w:t>
      </w:r>
      <w:r w:rsidRPr="004F3585">
        <w:rPr>
          <w:rFonts w:ascii="Arial" w:hAnsi="Arial" w:cs="Arial"/>
          <w:sz w:val="22"/>
          <w:szCs w:val="22"/>
        </w:rPr>
        <w:t xml:space="preserve">, 1251. </w:t>
      </w:r>
    </w:p>
    <w:p w14:paraId="7140F5A0" w14:textId="4A9EE28D"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 xml:space="preserve">Wang, J., &amp; Zhang, Z. (2021). GAPIT Version 3: Boosting power and accuracy for genomic association and prediction. </w:t>
      </w:r>
      <w:r w:rsidRPr="004F3585">
        <w:rPr>
          <w:rFonts w:ascii="Arial" w:hAnsi="Arial" w:cs="Arial"/>
          <w:i/>
          <w:iCs/>
          <w:sz w:val="22"/>
          <w:szCs w:val="22"/>
        </w:rPr>
        <w:t>Genomics, Proteomics &amp; Bioinformatics, 19</w:t>
      </w:r>
      <w:r w:rsidRPr="004F3585">
        <w:rPr>
          <w:rFonts w:ascii="Arial" w:hAnsi="Arial" w:cs="Arial"/>
          <w:sz w:val="22"/>
          <w:szCs w:val="22"/>
        </w:rPr>
        <w:t xml:space="preserve">(4), 629–640. </w:t>
      </w:r>
    </w:p>
    <w:p w14:paraId="641BF5A2" w14:textId="271E25DA" w:rsidR="004F3585" w:rsidRPr="004F3585" w:rsidRDefault="004F3585" w:rsidP="004F3585">
      <w:pPr>
        <w:spacing w:line="240" w:lineRule="auto"/>
        <w:rPr>
          <w:rFonts w:ascii="Arial" w:hAnsi="Arial" w:cs="Arial"/>
          <w:sz w:val="22"/>
          <w:szCs w:val="22"/>
        </w:rPr>
      </w:pPr>
      <w:r w:rsidRPr="004F3585">
        <w:rPr>
          <w:rFonts w:ascii="Arial" w:hAnsi="Arial" w:cs="Arial"/>
          <w:sz w:val="22"/>
          <w:szCs w:val="22"/>
        </w:rPr>
        <w:t>Zhang, Z., Ersoz, E., Lai, C.-Q., Todhunter, R. J., Tiwari, H. K., Gore, M. A., Bradbury, P. J., Yu, J., Arnett, D. K., Ordovas, J. M., &amp; Buckler, E. S. (2010). Mixed linear model approach adapted for genome</w:t>
      </w:r>
      <w:r w:rsidRPr="004F3585">
        <w:rPr>
          <w:rFonts w:ascii="Arial" w:hAnsi="Arial" w:cs="Arial"/>
          <w:sz w:val="22"/>
          <w:szCs w:val="22"/>
        </w:rPr>
        <w:noBreakHyphen/>
        <w:t xml:space="preserve">wide association studies. </w:t>
      </w:r>
      <w:r w:rsidRPr="004F3585">
        <w:rPr>
          <w:rFonts w:ascii="Arial" w:hAnsi="Arial" w:cs="Arial"/>
          <w:i/>
          <w:iCs/>
          <w:sz w:val="22"/>
          <w:szCs w:val="22"/>
        </w:rPr>
        <w:t>Nature Genetics, 42</w:t>
      </w:r>
      <w:r w:rsidRPr="004F3585">
        <w:rPr>
          <w:rFonts w:ascii="Arial" w:hAnsi="Arial" w:cs="Arial"/>
          <w:sz w:val="22"/>
          <w:szCs w:val="22"/>
        </w:rPr>
        <w:t xml:space="preserve">(4), 355–360. </w:t>
      </w:r>
    </w:p>
    <w:p w14:paraId="58E430CE" w14:textId="52616246" w:rsidR="00F82B2F" w:rsidRPr="00655E4A" w:rsidRDefault="00F82B2F" w:rsidP="004F3585">
      <w:pPr>
        <w:spacing w:line="240" w:lineRule="auto"/>
        <w:rPr>
          <w:rFonts w:ascii="Arial" w:hAnsi="Arial" w:cs="Arial"/>
          <w:sz w:val="22"/>
          <w:szCs w:val="22"/>
        </w:rPr>
      </w:pPr>
    </w:p>
    <w:sectPr w:rsidR="00F82B2F" w:rsidRPr="00655E4A" w:rsidSect="0019004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B6337"/>
    <w:multiLevelType w:val="hybridMultilevel"/>
    <w:tmpl w:val="068C7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E45796"/>
    <w:multiLevelType w:val="hybridMultilevel"/>
    <w:tmpl w:val="A5505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7976702">
    <w:abstractNumId w:val="1"/>
  </w:num>
  <w:num w:numId="2" w16cid:durableId="1687363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4F"/>
    <w:rsid w:val="00003550"/>
    <w:rsid w:val="00015FAB"/>
    <w:rsid w:val="00037022"/>
    <w:rsid w:val="00047100"/>
    <w:rsid w:val="000516DB"/>
    <w:rsid w:val="00055A6D"/>
    <w:rsid w:val="00056081"/>
    <w:rsid w:val="00056A32"/>
    <w:rsid w:val="0006611C"/>
    <w:rsid w:val="000701A7"/>
    <w:rsid w:val="000715A4"/>
    <w:rsid w:val="00076DA5"/>
    <w:rsid w:val="000853F7"/>
    <w:rsid w:val="00096E47"/>
    <w:rsid w:val="000977AA"/>
    <w:rsid w:val="000A7C06"/>
    <w:rsid w:val="000C1E91"/>
    <w:rsid w:val="000C3328"/>
    <w:rsid w:val="000C52B1"/>
    <w:rsid w:val="000C6F4C"/>
    <w:rsid w:val="000C77A7"/>
    <w:rsid w:val="00123932"/>
    <w:rsid w:val="001258A8"/>
    <w:rsid w:val="00134629"/>
    <w:rsid w:val="00136930"/>
    <w:rsid w:val="0014113C"/>
    <w:rsid w:val="001474FF"/>
    <w:rsid w:val="00154CD9"/>
    <w:rsid w:val="0015602F"/>
    <w:rsid w:val="0015757E"/>
    <w:rsid w:val="00162A46"/>
    <w:rsid w:val="00166F47"/>
    <w:rsid w:val="001673CE"/>
    <w:rsid w:val="0017295A"/>
    <w:rsid w:val="00187829"/>
    <w:rsid w:val="0019004F"/>
    <w:rsid w:val="00192521"/>
    <w:rsid w:val="001A2A66"/>
    <w:rsid w:val="001A2D12"/>
    <w:rsid w:val="001B2D47"/>
    <w:rsid w:val="001B3111"/>
    <w:rsid w:val="001C175C"/>
    <w:rsid w:val="001C2677"/>
    <w:rsid w:val="001F13A1"/>
    <w:rsid w:val="001F60C2"/>
    <w:rsid w:val="001F7BDC"/>
    <w:rsid w:val="00210E90"/>
    <w:rsid w:val="00213B62"/>
    <w:rsid w:val="00213C51"/>
    <w:rsid w:val="00213FB7"/>
    <w:rsid w:val="00231B19"/>
    <w:rsid w:val="002368CF"/>
    <w:rsid w:val="00237552"/>
    <w:rsid w:val="0024048A"/>
    <w:rsid w:val="002622B1"/>
    <w:rsid w:val="002657C6"/>
    <w:rsid w:val="0027143D"/>
    <w:rsid w:val="00277805"/>
    <w:rsid w:val="0028229E"/>
    <w:rsid w:val="0029380F"/>
    <w:rsid w:val="002A399D"/>
    <w:rsid w:val="002D44DA"/>
    <w:rsid w:val="002E37EB"/>
    <w:rsid w:val="0033375C"/>
    <w:rsid w:val="00335275"/>
    <w:rsid w:val="00342171"/>
    <w:rsid w:val="003628EA"/>
    <w:rsid w:val="00364838"/>
    <w:rsid w:val="00383B18"/>
    <w:rsid w:val="00391652"/>
    <w:rsid w:val="00396892"/>
    <w:rsid w:val="0039742E"/>
    <w:rsid w:val="003A0F9E"/>
    <w:rsid w:val="003A3436"/>
    <w:rsid w:val="003A38A2"/>
    <w:rsid w:val="003B373B"/>
    <w:rsid w:val="003B3E5B"/>
    <w:rsid w:val="003B6100"/>
    <w:rsid w:val="003B6150"/>
    <w:rsid w:val="003C53DB"/>
    <w:rsid w:val="003D4E5E"/>
    <w:rsid w:val="003D781B"/>
    <w:rsid w:val="0040263B"/>
    <w:rsid w:val="00406DC7"/>
    <w:rsid w:val="00413519"/>
    <w:rsid w:val="00424E13"/>
    <w:rsid w:val="00430264"/>
    <w:rsid w:val="00440226"/>
    <w:rsid w:val="00454729"/>
    <w:rsid w:val="00462F88"/>
    <w:rsid w:val="004733A9"/>
    <w:rsid w:val="00473596"/>
    <w:rsid w:val="00484A55"/>
    <w:rsid w:val="00487F0E"/>
    <w:rsid w:val="004B15FA"/>
    <w:rsid w:val="004D33E2"/>
    <w:rsid w:val="004D3473"/>
    <w:rsid w:val="004D6DB1"/>
    <w:rsid w:val="004F3585"/>
    <w:rsid w:val="004F4F2C"/>
    <w:rsid w:val="004F678D"/>
    <w:rsid w:val="00505FA4"/>
    <w:rsid w:val="005067A0"/>
    <w:rsid w:val="005279A7"/>
    <w:rsid w:val="00530446"/>
    <w:rsid w:val="00541E64"/>
    <w:rsid w:val="00544D38"/>
    <w:rsid w:val="00550BD0"/>
    <w:rsid w:val="0057320E"/>
    <w:rsid w:val="005917CA"/>
    <w:rsid w:val="00596C1A"/>
    <w:rsid w:val="005B1B5B"/>
    <w:rsid w:val="005C3D14"/>
    <w:rsid w:val="00611FF3"/>
    <w:rsid w:val="00612EFB"/>
    <w:rsid w:val="00620FB5"/>
    <w:rsid w:val="00624F25"/>
    <w:rsid w:val="00627D93"/>
    <w:rsid w:val="0063034E"/>
    <w:rsid w:val="00631946"/>
    <w:rsid w:val="00640F43"/>
    <w:rsid w:val="00643C21"/>
    <w:rsid w:val="006515A0"/>
    <w:rsid w:val="00651906"/>
    <w:rsid w:val="00655E4A"/>
    <w:rsid w:val="0066260F"/>
    <w:rsid w:val="0066793E"/>
    <w:rsid w:val="00686D8A"/>
    <w:rsid w:val="0068778F"/>
    <w:rsid w:val="00690EA1"/>
    <w:rsid w:val="006C5EAB"/>
    <w:rsid w:val="006E7DAE"/>
    <w:rsid w:val="00703176"/>
    <w:rsid w:val="00706C9C"/>
    <w:rsid w:val="00706F88"/>
    <w:rsid w:val="0072619D"/>
    <w:rsid w:val="00741FBE"/>
    <w:rsid w:val="00743551"/>
    <w:rsid w:val="00766569"/>
    <w:rsid w:val="007904A0"/>
    <w:rsid w:val="007B1611"/>
    <w:rsid w:val="007B27C8"/>
    <w:rsid w:val="007C5737"/>
    <w:rsid w:val="007D03CE"/>
    <w:rsid w:val="007F08C8"/>
    <w:rsid w:val="008116C0"/>
    <w:rsid w:val="00812BDA"/>
    <w:rsid w:val="0082660A"/>
    <w:rsid w:val="008316F0"/>
    <w:rsid w:val="00840950"/>
    <w:rsid w:val="0085336D"/>
    <w:rsid w:val="00861677"/>
    <w:rsid w:val="00862A7C"/>
    <w:rsid w:val="00887281"/>
    <w:rsid w:val="00894E04"/>
    <w:rsid w:val="008A6B1C"/>
    <w:rsid w:val="008A6D86"/>
    <w:rsid w:val="008A7B74"/>
    <w:rsid w:val="008B78FC"/>
    <w:rsid w:val="008C340C"/>
    <w:rsid w:val="008C3D88"/>
    <w:rsid w:val="008D61B2"/>
    <w:rsid w:val="008F37D9"/>
    <w:rsid w:val="008F4263"/>
    <w:rsid w:val="00914624"/>
    <w:rsid w:val="00915F7E"/>
    <w:rsid w:val="00916B78"/>
    <w:rsid w:val="009339EC"/>
    <w:rsid w:val="00937F21"/>
    <w:rsid w:val="00942D91"/>
    <w:rsid w:val="009477D6"/>
    <w:rsid w:val="00950E04"/>
    <w:rsid w:val="00957D54"/>
    <w:rsid w:val="009623D8"/>
    <w:rsid w:val="00964787"/>
    <w:rsid w:val="009844B8"/>
    <w:rsid w:val="00991759"/>
    <w:rsid w:val="009977A0"/>
    <w:rsid w:val="009B3966"/>
    <w:rsid w:val="009B4C5A"/>
    <w:rsid w:val="009D1019"/>
    <w:rsid w:val="009E7C12"/>
    <w:rsid w:val="00A07B01"/>
    <w:rsid w:val="00A25E00"/>
    <w:rsid w:val="00A2754F"/>
    <w:rsid w:val="00A42928"/>
    <w:rsid w:val="00A51D71"/>
    <w:rsid w:val="00A55F94"/>
    <w:rsid w:val="00A61CA8"/>
    <w:rsid w:val="00A72ED5"/>
    <w:rsid w:val="00A73A9E"/>
    <w:rsid w:val="00A74DD9"/>
    <w:rsid w:val="00A8552B"/>
    <w:rsid w:val="00A96A70"/>
    <w:rsid w:val="00AA100D"/>
    <w:rsid w:val="00AB0DB7"/>
    <w:rsid w:val="00AD0D14"/>
    <w:rsid w:val="00AD1D82"/>
    <w:rsid w:val="00AD285A"/>
    <w:rsid w:val="00AD500A"/>
    <w:rsid w:val="00AE5E5C"/>
    <w:rsid w:val="00AE65BD"/>
    <w:rsid w:val="00AE6FFA"/>
    <w:rsid w:val="00AE70AB"/>
    <w:rsid w:val="00AF10E1"/>
    <w:rsid w:val="00B06B04"/>
    <w:rsid w:val="00B1199E"/>
    <w:rsid w:val="00B21D7C"/>
    <w:rsid w:val="00B224BE"/>
    <w:rsid w:val="00B237D9"/>
    <w:rsid w:val="00B3346F"/>
    <w:rsid w:val="00B42FE1"/>
    <w:rsid w:val="00B559A3"/>
    <w:rsid w:val="00B6531C"/>
    <w:rsid w:val="00B67FFA"/>
    <w:rsid w:val="00B73566"/>
    <w:rsid w:val="00B8001B"/>
    <w:rsid w:val="00B809FD"/>
    <w:rsid w:val="00B817FB"/>
    <w:rsid w:val="00B876C7"/>
    <w:rsid w:val="00B923C3"/>
    <w:rsid w:val="00B92FBD"/>
    <w:rsid w:val="00B96AB3"/>
    <w:rsid w:val="00BA36BA"/>
    <w:rsid w:val="00BB12D2"/>
    <w:rsid w:val="00BB23BF"/>
    <w:rsid w:val="00BD040F"/>
    <w:rsid w:val="00BD5F62"/>
    <w:rsid w:val="00BE266F"/>
    <w:rsid w:val="00BF1273"/>
    <w:rsid w:val="00C107E0"/>
    <w:rsid w:val="00C235B5"/>
    <w:rsid w:val="00C334C1"/>
    <w:rsid w:val="00C469D6"/>
    <w:rsid w:val="00C556E0"/>
    <w:rsid w:val="00C6108C"/>
    <w:rsid w:val="00C900AA"/>
    <w:rsid w:val="00C91444"/>
    <w:rsid w:val="00CA4938"/>
    <w:rsid w:val="00CB1987"/>
    <w:rsid w:val="00CB7683"/>
    <w:rsid w:val="00CD5269"/>
    <w:rsid w:val="00CD5D49"/>
    <w:rsid w:val="00CE3AFE"/>
    <w:rsid w:val="00CE6E35"/>
    <w:rsid w:val="00D02078"/>
    <w:rsid w:val="00D12C4E"/>
    <w:rsid w:val="00D20662"/>
    <w:rsid w:val="00D22A17"/>
    <w:rsid w:val="00D230CD"/>
    <w:rsid w:val="00D3148F"/>
    <w:rsid w:val="00D47124"/>
    <w:rsid w:val="00D50A38"/>
    <w:rsid w:val="00D72400"/>
    <w:rsid w:val="00D74D0D"/>
    <w:rsid w:val="00DC4A5E"/>
    <w:rsid w:val="00DD2B35"/>
    <w:rsid w:val="00DF525A"/>
    <w:rsid w:val="00DF603D"/>
    <w:rsid w:val="00DF639A"/>
    <w:rsid w:val="00E2725E"/>
    <w:rsid w:val="00E4700E"/>
    <w:rsid w:val="00E62260"/>
    <w:rsid w:val="00E64C33"/>
    <w:rsid w:val="00E818B8"/>
    <w:rsid w:val="00E87A2B"/>
    <w:rsid w:val="00EA2528"/>
    <w:rsid w:val="00EC41AA"/>
    <w:rsid w:val="00ED5388"/>
    <w:rsid w:val="00EE68AC"/>
    <w:rsid w:val="00EE79F2"/>
    <w:rsid w:val="00F05FB0"/>
    <w:rsid w:val="00F10521"/>
    <w:rsid w:val="00F1225D"/>
    <w:rsid w:val="00F129F3"/>
    <w:rsid w:val="00F20B06"/>
    <w:rsid w:val="00F21EA6"/>
    <w:rsid w:val="00F2389F"/>
    <w:rsid w:val="00F24B7B"/>
    <w:rsid w:val="00F272F0"/>
    <w:rsid w:val="00F405EF"/>
    <w:rsid w:val="00F42502"/>
    <w:rsid w:val="00F65464"/>
    <w:rsid w:val="00F66749"/>
    <w:rsid w:val="00F6770C"/>
    <w:rsid w:val="00F82B2F"/>
    <w:rsid w:val="00F82F61"/>
    <w:rsid w:val="00F94FE6"/>
    <w:rsid w:val="00FA04CE"/>
    <w:rsid w:val="00FA55F7"/>
    <w:rsid w:val="00FD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33C1D"/>
  <w15:chartTrackingRefBased/>
  <w15:docId w15:val="{FD8F1558-FA67-4257-A642-991CA314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04F"/>
    <w:rPr>
      <w:rFonts w:eastAsiaTheme="majorEastAsia" w:cstheme="majorBidi"/>
      <w:color w:val="272727" w:themeColor="text1" w:themeTint="D8"/>
    </w:rPr>
  </w:style>
  <w:style w:type="paragraph" w:styleId="Title">
    <w:name w:val="Title"/>
    <w:basedOn w:val="Normal"/>
    <w:next w:val="Normal"/>
    <w:link w:val="TitleChar"/>
    <w:uiPriority w:val="10"/>
    <w:qFormat/>
    <w:rsid w:val="00190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04F"/>
    <w:pPr>
      <w:spacing w:before="160"/>
      <w:jc w:val="center"/>
    </w:pPr>
    <w:rPr>
      <w:i/>
      <w:iCs/>
      <w:color w:val="404040" w:themeColor="text1" w:themeTint="BF"/>
    </w:rPr>
  </w:style>
  <w:style w:type="character" w:customStyle="1" w:styleId="QuoteChar">
    <w:name w:val="Quote Char"/>
    <w:basedOn w:val="DefaultParagraphFont"/>
    <w:link w:val="Quote"/>
    <w:uiPriority w:val="29"/>
    <w:rsid w:val="0019004F"/>
    <w:rPr>
      <w:i/>
      <w:iCs/>
      <w:color w:val="404040" w:themeColor="text1" w:themeTint="BF"/>
    </w:rPr>
  </w:style>
  <w:style w:type="paragraph" w:styleId="ListParagraph">
    <w:name w:val="List Paragraph"/>
    <w:basedOn w:val="Normal"/>
    <w:uiPriority w:val="34"/>
    <w:qFormat/>
    <w:rsid w:val="0019004F"/>
    <w:pPr>
      <w:ind w:left="720"/>
      <w:contextualSpacing/>
    </w:pPr>
  </w:style>
  <w:style w:type="character" w:styleId="IntenseEmphasis">
    <w:name w:val="Intense Emphasis"/>
    <w:basedOn w:val="DefaultParagraphFont"/>
    <w:uiPriority w:val="21"/>
    <w:qFormat/>
    <w:rsid w:val="0019004F"/>
    <w:rPr>
      <w:i/>
      <w:iCs/>
      <w:color w:val="0F4761" w:themeColor="accent1" w:themeShade="BF"/>
    </w:rPr>
  </w:style>
  <w:style w:type="paragraph" w:styleId="IntenseQuote">
    <w:name w:val="Intense Quote"/>
    <w:basedOn w:val="Normal"/>
    <w:next w:val="Normal"/>
    <w:link w:val="IntenseQuoteChar"/>
    <w:uiPriority w:val="30"/>
    <w:qFormat/>
    <w:rsid w:val="0019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04F"/>
    <w:rPr>
      <w:i/>
      <w:iCs/>
      <w:color w:val="0F4761" w:themeColor="accent1" w:themeShade="BF"/>
    </w:rPr>
  </w:style>
  <w:style w:type="character" w:styleId="IntenseReference">
    <w:name w:val="Intense Reference"/>
    <w:basedOn w:val="DefaultParagraphFont"/>
    <w:uiPriority w:val="32"/>
    <w:qFormat/>
    <w:rsid w:val="0019004F"/>
    <w:rPr>
      <w:b/>
      <w:bCs/>
      <w:smallCaps/>
      <w:color w:val="0F4761" w:themeColor="accent1" w:themeShade="BF"/>
      <w:spacing w:val="5"/>
    </w:rPr>
  </w:style>
  <w:style w:type="character" w:styleId="Hyperlink">
    <w:name w:val="Hyperlink"/>
    <w:basedOn w:val="DefaultParagraphFont"/>
    <w:uiPriority w:val="99"/>
    <w:unhideWhenUsed/>
    <w:rsid w:val="000701A7"/>
    <w:rPr>
      <w:color w:val="467886" w:themeColor="hyperlink"/>
      <w:u w:val="single"/>
    </w:rPr>
  </w:style>
  <w:style w:type="character" w:styleId="UnresolvedMention">
    <w:name w:val="Unresolved Mention"/>
    <w:basedOn w:val="DefaultParagraphFont"/>
    <w:uiPriority w:val="99"/>
    <w:semiHidden/>
    <w:unhideWhenUsed/>
    <w:rsid w:val="000701A7"/>
    <w:rPr>
      <w:color w:val="605E5C"/>
      <w:shd w:val="clear" w:color="auto" w:fill="E1DFDD"/>
    </w:rPr>
  </w:style>
  <w:style w:type="character" w:styleId="PlaceholderText">
    <w:name w:val="Placeholder Text"/>
    <w:basedOn w:val="DefaultParagraphFont"/>
    <w:uiPriority w:val="99"/>
    <w:semiHidden/>
    <w:rsid w:val="001F60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570">
      <w:bodyDiv w:val="1"/>
      <w:marLeft w:val="0"/>
      <w:marRight w:val="0"/>
      <w:marTop w:val="0"/>
      <w:marBottom w:val="0"/>
      <w:divBdr>
        <w:top w:val="none" w:sz="0" w:space="0" w:color="auto"/>
        <w:left w:val="none" w:sz="0" w:space="0" w:color="auto"/>
        <w:bottom w:val="none" w:sz="0" w:space="0" w:color="auto"/>
        <w:right w:val="none" w:sz="0" w:space="0" w:color="auto"/>
      </w:divBdr>
    </w:div>
    <w:div w:id="514535727">
      <w:bodyDiv w:val="1"/>
      <w:marLeft w:val="0"/>
      <w:marRight w:val="0"/>
      <w:marTop w:val="0"/>
      <w:marBottom w:val="0"/>
      <w:divBdr>
        <w:top w:val="none" w:sz="0" w:space="0" w:color="auto"/>
        <w:left w:val="none" w:sz="0" w:space="0" w:color="auto"/>
        <w:bottom w:val="none" w:sz="0" w:space="0" w:color="auto"/>
        <w:right w:val="none" w:sz="0" w:space="0" w:color="auto"/>
      </w:divBdr>
    </w:div>
    <w:div w:id="1017774934">
      <w:bodyDiv w:val="1"/>
      <w:marLeft w:val="0"/>
      <w:marRight w:val="0"/>
      <w:marTop w:val="0"/>
      <w:marBottom w:val="0"/>
      <w:divBdr>
        <w:top w:val="none" w:sz="0" w:space="0" w:color="auto"/>
        <w:left w:val="none" w:sz="0" w:space="0" w:color="auto"/>
        <w:bottom w:val="none" w:sz="0" w:space="0" w:color="auto"/>
        <w:right w:val="none" w:sz="0" w:space="0" w:color="auto"/>
      </w:divBdr>
    </w:div>
    <w:div w:id="131957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mesonet.k-state.edu/climate/precip/count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17</Pages>
  <Words>4913</Words>
  <Characters>28902</Characters>
  <Application>Microsoft Office Word</Application>
  <DocSecurity>0</DocSecurity>
  <Lines>1204</Lines>
  <Paragraphs>536</Paragraphs>
  <ScaleCrop>false</ScaleCrop>
  <Company/>
  <LinksUpToDate>false</LinksUpToDate>
  <CharactersWithSpaces>33330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Addy Carroll</dc:creator>
  <cp:keywords/>
  <dc:description/>
  <cp:lastModifiedBy>Addy Carroll</cp:lastModifiedBy>
  <cp:revision>287</cp:revision>
  <dcterms:created xsi:type="dcterms:W3CDTF">2025-05-14T16:16:00Z</dcterms:created>
  <dcterms:modified xsi:type="dcterms:W3CDTF">2026-04-21T20:43:00Z</dcterms:modified>
</cp:coreProperties>
</file>